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64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39" w:lineRule="exact"/>
        <w:rPr>
          <w:sz w:val="24"/>
          <w:szCs w:val="24"/>
          <w:color w:val="auto"/>
        </w:rPr>
      </w:pPr>
    </w:p>
    <w:p>
      <w:pPr>
        <w:ind w:left="1080" w:right="18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9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001-36156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480" w:type="dxa"/>
        <w:tblCellMar>
          <w:top w:w="0" w:type="dxa"/>
          <w:left w:w="0" w:type="dxa"/>
          <w:bottom w:w="0" w:type="dxa"/>
          <w:right w:w="0" w:type="dxa"/>
        </w:tblCellMar>
      </w:tblP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Delaware</w:t>
            </w:r>
          </w:p>
        </w:tc>
        <w:tc>
          <w:tcPr>
            <w:tcW w:w="186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20-5455398</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89"/>
              </w:rPr>
              <w:t>(State or Other Jurisdiction of</w:t>
            </w:r>
          </w:p>
        </w:tc>
        <w:tc>
          <w:tcPr>
            <w:tcW w:w="1860" w:type="dxa"/>
            <w:vAlign w:val="bottom"/>
          </w:tcPr>
          <w:p>
            <w:pPr>
              <w:jc w:val="center"/>
              <w:ind w:left="17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36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1"/>
        </w:trPr>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87"/>
              </w:rPr>
              <w:t>Common Stock, par value $0.001 per</w:t>
            </w:r>
          </w:p>
        </w:tc>
        <w:tc>
          <w:tcPr>
            <w:tcW w:w="13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22"/>
        </w:trPr>
        <w:tc>
          <w:tcPr>
            <w:tcW w:w="304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3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The NASDAQ Global Stock Market LLC</w:t>
            </w:r>
          </w:p>
        </w:tc>
      </w:tr>
    </w:tbl>
    <w:p>
      <w:pPr>
        <w:spacing w:after="0" w:line="204"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firstLine="46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2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6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685" w:right="239" w:bottom="168" w:gutter="0" w:footer="0" w:header="0"/>
        </w:sectPr>
      </w:pPr>
    </w:p>
    <w:bookmarkStart w:id="1" w:name="page2"/>
    <w:bookmarkEnd w:id="1"/>
    <w:p>
      <w:pPr>
        <w:ind w:firstLine="39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2780" w:space="720"/>
            <w:col w:w="1720" w:space="720"/>
            <w:col w:w="2260" w:space="720"/>
            <w:col w:w="2500"/>
          </w:cols>
          <w:pgMar w:left="240" w:top="131" w:right="239" w:bottom="1440" w:gutter="0" w:footer="0" w:header="0"/>
          <w:type w:val="continuous"/>
        </w:sectPr>
      </w:pPr>
    </w:p>
    <w:p>
      <w:pPr>
        <w:jc w:val="center"/>
        <w:ind w:left="2160"/>
        <w:spacing w:after="0"/>
        <w:rPr>
          <w:sz w:val="20"/>
          <w:szCs w:val="20"/>
          <w:color w:val="auto"/>
        </w:rPr>
      </w:pPr>
      <w:r>
        <w:rPr>
          <w:rFonts w:ascii="Arial" w:cs="Arial" w:eastAsia="Arial" w:hAnsi="Arial"/>
          <w:sz w:val="14"/>
          <w:szCs w:val="14"/>
          <w:color w:val="auto"/>
        </w:rPr>
        <w:t>(Do not check if a</w:t>
      </w:r>
    </w:p>
    <w:p>
      <w:pPr>
        <w:jc w:val="center"/>
        <w:ind w:left="21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131" w:right="239" w:bottom="1440" w:gutter="0" w:footer="0" w:header="0"/>
          <w:type w:val="continuous"/>
        </w:sect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60"/>
            <w:col w:w="2460"/>
          </w:cols>
          <w:pgMar w:left="240" w:top="131" w:right="239" w:bottom="1440" w:gutter="0" w:footer="0" w:header="0"/>
          <w:type w:val="continuous"/>
        </w:sectPr>
      </w:pPr>
    </w:p>
    <w:p>
      <w:pPr>
        <w:spacing w:after="0" w:line="60" w:lineRule="exact"/>
        <w:rPr>
          <w:sz w:val="20"/>
          <w:szCs w:val="20"/>
          <w:color w:val="auto"/>
        </w:rPr>
      </w:pPr>
    </w:p>
    <w:p>
      <w:pPr>
        <w:jc w:val="both"/>
        <w:ind w:firstLine="582"/>
        <w:spacing w:after="0" w:line="268" w:lineRule="auto"/>
        <w:rPr>
          <w:sz w:val="20"/>
          <w:szCs w:val="20"/>
          <w:color w:val="auto"/>
        </w:rPr>
      </w:pPr>
      <w:r>
        <w:rPr>
          <w:rFonts w:ascii="Arial" w:cs="Arial" w:eastAsia="Arial" w:hAnsi="Arial"/>
          <w:sz w:val="18"/>
          <w:szCs w:val="18"/>
          <w:color w:val="auto"/>
        </w:rPr>
        <w:t>The registrant's common stock was not publicly traded on The NASDAQ Global Market as of the last business day of the registrant's most recently completed second fiscal quarter.</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the registrant's Common Stock outstanding as of March 1, 2014 was 21,143,313.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2014 Annual Meeting of Stockholders to be held on 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7"/>
        </w:trPr>
        <w:tc>
          <w:tcPr>
            <w:tcW w:w="114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Arial" w:cs="Arial" w:eastAsia="Arial" w:hAnsi="Arial"/>
                <w:sz w:val="14"/>
                <w:szCs w:val="14"/>
                <w:b w:val="1"/>
                <w:bCs w:val="1"/>
                <w:color w:val="auto"/>
              </w:rPr>
              <w:t>Item No.</w:t>
            </w: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1140" w:type="dxa"/>
            <w:vAlign w:val="bottom"/>
          </w:tcPr>
          <w:p>
            <w:pPr>
              <w:spacing w:after="0"/>
              <w:rPr>
                <w:sz w:val="14"/>
                <w:szCs w:val="14"/>
                <w:color w:val="auto"/>
              </w:rPr>
            </w:pPr>
          </w:p>
        </w:tc>
        <w:tc>
          <w:tcPr>
            <w:tcW w:w="560" w:type="dxa"/>
            <w:vAlign w:val="bottom"/>
            <w:tcBorders>
              <w:top w:val="single" w:sz="8" w:color="auto"/>
              <w:bottom w:val="single" w:sz="8" w:color="0000EE"/>
            </w:tcBorders>
            <w:gridSpan w:val="2"/>
          </w:tcPr>
          <w:p>
            <w:pPr>
              <w:spacing w:after="0" w:line="170" w:lineRule="exact"/>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PART I</w:t>
              </w:r>
            </w:hyperlink>
          </w:p>
        </w:tc>
        <w:tc>
          <w:tcPr>
            <w:tcW w:w="2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7140" w:type="dxa"/>
            <w:vAlign w:val="bottom"/>
            <w:gridSpan w:val="19"/>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1A. Risk Factors</w:t>
              </w:r>
            </w:hyperlink>
          </w:p>
        </w:tc>
        <w:tc>
          <w:tcPr>
            <w:tcW w:w="676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1B. Unresolved Staff Comments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2. Properties</w:t>
              </w:r>
            </w:hyperlink>
          </w:p>
        </w:tc>
        <w:tc>
          <w:tcPr>
            <w:tcW w:w="566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3. Legal Proceedings</w:t>
              </w:r>
            </w:hyperlink>
          </w:p>
        </w:tc>
        <w:tc>
          <w:tcPr>
            <w:tcW w:w="6460" w:type="dxa"/>
            <w:vAlign w:val="bottom"/>
            <w:gridSpan w:val="1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4. Mine Safety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612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Item 5. Market for Registrant's Common Equity, Related Stockholder Matters and Issuer Purchases of Equity</w:t>
              </w:r>
            </w:hyperlink>
          </w:p>
        </w:tc>
        <w:tc>
          <w:tcPr>
            <w:tcW w:w="6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2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Securities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6. Selected Financial Data</w:t>
              </w:r>
            </w:hyperlink>
          </w:p>
        </w:tc>
        <w:tc>
          <w:tcPr>
            <w:tcW w:w="6100" w:type="dxa"/>
            <w:vAlign w:val="bottom"/>
            <w:gridSpan w:val="13"/>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Item 7. Management's Discussion and Analysis of Financial Condition and Results of Operations</w:t>
              </w:r>
            </w:hyperlink>
          </w:p>
        </w:tc>
        <w:tc>
          <w:tcPr>
            <w:tcW w:w="1480" w:type="dxa"/>
            <w:vAlign w:val="bottom"/>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7A. Qualitative and Quantitative Disclosures About Market Risk</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2"/>
          </w:tcPr>
          <w:p>
            <w:pPr>
              <w:spacing w:after="0"/>
              <w:rPr>
                <w:sz w:val="17"/>
                <w:szCs w:val="17"/>
                <w:color w:val="auto"/>
              </w:rPr>
            </w:pPr>
          </w:p>
        </w:tc>
        <w:tc>
          <w:tcPr>
            <w:tcW w:w="340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9. Changes in and Disagreements with Accountants on Accounting and Financial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Item 9A. Controls and Procedures</w:t>
              </w:r>
            </w:hyperlink>
          </w:p>
        </w:tc>
        <w:tc>
          <w:tcPr>
            <w:tcW w:w="4460" w:type="dxa"/>
            <w:vAlign w:val="bottom"/>
            <w:gridSpan w:val="9"/>
          </w:tcPr>
          <w:p>
            <w:pPr>
              <w:spacing w:after="0"/>
              <w:rPr>
                <w:sz w:val="17"/>
                <w:szCs w:val="17"/>
                <w:color w:val="auto"/>
              </w:rPr>
            </w:pPr>
          </w:p>
        </w:tc>
        <w:tc>
          <w:tcPr>
            <w:tcW w:w="1460" w:type="dxa"/>
            <w:vAlign w:val="bottom"/>
            <w:gridSpan w:val="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9B. Other Information</w:t>
              </w:r>
            </w:hyperlink>
          </w:p>
        </w:tc>
        <w:tc>
          <w:tcPr>
            <w:tcW w:w="5920" w:type="dxa"/>
            <w:vAlign w:val="bottom"/>
            <w:gridSpan w:val="12"/>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III</w:t>
              </w:r>
            </w:hyperlink>
          </w:p>
        </w:tc>
        <w:tc>
          <w:tcPr>
            <w:tcW w:w="1220" w:type="dxa"/>
            <w:vAlign w:val="bottom"/>
            <w:tcBorders>
              <w:top w:val="single" w:sz="8" w:color="0000EE"/>
            </w:tcBorders>
            <w:gridSpan w:val="7"/>
          </w:tcPr>
          <w:p>
            <w:pPr>
              <w:spacing w:after="0"/>
              <w:rPr>
                <w:sz w:val="17"/>
                <w:szCs w:val="17"/>
                <w:color w:val="auto"/>
              </w:rPr>
            </w:pPr>
          </w:p>
        </w:tc>
        <w:tc>
          <w:tcPr>
            <w:tcW w:w="638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40" w:type="dxa"/>
            <w:vAlign w:val="bottom"/>
            <w:gridSpan w:val="21"/>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Item 10. Directors, Executive Officers and Corporate Governance</w:t>
              </w:r>
            </w:hyperlink>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Item 11. Executive Compensation</w:t>
              </w:r>
            </w:hyperlink>
          </w:p>
        </w:tc>
        <w:tc>
          <w:tcPr>
            <w:tcW w:w="2240" w:type="dxa"/>
            <w:vAlign w:val="bottom"/>
            <w:gridSpan w:val="5"/>
          </w:tcPr>
          <w:p>
            <w:pPr>
              <w:spacing w:after="0"/>
              <w:rPr>
                <w:sz w:val="17"/>
                <w:szCs w:val="17"/>
                <w:color w:val="auto"/>
              </w:rPr>
            </w:pPr>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760" w:type="dxa"/>
            <w:vAlign w:val="bottom"/>
            <w:gridSpan w:val="27"/>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Item 12. Security Ownership of Certain Beneficial Owners and Management and Related Stockholder Matters</w:t>
              </w:r>
            </w:hyperlink>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Item 13. Certain Relationships and Related Transactions, and Director Independence</w:t>
              </w:r>
            </w:hyperlink>
          </w:p>
        </w:tc>
        <w:tc>
          <w:tcPr>
            <w:tcW w:w="18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Item 14. Principal Accountant Fees and Services</w:t>
              </w:r>
            </w:hyperlink>
          </w:p>
        </w:tc>
        <w:tc>
          <w:tcPr>
            <w:tcW w:w="2360" w:type="dxa"/>
            <w:vAlign w:val="bottom"/>
            <w:gridSpan w:val="5"/>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IV</w:t>
              </w:r>
            </w:hyperlink>
          </w:p>
        </w:tc>
        <w:tc>
          <w:tcPr>
            <w:tcW w:w="490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Item 15. Exhibits, Financial Statement Schedules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113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2320" w:type="dxa"/>
            <w:vAlign w:val="bottom"/>
            <w:gridSpan w:val="11"/>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460" w:type="dxa"/>
            <w:vAlign w:val="bottom"/>
            <w:gridSpan w:val="19"/>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SIGNATURES</w:t>
              </w:r>
            </w:hyperlink>
          </w:p>
        </w:tc>
        <w:tc>
          <w:tcPr>
            <w:tcW w:w="4860" w:type="dxa"/>
            <w:vAlign w:val="bottom"/>
            <w:gridSpan w:val="9"/>
          </w:tcPr>
          <w:p>
            <w:pPr>
              <w:spacing w:after="0"/>
              <w:rPr>
                <w:sz w:val="24"/>
                <w:szCs w:val="24"/>
                <w:color w:val="auto"/>
              </w:rPr>
            </w:pPr>
          </w:p>
        </w:tc>
        <w:tc>
          <w:tcPr>
            <w:tcW w:w="660" w:type="dxa"/>
            <w:vAlign w:val="bottom"/>
            <w:gridSpan w:val="4"/>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117</w:t>
              </w:r>
            </w:hyperlink>
          </w:p>
        </w:tc>
        <w:tc>
          <w:tcPr>
            <w:tcW w:w="130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6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jc w:val="both"/>
        <w:ind w:firstLine="409"/>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 that our research and development, general and administrative and selling and marketing expenses will increase and our anticipated uses of those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test in treatment guidelines; the estimated size of the global market for Afirma; the potential benefits of the Afirma solution and any future products we may develop to patients, physicians and payers; the factors we believe drive demand for and reimbursement of our tests; our ability to sustain or increase demand for our tests; our intent to expand into other clinical areas; our ability to develop new tests, including the Afirma Malignancy Classifiers and a test for interstitial lung disease, and the timeframes for development or commercial launch; our dependence on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85" w:lineRule="exact"/>
        <w:rPr>
          <w:sz w:val="20"/>
          <w:szCs w:val="20"/>
          <w:color w:val="auto"/>
        </w:rPr>
      </w:pPr>
    </w:p>
    <w:p>
      <w:pPr>
        <w:jc w:val="both"/>
        <w:ind w:firstLine="437"/>
        <w:spacing w:after="0" w:line="286"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Item 1A of this report, as well as risks and uncertainties related to: our limited operating history and history of losses since inception; our ability to increase usage of and reimbursement for Afirma and any new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third parties; our ability to protect our intellectual property; and our ability to obtain capital when needed. These forward-looking statements speak only as of the date hereof. We expressly disclaim any obligation or undertaking to update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forward-looking statements contained herein to reflect any change in our expectations with regard thereto or any change in events, conditions or circumstances on which any such statement is based.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Veracyte, Afirma, the Veracyte logo and the Afirma logo are our registered trademarks. We also refer to trademarks of other corporations or organizations in this report.</w:t>
      </w:r>
    </w:p>
    <w:p>
      <w:pPr>
        <w:spacing w:after="0" w:line="186"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diagnosis—diseases where many patients undergo costly interventions that ultimately prove unnecessary. We improve the accuracy of diagnosis at an earlier stage of patient care by deriving clinically actionable genomic information from minimally invasive nonsurgical samples.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 xml:space="preserve">The New England Journal of Medicine </w:t>
      </w:r>
      <w:r>
        <w:rPr>
          <w:rFonts w:ascii="Arial" w:cs="Arial" w:eastAsia="Arial" w:hAnsi="Arial"/>
          <w:sz w:val="16"/>
          <w:szCs w:val="16"/>
          <w:color w:val="auto"/>
        </w:rPr>
        <w:t>in 2012.</w:t>
      </w:r>
    </w:p>
    <w:p>
      <w:pPr>
        <w:spacing w:after="0" w:line="172" w:lineRule="exact"/>
        <w:rPr>
          <w:sz w:val="20"/>
          <w:szCs w:val="20"/>
          <w:color w:val="auto"/>
        </w:rPr>
      </w:pPr>
    </w:p>
    <w:p>
      <w:pPr>
        <w:jc w:val="both"/>
        <w:ind w:firstLine="474"/>
        <w:spacing w:after="0" w:line="254" w:lineRule="auto"/>
        <w:rPr>
          <w:sz w:val="20"/>
          <w:szCs w:val="20"/>
          <w:color w:val="auto"/>
        </w:rPr>
      </w:pPr>
      <w:r>
        <w:rPr>
          <w:rFonts w:ascii="Arial" w:cs="Arial" w:eastAsia="Arial" w:hAnsi="Arial"/>
          <w:sz w:val="18"/>
          <w:szCs w:val="18"/>
          <w:color w:val="auto"/>
        </w:rPr>
        <w:t>Since we commercially launched Afirma in January 2011, we have processed over 80,000 fine needle aspiration, or FNA, samples for evaluation using Afirma and performed approximately 16,000 GECs in order to resolve indeterminate cytopathology results. We have received positive coverage decisions from Aetna, Cigna, Humana, Medicare and UnitedHealthcare, as well as other regional payers. Collectively, these payers represent more than 120 million covered lives. Additionally, we have entered into a global co-promotion agreement with Genzyme Corporation, a subsidiary of Sanofi. To date, substantially all of our revenue has been derived from delivery of patient reports to physicians in the United States. Our revenue has increased from $2.6 million in 2011 to $11.6 million in 2012 and $21.9 million in 2013.</w:t>
      </w:r>
    </w:p>
    <w:p>
      <w:pPr>
        <w:spacing w:after="0" w:line="198"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resulting in many patients undergoing surgery to obtain an accurate diagnosis. Molecular diagnostics broadly used today are not designed to reduce this ambiguity.</w:t>
      </w:r>
    </w:p>
    <w:p>
      <w:pPr>
        <w:spacing w:after="0" w:line="172" w:lineRule="exact"/>
        <w:rPr>
          <w:sz w:val="20"/>
          <w:szCs w:val="20"/>
          <w:color w:val="auto"/>
        </w:rPr>
      </w:pPr>
    </w:p>
    <w:p>
      <w:pPr>
        <w:jc w:val="both"/>
        <w:ind w:firstLine="431"/>
        <w:spacing w:after="0" w:line="332"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This estimate is based on our internal market assessment, from which we estimated the number of patients with ambiguous diagnostic results that we believe could benefit from using genomic tests, and the estimated price of such tests, which price takes into account the estimated cost savings to payers from avoidance of surgery.</w:t>
      </w:r>
    </w:p>
    <w:p>
      <w:pPr>
        <w:spacing w:after="0" w:line="170"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7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Sosa et al. in a study published in </w:t>
      </w:r>
      <w:r>
        <w:rPr>
          <w:rFonts w:ascii="Arial" w:cs="Arial" w:eastAsia="Arial" w:hAnsi="Arial"/>
          <w:sz w:val="16"/>
          <w:szCs w:val="16"/>
          <w:i w:val="1"/>
          <w:iCs w:val="1"/>
          <w:color w:val="auto"/>
        </w:rPr>
        <w:t>Surgery</w:t>
      </w:r>
      <w:r>
        <w:rPr>
          <w:rFonts w:ascii="Arial" w:cs="Arial" w:eastAsia="Arial" w:hAnsi="Arial"/>
          <w:sz w:val="16"/>
          <w:szCs w:val="16"/>
          <w:color w:val="auto"/>
        </w:rPr>
        <w:t xml:space="preserve"> in 2013, FNAs performed on thyroid nodules are growing at a significant rate. They estimate that there were over 525,000 thyroid FNAs performed in the United States in 2011, more than double the number of FNAs performed in 2006.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We estimate the average cost of surgery to be $15,000, and surgery can result in complications and leave a patient in need of thyroid hormone replacement therapy for life.</w:t>
      </w:r>
    </w:p>
    <w:p>
      <w:pPr>
        <w:spacing w:after="0" w:line="393" w:lineRule="exact"/>
        <w:rPr>
          <w:sz w:val="20"/>
          <w:szCs w:val="20"/>
          <w:color w:val="auto"/>
        </w:rPr>
      </w:pPr>
    </w:p>
    <w:p>
      <w:pPr>
        <w:jc w:val="both"/>
        <w:ind w:firstLine="488"/>
        <w:spacing w:after="0" w:line="287"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of Medicine </w:t>
      </w:r>
      <w:r>
        <w:rPr>
          <w:rFonts w:ascii="Arial" w:cs="Arial" w:eastAsia="Arial" w:hAnsi="Arial"/>
          <w:sz w:val="16"/>
          <w:szCs w:val="16"/>
          <w:color w:val="auto"/>
        </w:rPr>
        <w:t>in 2012, the GEC reduces the number of unnecessary diagnostic surgeries by analyzing the genomic signature of FNA samples judged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indeterminate by cytopathology and reclassifies approximately 50% as benign.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an approximate 90% reduction in surgeries for the 52% of patients receiving a GEC benign result. In other words, approximately 90% of the 52% of patients receiving a GEC benign result make the decision to avoid a surgery. A recent multicenter clinical utility study published in </w:t>
      </w:r>
      <w:r>
        <w:rPr>
          <w:rFonts w:ascii="Arial" w:cs="Arial" w:eastAsia="Arial" w:hAnsi="Arial"/>
          <w:sz w:val="16"/>
          <w:szCs w:val="16"/>
          <w:i w:val="1"/>
          <w:iCs w:val="1"/>
          <w:color w:val="auto"/>
        </w:rPr>
        <w:t>The Journal of Clinical Endocrinology and Metabolism</w:t>
      </w:r>
      <w:r>
        <w:rPr>
          <w:rFonts w:ascii="Arial" w:cs="Arial" w:eastAsia="Arial" w:hAnsi="Arial"/>
          <w:sz w:val="16"/>
          <w:szCs w:val="16"/>
          <w:color w:val="auto"/>
        </w:rPr>
        <w:t xml:space="preserve"> in 2013 confirmed earlier findings of a 90% relative reduction in the decision to operate on cytologically indeterminate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nodules that also had a GEC benign result. The study followed patients a mean of 8.5 months post-diagnosis, thereby demonstrating the durability of a GEC benign result to change patient care. We believe the GEC is currently the only diagnostic test that meets the criteria of the National Comprehensive Cancer Network, or NCCN, for safely monitoring patients with indeterminate cytopathology results in lieu of surgery.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148590</wp:posOffset>
            </wp:positionV>
            <wp:extent cx="5874385" cy="3215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63"/>
        <w:spacing w:after="0" w:line="288"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Afirma Malignancy Classifiers which we plan to introduce in the second quarter of 2014 to identify rare or potentially aggressive forms of thyroid cancer or metastases to the thyroid that are intended to better inform surgical strategy. We are also in late biomarker discovery in interstitial lung disease, or ILD, a group of lung diseases affecting the tissue and space around the microscopic air sacs of the lungs that are often difficult to diagnose without a surgical lung biopsy. Specifically, we intend to improve the accuracy of diagnosis of idiopathic pulmonary fibrosis, or IPF, a rapidly progressive ILD manifested by lung scarring that is often fatal, as well as other difficult to diagnose ILDs, without subjecting patients to an invasive surgical lung biopsy and enabling them to participate in clinical studies or other avenues of treatment would benefit their diagnosis.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Disease Diagnosis Today</w:t>
      </w:r>
    </w:p>
    <w:p>
      <w:pPr>
        <w:spacing w:after="0" w:line="231" w:lineRule="exact"/>
        <w:rPr>
          <w:sz w:val="20"/>
          <w:szCs w:val="20"/>
          <w:color w:val="auto"/>
        </w:rPr>
      </w:pPr>
    </w:p>
    <w:p>
      <w:pPr>
        <w:jc w:val="both"/>
        <w:ind w:firstLine="397"/>
        <w:spacing w:after="0" w:line="291" w:lineRule="auto"/>
        <w:rPr>
          <w:sz w:val="20"/>
          <w:szCs w:val="20"/>
          <w:color w:val="auto"/>
        </w:rPr>
      </w:pPr>
      <w:r>
        <w:rPr>
          <w:rFonts w:ascii="Arial" w:cs="Arial" w:eastAsia="Arial" w:hAnsi="Arial"/>
          <w:sz w:val="16"/>
          <w:szCs w:val="16"/>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 patient care would be meaningfully improved with lower costs if that diagnosis could be provided without surgery.</w:t>
      </w:r>
    </w:p>
    <w:p>
      <w:pPr>
        <w:spacing w:after="0" w:line="167" w:lineRule="exact"/>
        <w:rPr>
          <w:sz w:val="20"/>
          <w:szCs w:val="20"/>
          <w:color w:val="auto"/>
        </w:rPr>
      </w:pPr>
    </w:p>
    <w:p>
      <w:pPr>
        <w:jc w:val="both"/>
        <w:ind w:firstLine="422"/>
        <w:spacing w:after="0" w:line="291"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4"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jc w:val="both"/>
        <w:ind w:firstLine="408"/>
        <w:spacing w:after="0" w:line="287"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7" w:lineRule="exact"/>
        <w:rPr>
          <w:sz w:val="20"/>
          <w:szCs w:val="20"/>
          <w:color w:val="auto"/>
        </w:rPr>
      </w:pPr>
    </w:p>
    <w:p>
      <w:pPr>
        <w:jc w:val="both"/>
        <w:ind w:right="20" w:firstLine="389"/>
        <w:spacing w:after="0" w:line="332" w:lineRule="auto"/>
        <w:rPr>
          <w:sz w:val="20"/>
          <w:szCs w:val="20"/>
          <w:color w:val="auto"/>
        </w:rPr>
      </w:pPr>
      <w:r>
        <w:rPr>
          <w:rFonts w:ascii="Arial" w:cs="Arial" w:eastAsia="Arial" w:hAnsi="Arial"/>
          <w:sz w:val="16"/>
          <w:szCs w:val="16"/>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 partner with key opinion leaders to design and execute clinical studies that specifically validate the key attributes we believe will be required for broad adoption and reimbursement of our products.</w:t>
      </w:r>
    </w:p>
    <w:p>
      <w:pPr>
        <w:spacing w:after="0" w:line="198"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72"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Thyroid Nodule Diagnostic Market</w:t>
      </w:r>
    </w:p>
    <w:p>
      <w:pPr>
        <w:spacing w:after="0" w:line="231" w:lineRule="exact"/>
        <w:rPr>
          <w:sz w:val="20"/>
          <w:szCs w:val="20"/>
          <w:color w:val="auto"/>
        </w:rPr>
      </w:pPr>
    </w:p>
    <w:p>
      <w:pPr>
        <w:jc w:val="both"/>
        <w:ind w:firstLine="386"/>
        <w:spacing w:after="0" w:line="332" w:lineRule="auto"/>
        <w:rPr>
          <w:sz w:val="20"/>
          <w:szCs w:val="20"/>
          <w:color w:val="auto"/>
        </w:rPr>
      </w:pPr>
      <w:r>
        <w:rPr>
          <w:rFonts w:ascii="Arial" w:cs="Arial" w:eastAsia="Arial" w:hAnsi="Arial"/>
          <w:sz w:val="16"/>
          <w:szCs w:val="16"/>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53" w:lineRule="exact"/>
        <w:rPr>
          <w:sz w:val="20"/>
          <w:szCs w:val="20"/>
          <w:color w:val="auto"/>
        </w:rPr>
      </w:pPr>
    </w:p>
    <w:p>
      <w:pPr>
        <w:jc w:val="both"/>
        <w:ind w:left="1080" w:hanging="532"/>
        <w:spacing w:after="0" w:line="28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Large, growing market. </w:t>
      </w:r>
      <w:r>
        <w:rPr>
          <w:rFonts w:ascii="Arial" w:cs="Arial" w:eastAsia="Arial" w:hAnsi="Arial"/>
          <w:sz w:val="16"/>
          <w:szCs w:val="16"/>
          <w:color w:val="auto"/>
        </w:rPr>
        <w:t>Thyroid cancer is the fastest growing cancer in the United States according to the American Cancer Society, and</w:t>
      </w:r>
      <w:r>
        <w:rPr>
          <w:rFonts w:ascii="Arial" w:cs="Arial" w:eastAsia="Arial" w:hAnsi="Arial"/>
          <w:sz w:val="16"/>
          <w:szCs w:val="16"/>
          <w:i w:val="1"/>
          <w:iCs w:val="1"/>
          <w:color w:val="auto"/>
        </w:rPr>
        <w:t xml:space="preserve"> </w:t>
      </w:r>
      <w:r>
        <w:rPr>
          <w:rFonts w:ascii="Arial" w:cs="Arial" w:eastAsia="Arial" w:hAnsi="Arial"/>
          <w:sz w:val="16"/>
          <w:szCs w:val="16"/>
          <w:color w:val="auto"/>
        </w:rPr>
        <w:t>screening of nodules suspicious for cancer is rapidly increasing the number of thyroid FNAs performed. Approximately 525,000 thyroid FNAs were performed in the United States in 2011. We estimate our addressable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not our list price at which we bill. Based on our research of our primary international target markets, we believe that there is an estimated $300 million market opportunity for the GEC internationally. Because Afirma represents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a significant innovation for an underserved and relatively concentrated base of physicians, we believe we can effectively market Afirma with a small specialty sales force.</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High costs of unnecessary surgery for patients and payers. </w:t>
      </w:r>
      <w:r>
        <w:rPr>
          <w:rFonts w:ascii="Arial" w:cs="Arial" w:eastAsia="Arial" w:hAnsi="Arial"/>
          <w:sz w:val="16"/>
          <w:szCs w:val="16"/>
          <w:color w:val="auto"/>
        </w:rPr>
        <w:t>The biology of thyroid cells is complex. Microscopic analysis by a cytopathologist</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results in 15% to 30% of diagnoses being deemed indeterminate, meaning they cannot be diagnosed as definitively benign or malignant by 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96"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Concentrated base of customers. </w:t>
      </w:r>
      <w:r>
        <w:rPr>
          <w:rFonts w:ascii="Arial" w:cs="Arial" w:eastAsia="Arial" w:hAnsi="Arial"/>
          <w:sz w:val="16"/>
          <w:szCs w:val="16"/>
          <w:color w:val="auto"/>
        </w:rPr>
        <w:t>We estimate that approximately 3,500 endocrinologists specialize in thyroid disease and influence the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of care. We also serve other specialists, including radiologists and Ear, Nose and Throat, or ENT, physicians who also perform FNAs. While endocrinologists generally diagnose patients and refer them to surgery when necessary, endocrinologists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83"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Highly fragmented thyroid FNA cytopathology market. </w:t>
      </w:r>
      <w:r>
        <w:rPr>
          <w:rFonts w:ascii="Arial" w:cs="Arial" w:eastAsia="Arial" w:hAnsi="Arial"/>
          <w:sz w:val="18"/>
          <w:szCs w:val="18"/>
          <w:color w:val="auto"/>
        </w:rPr>
        <w:t>We believe the analysis of thyroid FNAs is highly fragmented among local</w:t>
      </w:r>
      <w:r>
        <w:rPr>
          <w:rFonts w:ascii="Arial" w:cs="Arial" w:eastAsia="Arial" w:hAnsi="Arial"/>
          <w:sz w:val="18"/>
          <w:szCs w:val="18"/>
          <w:i w:val="1"/>
          <w:iCs w:val="1"/>
          <w:color w:val="auto"/>
        </w:rPr>
        <w:t xml:space="preserve"> </w:t>
      </w:r>
      <w:r>
        <w:rPr>
          <w:rFonts w:ascii="Arial" w:cs="Arial" w:eastAsia="Arial" w:hAnsi="Arial"/>
          <w:sz w:val="18"/>
          <w:szCs w:val="18"/>
          <w:color w:val="auto"/>
        </w:rPr>
        <w:t>cytopathologists 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Thyroid FNA Analysis</w:t>
      </w:r>
    </w:p>
    <w:p>
      <w:pPr>
        <w:spacing w:after="0" w:line="23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94" w:lineRule="exact"/>
        <w:rPr>
          <w:sz w:val="20"/>
          <w:szCs w:val="20"/>
          <w:color w:val="auto"/>
        </w:rPr>
      </w:pPr>
    </w:p>
    <w:p>
      <w:pPr>
        <w:jc w:val="both"/>
        <w:ind w:firstLine="498"/>
        <w:spacing w:after="0" w:line="289" w:lineRule="auto"/>
        <w:rPr>
          <w:sz w:val="20"/>
          <w:szCs w:val="20"/>
          <w:color w:val="auto"/>
        </w:rPr>
      </w:pPr>
      <w:r>
        <w:rPr>
          <w:rFonts w:ascii="Arial" w:cs="Arial" w:eastAsia="Arial" w:hAnsi="Arial"/>
          <w:sz w:val="16"/>
          <w:szCs w:val="16"/>
          <w:color w:val="auto"/>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Cytopathology Partners, or TCP, a specialized practice that provides cytopathology professional diagnoses on these samples.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In addition to our customers in community practices, we serve academic and hospital-based customers who perform their own cytopathology analyses and send us only the GEC when the cytopathology result is indeterminate. This customer base, though smaller, is important since these physicians often influence the standard of care as thought leaders.</w:t>
      </w:r>
    </w:p>
    <w:p>
      <w:pPr>
        <w:spacing w:after="0" w:line="194"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By using a large, high volume, thyroid specialized pathology practice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61"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94"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Whether the final result is rendered by cytopathology alone or a combination of cytopathology and the GEC, physicians receive an actionable answer based on samples collected in a single patient visit.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148590</wp:posOffset>
            </wp:positionV>
            <wp:extent cx="5556885" cy="316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688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Afirma for Stakeholders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Patients</w:t>
      </w:r>
    </w:p>
    <w:p>
      <w:pPr>
        <w:spacing w:after="0" w:line="225"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With the GEC, approximately half of the patients with indeterminate cytology results that are reclassified to benign may avoid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Physicians</w:t>
      </w:r>
    </w:p>
    <w:p>
      <w:pPr>
        <w:spacing w:after="0" w:line="225"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somewhat satisfied, very satisfied or extremely satisfied with the services of TCP.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Payers</w:t>
      </w:r>
    </w:p>
    <w:p>
      <w:pPr>
        <w:spacing w:after="0" w:line="225"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8"/>
          <w:szCs w:val="18"/>
          <w:i w:val="1"/>
          <w:iCs w:val="1"/>
          <w:color w:val="auto"/>
        </w:rPr>
        <w:t>Journal of Clinical Endocrinology and Metabolism</w:t>
      </w:r>
      <w:r>
        <w:rPr>
          <w:rFonts w:ascii="Arial" w:cs="Arial" w:eastAsia="Arial" w:hAnsi="Arial"/>
          <w:sz w:val="18"/>
          <w:szCs w:val="18"/>
          <w:color w:val="auto"/>
        </w:rPr>
        <w:t xml:space="preserve"> in 2011, concluded that routine use of the GEC in the United States would prevent tens of thousands of surgeries each year. Based on our estimate of the average costs of surgery of $15,000 as well as the findings from this study and the clinical utility study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in 2012, we believe full adoption of Afirma would result in over $500 million in direct cost savings to the healthcare system over five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Our goal is to resolve diagnostic ambiguity preoperatively, allowing patients to avoid unnecessary procedures and generate significant cost savings for the healthcare system.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initiatives driving our strategy include:</w:t>
      </w:r>
    </w:p>
    <w:p>
      <w:pPr>
        <w:spacing w:after="0" w:line="239" w:lineRule="exact"/>
        <w:rPr>
          <w:sz w:val="20"/>
          <w:szCs w:val="20"/>
          <w:color w:val="auto"/>
        </w:rPr>
      </w:pPr>
    </w:p>
    <w:p>
      <w:pPr>
        <w:jc w:val="both"/>
        <w:ind w:left="108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 the growth of Afirma. </w:t>
      </w:r>
      <w:r>
        <w:rPr>
          <w:rFonts w:ascii="Arial" w:cs="Arial" w:eastAsia="Arial" w:hAnsi="Arial"/>
          <w:sz w:val="18"/>
          <w:szCs w:val="18"/>
          <w:color w:val="auto"/>
        </w:rPr>
        <w:t>We will continue to drive rapid adoption of Afirma by expanding our base of prescribing physicians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25"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Market our novel molecular diagnostic tests as the centerpiece of a comprehensive patient care solution. </w:t>
      </w:r>
      <w:r>
        <w:rPr>
          <w:rFonts w:ascii="Arial" w:cs="Arial" w:eastAsia="Arial" w:hAnsi="Arial"/>
          <w:sz w:val="18"/>
          <w:szCs w:val="18"/>
          <w:color w:val="auto"/>
        </w:rPr>
        <w:t>In each disease area we pursue,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210"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cost and capital efficiencies by offering turnkey solutions to physicians in specialty markets. </w:t>
      </w:r>
      <w:r>
        <w:rPr>
          <w:rFonts w:ascii="Arial" w:cs="Arial" w:eastAsia="Arial" w:hAnsi="Arial"/>
          <w:sz w:val="18"/>
          <w:szCs w:val="18"/>
          <w:color w:val="auto"/>
        </w:rPr>
        <w:t>The infrastructure we have built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Afirma 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to achieve scale in Afirma with only incremental capital investments. We intend to target diseases that are well suited to this sales model whenever possible.</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Broaden our addressable market in endocrinology. </w:t>
      </w:r>
      <w:r>
        <w:rPr>
          <w:rFonts w:ascii="Arial" w:cs="Arial" w:eastAsia="Arial" w:hAnsi="Arial"/>
          <w:sz w:val="16"/>
          <w:szCs w:val="16"/>
          <w:color w:val="auto"/>
        </w:rPr>
        <w:t>Our product development pipeline includes additional genomic tests to complement Afirma</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serve our current base of physician customers. The large volumes of thyroid FNA samples we receive in the course of performing Afirma provides us with access to patient FNAs from rare malignancies or cancers that have metastasized to the thyroid gland. For example, we are preparing to launch in the second quarter of 2014 our Afirma Malignancy Classifiers, our first product extension to help guide surgical strategy for the treatment of medullary thyroid cancer and other rare or potentially aggressive forms of thyroid cancer.</w:t>
      </w:r>
    </w:p>
    <w:p>
      <w:pPr>
        <w:spacing w:after="0" w:line="196"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molecular cytology to additional diseases. </w:t>
      </w:r>
      <w:r>
        <w:rPr>
          <w:rFonts w:ascii="Arial" w:cs="Arial" w:eastAsia="Arial" w:hAnsi="Arial"/>
          <w:sz w:val="16"/>
          <w:szCs w:val="16"/>
          <w:color w:val="auto"/>
        </w:rPr>
        <w:t>We intend to apply our core competencies we have developed in disease selection, genomic</w:t>
      </w:r>
      <w:r>
        <w:rPr>
          <w:rFonts w:ascii="Arial" w:cs="Arial" w:eastAsia="Arial" w:hAnsi="Arial"/>
          <w:sz w:val="16"/>
          <w:szCs w:val="16"/>
          <w:i w:val="1"/>
          <w:iCs w:val="1"/>
          <w:color w:val="auto"/>
        </w:rPr>
        <w:t xml:space="preserve"> </w:t>
      </w:r>
      <w:r>
        <w:rPr>
          <w:rFonts w:ascii="Arial" w:cs="Arial" w:eastAsia="Arial" w:hAnsi="Arial"/>
          <w:sz w:val="16"/>
          <w:szCs w:val="16"/>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 product in 2016 and believe this product will serve as the foundational application to expand our molecular cytology platform within the pulmonology vertical.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Afirma Gene Expression Classifier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225" w:lineRule="exact"/>
        <w:rPr>
          <w:sz w:val="20"/>
          <w:szCs w:val="20"/>
          <w:color w:val="auto"/>
        </w:rPr>
      </w:pPr>
    </w:p>
    <w:p>
      <w:pPr>
        <w:jc w:val="both"/>
        <w:ind w:firstLine="421"/>
        <w:spacing w:after="0" w:line="288" w:lineRule="auto"/>
        <w:rPr>
          <w:sz w:val="20"/>
          <w:szCs w:val="20"/>
          <w:color w:val="auto"/>
        </w:rPr>
      </w:pPr>
      <w:r>
        <w:rPr>
          <w:rFonts w:ascii="Arial" w:cs="Arial" w:eastAsia="Arial" w:hAnsi="Arial"/>
          <w:sz w:val="16"/>
          <w:szCs w:val="16"/>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6"/>
          <w:szCs w:val="16"/>
          <w:i w:val="1"/>
          <w:iCs w:val="1"/>
          <w:color w:val="auto"/>
        </w:rPr>
        <w:t>Journal of Clinical Endocrinology and Metabolism.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Validation</w:t>
      </w:r>
    </w:p>
    <w:p>
      <w:pPr>
        <w:spacing w:after="0" w:line="225"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Preoperative Diagnosis of Benign Thyroid Nodules with Indeterminate Cytology (The New England Journal of Medicine, 2012)</w:t>
      </w:r>
    </w:p>
    <w:p>
      <w:pPr>
        <w:spacing w:after="0" w:line="225"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94"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Molecular Classification of Thyroid Nodules using High-Dimensionality Genomic Data (Journal of Clinical Endocrinology and Metabolism, 2010)</w:t>
      </w:r>
    </w:p>
    <w:p>
      <w:pPr>
        <w:spacing w:after="0" w:line="248"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In this study, which we sponsored, our FNA trained classifier exhibited an NPV of 96% on a modest sized test set of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98" w:lineRule="exact"/>
        <w:rPr>
          <w:sz w:val="20"/>
          <w:szCs w:val="20"/>
          <w:color w:val="auto"/>
        </w:rPr>
      </w:pPr>
    </w:p>
    <w:p>
      <w:pPr>
        <w:jc w:val="both"/>
        <w:ind w:firstLine="538"/>
        <w:spacing w:after="0" w:line="254" w:lineRule="auto"/>
        <w:rPr>
          <w:sz w:val="20"/>
          <w:szCs w:val="20"/>
          <w:color w:val="auto"/>
        </w:rPr>
      </w:pPr>
      <w:r>
        <w:rPr>
          <w:rFonts w:ascii="Arial" w:cs="Arial" w:eastAsia="Arial" w:hAnsi="Arial"/>
          <w:sz w:val="18"/>
          <w:szCs w:val="18"/>
          <w:color w:val="auto"/>
        </w:rPr>
        <w:t>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Utility and Cost Effectiveness</w:t>
      </w:r>
    </w:p>
    <w:p>
      <w:pPr>
        <w:spacing w:after="0" w:line="225" w:lineRule="exact"/>
        <w:rPr>
          <w:sz w:val="20"/>
          <w:szCs w:val="20"/>
          <w:color w:val="auto"/>
        </w:rPr>
      </w:pPr>
    </w:p>
    <w:p>
      <w:pPr>
        <w:jc w:val="both"/>
        <w:ind w:firstLine="368"/>
        <w:spacing w:after="0" w:line="289" w:lineRule="auto"/>
        <w:rPr>
          <w:sz w:val="20"/>
          <w:szCs w:val="20"/>
          <w:color w:val="auto"/>
        </w:rPr>
      </w:pPr>
      <w:r>
        <w:rPr>
          <w:rFonts w:ascii="Arial" w:cs="Arial" w:eastAsia="Arial" w:hAnsi="Arial"/>
          <w:sz w:val="16"/>
          <w:szCs w:val="16"/>
          <w:color w:val="auto"/>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 to 30% risk of malignancy when resected, approximately 70% to 80% of these operations will likely be on nodules determined to be benign post-operatively. According to a study published in </w:t>
      </w:r>
      <w:r>
        <w:rPr>
          <w:rFonts w:ascii="Arial" w:cs="Arial" w:eastAsia="Arial" w:hAnsi="Arial"/>
          <w:sz w:val="16"/>
          <w:szCs w:val="16"/>
          <w:i w:val="1"/>
          <w:iCs w:val="1"/>
          <w:color w:val="auto"/>
        </w:rPr>
        <w:t xml:space="preserve">PloS Currents: Evidence of Genomic Tests </w:t>
      </w:r>
      <w:r>
        <w:rPr>
          <w:rFonts w:ascii="Arial" w:cs="Arial" w:eastAsia="Arial" w:hAnsi="Arial"/>
          <w:sz w:val="16"/>
          <w:szCs w:val="16"/>
          <w:color w:val="auto"/>
        </w:rPr>
        <w:t>in 2013, thyroid surgery is associated with potential complications, including temporary and permanent hypocalcemia,</w:t>
      </w:r>
      <w:r>
        <w:rPr>
          <w:rFonts w:ascii="Arial" w:cs="Arial" w:eastAsia="Arial" w:hAnsi="Arial"/>
          <w:sz w:val="16"/>
          <w:szCs w:val="16"/>
          <w:i w:val="1"/>
          <w:iCs w:val="1"/>
          <w:color w:val="auto"/>
        </w:rPr>
        <w:t xml:space="preserve"> </w:t>
      </w:r>
      <w:r>
        <w:rPr>
          <w:rFonts w:ascii="Arial" w:cs="Arial" w:eastAsia="Arial" w:hAnsi="Arial"/>
          <w:sz w:val="16"/>
          <w:szCs w:val="16"/>
          <w:color w:val="auto"/>
        </w:rPr>
        <w:t>recurrent laryngeal 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86" w:lineRule="exact"/>
        <w:rPr>
          <w:sz w:val="20"/>
          <w:szCs w:val="20"/>
          <w:color w:val="auto"/>
        </w:rPr>
      </w:pPr>
    </w:p>
    <w:p>
      <w:pPr>
        <w:jc w:val="both"/>
        <w:ind w:firstLine="431"/>
        <w:spacing w:after="0" w:line="286" w:lineRule="auto"/>
        <w:rPr>
          <w:sz w:val="20"/>
          <w:szCs w:val="20"/>
          <w:color w:val="auto"/>
        </w:rPr>
      </w:pPr>
      <w:r>
        <w:rPr>
          <w:rFonts w:ascii="Arial" w:cs="Arial" w:eastAsia="Arial" w:hAnsi="Arial"/>
          <w:sz w:val="16"/>
          <w:szCs w:val="16"/>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 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(95% CI 5.1 to 10.8) of patients, compared to the 74% historic rate of surgery on indeterminate thyroid nodules previously reported by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2011, a 90% relative reduction in the decision to operate (p &lt; 0.001). Additionally, this 7.6% rate of surgery is similar to the 9.0% rate of surgery associated with cytology benign FNA results and reflects other factors considered by physicians, including the size and growth rate of the nodule, the presence of other suspicious or malignant nodules,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other symptoms. The study demonstrates the effect of the GEC on clinical decision making for patients with indeterminate thyroid nodules. The graph below sets forth the results of the study: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Afirma Gene Expression Classifier: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144145</wp:posOffset>
            </wp:positionV>
            <wp:extent cx="3430270" cy="3302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027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 xml:space="preserve">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 indeterminate FNAs but benign GEC results. The study, entitled </w:t>
      </w:r>
      <w:r>
        <w:rPr>
          <w:rFonts w:ascii="Arial" w:cs="Arial" w:eastAsia="Arial" w:hAnsi="Arial"/>
          <w:sz w:val="16"/>
          <w:szCs w:val="16"/>
          <w:i w:val="1"/>
          <w:iCs w:val="1"/>
          <w:color w:val="auto"/>
        </w:rPr>
        <w:t>Clinical Practice Impact of a Novel mRNA-based Gene Expression Classifier in Thyroid Nodules with</w:t>
      </w:r>
      <w:r>
        <w:rPr>
          <w:rFonts w:ascii="Arial" w:cs="Arial" w:eastAsia="Arial" w:hAnsi="Arial"/>
          <w:sz w:val="16"/>
          <w:szCs w:val="16"/>
          <w:color w:val="auto"/>
        </w:rPr>
        <w:t xml:space="preserve"> </w:t>
      </w:r>
      <w:r>
        <w:rPr>
          <w:rFonts w:ascii="Arial" w:cs="Arial" w:eastAsia="Arial" w:hAnsi="Arial"/>
          <w:sz w:val="16"/>
          <w:szCs w:val="16"/>
          <w:i w:val="1"/>
          <w:iCs w:val="1"/>
          <w:color w:val="auto"/>
        </w:rPr>
        <w:t>Indeterminate Fine Needle Aspiration Cytopathology</w:t>
      </w:r>
      <w:r>
        <w:rPr>
          <w:rFonts w:ascii="Arial" w:cs="Arial" w:eastAsia="Arial" w:hAnsi="Arial"/>
          <w:sz w:val="16"/>
          <w:szCs w:val="16"/>
          <w:color w:val="auto"/>
        </w:rPr>
        <w:t>, was presented at the American Thyroid Association annual scientific meeting in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economics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i w:val="1"/>
          <w:iCs w:val="1"/>
          <w:color w:val="auto"/>
        </w:rPr>
        <w:t>Cost-effectiveness of a Novel Molecular Test for Cytologically Indeterminate Thyroid Nodules (Journal of Clinical Endocrinology and Metabolism, 2011) ©The Endocrine Society*</w:t>
      </w:r>
    </w:p>
    <w:p>
      <w:pPr>
        <w:spacing w:after="0" w:line="186" w:lineRule="exact"/>
        <w:rPr>
          <w:sz w:val="20"/>
          <w:szCs w:val="20"/>
          <w:color w:val="auto"/>
        </w:rPr>
      </w:pPr>
    </w:p>
    <w:p>
      <w:pPr>
        <w:jc w:val="both"/>
        <w:ind w:right="20" w:firstLine="474"/>
        <w:spacing w:after="0" w:line="306" w:lineRule="auto"/>
        <w:rPr>
          <w:sz w:val="20"/>
          <w:szCs w:val="20"/>
          <w:color w:val="auto"/>
        </w:rPr>
      </w:pPr>
      <w:r>
        <w:rPr>
          <w:rFonts w:ascii="Arial" w:cs="Arial" w:eastAsia="Arial" w:hAnsi="Arial"/>
          <w:sz w:val="16"/>
          <w:szCs w:val="16"/>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6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903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co-author of this study is a consultant and member of our clinical advisory board, and owns shares of our common stock. This study was conducted with the support of institutional research grants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72"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 xml:space="preserve">The cost savings estimate in the Johns Hopkins model was based on an estimated 14% rate of surgery on a GEC benign nodule, which rate is almost double the 7.6% and 6.3% subsequently reported in the studies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Clinical Endocrinology and Metabolism</w:t>
      </w:r>
      <w:r>
        <w:rPr>
          <w:rFonts w:ascii="Arial" w:cs="Arial" w:eastAsia="Arial" w:hAnsi="Arial"/>
          <w:sz w:val="18"/>
          <w:szCs w:val="18"/>
          <w:color w:val="auto"/>
        </w:rPr>
        <w:t xml:space="preserve"> described above. Based on the rate of surgery on GEC benign nodules reported in </w:t>
      </w:r>
      <w:r>
        <w:rPr>
          <w:rFonts w:ascii="Arial" w:cs="Arial" w:eastAsia="Arial" w:hAnsi="Arial"/>
          <w:sz w:val="18"/>
          <w:szCs w:val="18"/>
          <w:i w:val="1"/>
          <w:iCs w:val="1"/>
          <w:color w:val="auto"/>
        </w:rPr>
        <w:t>Thyroid</w:t>
      </w:r>
      <w:r>
        <w:rPr>
          <w:rFonts w:ascii="Arial" w:cs="Arial" w:eastAsia="Arial" w:hAnsi="Arial"/>
          <w:sz w:val="18"/>
          <w:szCs w:val="18"/>
          <w:color w:val="auto"/>
        </w:rPr>
        <w:t>, this study found that each GEC test would save approximately $2,600. The graph below sets forth the results of the Johns Hopkins study: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Patient Quality-Adjusted Life Years (QALY) and Cost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144145</wp:posOffset>
            </wp:positionV>
            <wp:extent cx="3370580" cy="2341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7058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Analytical Validity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i w:val="1"/>
          <w:iCs w:val="1"/>
          <w:color w:val="auto"/>
        </w:rPr>
        <w:t>Analytical Performance Verification of a Molecular Diagnostic for Cytology-Indeterminate Thyroid Nodules (Journal of Clinical Endocrinology and Metabolism, 2012)</w:t>
      </w:r>
    </w:p>
    <w:p>
      <w:pPr>
        <w:spacing w:after="0" w:line="186" w:lineRule="exact"/>
        <w:rPr>
          <w:sz w:val="20"/>
          <w:szCs w:val="20"/>
          <w:color w:val="auto"/>
        </w:rPr>
      </w:pPr>
    </w:p>
    <w:p>
      <w:pPr>
        <w:jc w:val="both"/>
        <w:ind w:firstLine="553"/>
        <w:spacing w:after="0" w:line="259" w:lineRule="auto"/>
        <w:rPr>
          <w:sz w:val="20"/>
          <w:szCs w:val="20"/>
          <w:color w:val="auto"/>
        </w:rPr>
      </w:pPr>
      <w:r>
        <w:rPr>
          <w:rFonts w:ascii="Arial" w:cs="Arial" w:eastAsia="Arial" w:hAnsi="Arial"/>
          <w:sz w:val="18"/>
          <w:szCs w:val="18"/>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94"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the Afirma clinical studies that have been performed to date:</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Study</w:t>
            </w:r>
          </w:p>
        </w:tc>
        <w:tc>
          <w:tcPr>
            <w:tcW w:w="2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Publication/ Presentation</w:t>
            </w:r>
          </w:p>
        </w:tc>
        <w:tc>
          <w:tcPr>
            <w:tcW w:w="13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Main Findings</w:t>
            </w: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i w:val="1"/>
                <w:iCs w:val="1"/>
                <w:color w:val="auto"/>
              </w:rPr>
              <w:t>Clinical Validity</w:t>
            </w:r>
          </w:p>
        </w:tc>
        <w:tc>
          <w:tcPr>
            <w:tcW w:w="2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60" w:type="dxa"/>
            <w:vAlign w:val="bottom"/>
            <w:gridSpan w:val="2"/>
          </w:tcPr>
          <w:p>
            <w:pPr>
              <w:spacing w:after="0" w:line="131" w:lineRule="exact"/>
              <w:rPr>
                <w:sz w:val="20"/>
                <w:szCs w:val="20"/>
                <w:color w:val="auto"/>
              </w:rPr>
            </w:pPr>
            <w:r>
              <w:rPr>
                <w:rFonts w:ascii="Arial" w:cs="Arial" w:eastAsia="Arial" w:hAnsi="Arial"/>
                <w:sz w:val="14"/>
                <w:szCs w:val="14"/>
                <w:color w:val="auto"/>
              </w:rPr>
              <w:t>Preoperative Diagnosis of Benign Thyroid</w:t>
            </w:r>
          </w:p>
        </w:tc>
        <w:tc>
          <w:tcPr>
            <w:tcW w:w="2900" w:type="dxa"/>
            <w:vAlign w:val="bottom"/>
          </w:tcPr>
          <w:p>
            <w:pPr>
              <w:ind w:left="240"/>
              <w:spacing w:after="0" w:line="131" w:lineRule="exact"/>
              <w:rPr>
                <w:sz w:val="20"/>
                <w:szCs w:val="20"/>
                <w:color w:val="auto"/>
              </w:rPr>
            </w:pPr>
            <w:r>
              <w:rPr>
                <w:rFonts w:ascii="Arial" w:cs="Arial" w:eastAsia="Arial" w:hAnsi="Arial"/>
                <w:sz w:val="14"/>
                <w:szCs w:val="14"/>
                <w:i w:val="1"/>
                <w:iCs w:val="1"/>
                <w:color w:val="auto"/>
              </w:rPr>
              <w:t>The New England Journal of Medicine</w:t>
            </w:r>
          </w:p>
        </w:tc>
        <w:tc>
          <w:tcPr>
            <w:tcW w:w="460" w:type="dxa"/>
            <w:vAlign w:val="bottom"/>
            <w:vMerge w:val="restart"/>
          </w:tcPr>
          <w:p>
            <w:pPr>
              <w:ind w:left="340"/>
              <w:spacing w:after="0" w:line="199" w:lineRule="exact"/>
              <w:rPr>
                <w:sz w:val="20"/>
                <w:szCs w:val="20"/>
                <w:color w:val="auto"/>
              </w:rPr>
            </w:pPr>
            <w:r>
              <w:rPr>
                <w:rFonts w:ascii="Arial" w:cs="Arial" w:eastAsia="Arial" w:hAnsi="Arial"/>
                <w:sz w:val="22"/>
                <w:szCs w:val="22"/>
                <w:color w:val="auto"/>
              </w:rPr>
              <w:t>•</w:t>
            </w:r>
          </w:p>
        </w:tc>
        <w:tc>
          <w:tcPr>
            <w:tcW w:w="440" w:type="dxa"/>
            <w:vAlign w:val="bottom"/>
            <w:vMerge w:val="restart"/>
          </w:tcPr>
          <w:p>
            <w:pPr>
              <w:ind w:left="60"/>
              <w:spacing w:after="0"/>
              <w:rPr>
                <w:sz w:val="20"/>
                <w:szCs w:val="20"/>
                <w:color w:val="auto"/>
              </w:rPr>
            </w:pPr>
            <w:r>
              <w:rPr>
                <w:rFonts w:ascii="Arial" w:cs="Arial" w:eastAsia="Arial" w:hAnsi="Arial"/>
                <w:sz w:val="14"/>
                <w:szCs w:val="14"/>
                <w:color w:val="auto"/>
                <w:w w:val="85"/>
              </w:rPr>
              <w:t>Pivotal</w:t>
            </w: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color w:val="auto"/>
              </w:rPr>
              <w:t>clinical</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color w:val="auto"/>
              </w:rPr>
              <w:t>validation</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w w:val="95"/>
              </w:rPr>
              <w:t>study</w:t>
            </w:r>
          </w:p>
        </w:tc>
        <w:tc>
          <w:tcPr>
            <w:tcW w:w="0" w:type="dxa"/>
            <w:vAlign w:val="bottom"/>
          </w:tcPr>
          <w:p>
            <w:pPr>
              <w:spacing w:after="0"/>
              <w:rPr>
                <w:sz w:val="1"/>
                <w:szCs w:val="1"/>
                <w:color w:val="auto"/>
              </w:rPr>
            </w:pPr>
          </w:p>
        </w:tc>
      </w:tr>
      <w:tr>
        <w:trPr>
          <w:trHeight w:val="68"/>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w w:val="98"/>
              </w:rPr>
              <w:t>Nodules with Indeterminate Cytology(1)(2)(3)</w:t>
            </w:r>
          </w:p>
        </w:tc>
        <w:tc>
          <w:tcPr>
            <w:tcW w:w="2900" w:type="dxa"/>
            <w:vAlign w:val="bottom"/>
            <w:vMerge w:val="restart"/>
          </w:tcPr>
          <w:p>
            <w:pPr>
              <w:ind w:left="240"/>
              <w:spacing w:after="0"/>
              <w:rPr>
                <w:sz w:val="20"/>
                <w:szCs w:val="20"/>
                <w:color w:val="auto"/>
              </w:rPr>
            </w:pPr>
            <w:r>
              <w:rPr>
                <w:rFonts w:ascii="Arial" w:cs="Arial" w:eastAsia="Arial" w:hAnsi="Arial"/>
                <w:sz w:val="14"/>
                <w:szCs w:val="14"/>
                <w:color w:val="auto"/>
              </w:rPr>
              <w:t>(August 2012)</w:t>
            </w:r>
          </w:p>
        </w:tc>
        <w:tc>
          <w:tcPr>
            <w:tcW w:w="4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760" w:type="dxa"/>
            <w:vAlign w:val="bottom"/>
            <w:gridSpan w:val="2"/>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gridSpan w:val="6"/>
            <w:vMerge w:val="restart"/>
          </w:tcPr>
          <w:p>
            <w:pPr>
              <w:ind w:left="60"/>
              <w:spacing w:after="0"/>
              <w:rPr>
                <w:sz w:val="20"/>
                <w:szCs w:val="20"/>
                <w:color w:val="auto"/>
              </w:rPr>
            </w:pPr>
            <w:r>
              <w:rPr>
                <w:rFonts w:ascii="Arial" w:cs="Arial" w:eastAsia="Arial" w:hAnsi="Arial"/>
                <w:sz w:val="14"/>
                <w:szCs w:val="14"/>
                <w:color w:val="auto"/>
                <w:w w:val="97"/>
              </w:rPr>
              <w:t>(prospective, multicenter, double-blind)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22"/>
                <w:szCs w:val="22"/>
                <w:color w:val="auto"/>
              </w:rPr>
              <w:t>•</w:t>
            </w:r>
          </w:p>
        </w:tc>
        <w:tc>
          <w:tcPr>
            <w:tcW w:w="2440" w:type="dxa"/>
            <w:vAlign w:val="bottom"/>
            <w:gridSpan w:val="6"/>
          </w:tcPr>
          <w:p>
            <w:pPr>
              <w:ind w:left="60"/>
              <w:spacing w:after="0"/>
              <w:rPr>
                <w:sz w:val="20"/>
                <w:szCs w:val="20"/>
                <w:color w:val="auto"/>
              </w:rPr>
            </w:pPr>
            <w:r>
              <w:rPr>
                <w:rFonts w:ascii="Arial" w:cs="Arial" w:eastAsia="Arial" w:hAnsi="Arial"/>
                <w:sz w:val="14"/>
                <w:szCs w:val="14"/>
                <w:color w:val="auto"/>
              </w:rPr>
              <w:t>A GEC benign result is comparable in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60"/>
              <w:spacing w:after="0" w:line="159" w:lineRule="exact"/>
              <w:rPr>
                <w:sz w:val="20"/>
                <w:szCs w:val="20"/>
                <w:color w:val="auto"/>
              </w:rPr>
            </w:pPr>
            <w:r>
              <w:rPr>
                <w:rFonts w:ascii="Arial" w:cs="Arial" w:eastAsia="Arial" w:hAnsi="Arial"/>
                <w:sz w:val="14"/>
                <w:szCs w:val="14"/>
                <w:color w:val="auto"/>
                <w:w w:val="89"/>
              </w:rPr>
              <w:t>accuracy to a benign cytology result</w:t>
            </w: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spacing w:after="0" w:line="131" w:lineRule="exact"/>
              <w:rPr>
                <w:sz w:val="20"/>
                <w:szCs w:val="20"/>
                <w:color w:val="auto"/>
              </w:rPr>
            </w:pPr>
            <w:r>
              <w:rPr>
                <w:rFonts w:ascii="Arial" w:cs="Arial" w:eastAsia="Arial" w:hAnsi="Arial"/>
                <w:sz w:val="14"/>
                <w:szCs w:val="14"/>
                <w:color w:val="auto"/>
              </w:rPr>
              <w:t>Molecular Classification of Thyroid Nodules</w:t>
            </w:r>
          </w:p>
        </w:tc>
        <w:tc>
          <w:tcPr>
            <w:tcW w:w="2900" w:type="dxa"/>
            <w:vAlign w:val="bottom"/>
          </w:tcPr>
          <w:p>
            <w:pPr>
              <w:ind w:left="240"/>
              <w:spacing w:after="0" w:line="131" w:lineRule="exact"/>
              <w:rPr>
                <w:sz w:val="20"/>
                <w:szCs w:val="20"/>
                <w:color w:val="auto"/>
              </w:rPr>
            </w:pPr>
            <w:r>
              <w:rPr>
                <w:rFonts w:ascii="Arial" w:cs="Arial" w:eastAsia="Arial" w:hAnsi="Arial"/>
                <w:sz w:val="14"/>
                <w:szCs w:val="14"/>
                <w:i w:val="1"/>
                <w:iCs w:val="1"/>
                <w:color w:val="auto"/>
              </w:rPr>
              <w:t>Journal of Clinical Endocrinology and</w:t>
            </w:r>
          </w:p>
        </w:tc>
        <w:tc>
          <w:tcPr>
            <w:tcW w:w="2900" w:type="dxa"/>
            <w:vAlign w:val="bottom"/>
            <w:gridSpan w:val="7"/>
            <w:vMerge w:val="restart"/>
          </w:tcPr>
          <w:p>
            <w:pPr>
              <w:ind w:left="340"/>
              <w:spacing w:after="0" w:line="199"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13"/>
                <w:szCs w:val="13"/>
                <w:color w:val="auto"/>
                <w:w w:val="98"/>
              </w:rPr>
              <w:t>First prospective, multicenter, double-blind</w:t>
            </w:r>
          </w:p>
        </w:tc>
        <w:tc>
          <w:tcPr>
            <w:tcW w:w="0" w:type="dxa"/>
            <w:vAlign w:val="bottom"/>
          </w:tcPr>
          <w:p>
            <w:pPr>
              <w:spacing w:after="0"/>
              <w:rPr>
                <w:sz w:val="1"/>
                <w:szCs w:val="1"/>
                <w:color w:val="auto"/>
              </w:rPr>
            </w:pPr>
          </w:p>
        </w:tc>
      </w:tr>
      <w:tr>
        <w:trPr>
          <w:trHeight w:val="68"/>
        </w:trPr>
        <w:tc>
          <w:tcPr>
            <w:tcW w:w="2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9"/>
              </w:rPr>
              <w:t>Using High-Dimensionality Genomic Data(1)</w:t>
            </w:r>
          </w:p>
        </w:tc>
        <w:tc>
          <w:tcPr>
            <w:tcW w:w="2900" w:type="dxa"/>
            <w:vAlign w:val="bottom"/>
            <w:vMerge w:val="restart"/>
          </w:tcPr>
          <w:p>
            <w:pPr>
              <w:ind w:left="240"/>
              <w:spacing w:after="0" w:line="149" w:lineRule="exact"/>
              <w:rPr>
                <w:sz w:val="20"/>
                <w:szCs w:val="20"/>
                <w:color w:val="auto"/>
              </w:rPr>
            </w:pPr>
            <w:r>
              <w:rPr>
                <w:rFonts w:ascii="Arial" w:cs="Arial" w:eastAsia="Arial" w:hAnsi="Arial"/>
                <w:sz w:val="14"/>
                <w:szCs w:val="14"/>
                <w:i w:val="1"/>
                <w:iCs w:val="1"/>
                <w:color w:val="auto"/>
              </w:rPr>
              <w:t>Metabolism</w:t>
            </w:r>
          </w:p>
        </w:tc>
        <w:tc>
          <w:tcPr>
            <w:tcW w:w="29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color w:val="auto"/>
              </w:rPr>
              <w:t>validation study</w:t>
            </w: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(2)(3)</w:t>
            </w:r>
          </w:p>
        </w:tc>
        <w:tc>
          <w:tcPr>
            <w:tcW w:w="2900" w:type="dxa"/>
            <w:vAlign w:val="bottom"/>
            <w:vMerge w:val="restart"/>
          </w:tcPr>
          <w:p>
            <w:pPr>
              <w:ind w:left="240"/>
              <w:spacing w:after="0"/>
              <w:rPr>
                <w:sz w:val="20"/>
                <w:szCs w:val="20"/>
                <w:color w:val="auto"/>
              </w:rPr>
            </w:pPr>
            <w:r>
              <w:rPr>
                <w:rFonts w:ascii="Arial" w:cs="Arial" w:eastAsia="Arial" w:hAnsi="Arial"/>
                <w:sz w:val="14"/>
                <w:szCs w:val="14"/>
                <w:color w:val="auto"/>
              </w:rPr>
              <w:t>(December 2010)</w:t>
            </w:r>
          </w:p>
        </w:tc>
        <w:tc>
          <w:tcPr>
            <w:tcW w:w="46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22"/>
                <w:szCs w:val="22"/>
                <w:color w:val="auto"/>
              </w:rPr>
              <w:t>•</w:t>
            </w:r>
          </w:p>
        </w:tc>
        <w:tc>
          <w:tcPr>
            <w:tcW w:w="2440" w:type="dxa"/>
            <w:vAlign w:val="bottom"/>
            <w:gridSpan w:val="6"/>
          </w:tcPr>
          <w:p>
            <w:pPr>
              <w:ind w:left="60"/>
              <w:spacing w:after="0"/>
              <w:rPr>
                <w:sz w:val="20"/>
                <w:szCs w:val="20"/>
                <w:color w:val="auto"/>
              </w:rPr>
            </w:pPr>
            <w:r>
              <w:rPr>
                <w:rFonts w:ascii="Arial" w:cs="Arial" w:eastAsia="Arial" w:hAnsi="Arial"/>
                <w:sz w:val="14"/>
                <w:szCs w:val="14"/>
                <w:color w:val="auto"/>
                <w:w w:val="95"/>
              </w:rPr>
              <w:t>Even in the presence of degraded RNA,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3"/>
              </w:rPr>
              <w:t>bloody  samples,  or  malignant  samples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6"/>
              </w:rPr>
              <w:t>diluted up to 80% with aspirate material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6"/>
              </w:rPr>
              <w:t>from benign nodules, the GEC correctly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3"/>
              </w:rPr>
              <w:t>recognizes benign nodules and does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7"/>
              </w:rPr>
              <w:t>miss malignancy in the majority of FNA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rPr>
              <w:t>samples</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Clinical Utility</w:t>
            </w:r>
          </w:p>
        </w:tc>
        <w:tc>
          <w:tcPr>
            <w:tcW w:w="2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60" w:type="dxa"/>
            <w:vAlign w:val="bottom"/>
            <w:gridSpan w:val="2"/>
          </w:tcPr>
          <w:p>
            <w:pPr>
              <w:spacing w:after="0" w:line="131" w:lineRule="exact"/>
              <w:rPr>
                <w:sz w:val="20"/>
                <w:szCs w:val="20"/>
                <w:color w:val="auto"/>
              </w:rPr>
            </w:pPr>
            <w:r>
              <w:rPr>
                <w:rFonts w:ascii="Arial" w:cs="Arial" w:eastAsia="Arial" w:hAnsi="Arial"/>
                <w:sz w:val="14"/>
                <w:szCs w:val="14"/>
                <w:color w:val="auto"/>
              </w:rPr>
              <w:t>Multicenter Clinical Experience with the</w:t>
            </w:r>
          </w:p>
        </w:tc>
        <w:tc>
          <w:tcPr>
            <w:tcW w:w="2900" w:type="dxa"/>
            <w:vAlign w:val="bottom"/>
          </w:tcPr>
          <w:p>
            <w:pPr>
              <w:ind w:left="240"/>
              <w:spacing w:after="0" w:line="131" w:lineRule="exact"/>
              <w:rPr>
                <w:sz w:val="20"/>
                <w:szCs w:val="20"/>
                <w:color w:val="auto"/>
              </w:rPr>
            </w:pPr>
            <w:r>
              <w:rPr>
                <w:rFonts w:ascii="Arial" w:cs="Arial" w:eastAsia="Arial" w:hAnsi="Arial"/>
                <w:sz w:val="14"/>
                <w:szCs w:val="14"/>
                <w:i w:val="1"/>
                <w:iCs w:val="1"/>
                <w:color w:val="auto"/>
              </w:rPr>
              <w:t>The Journal of Clinical Endocrinology and</w:t>
            </w:r>
          </w:p>
        </w:tc>
        <w:tc>
          <w:tcPr>
            <w:tcW w:w="460" w:type="dxa"/>
            <w:vAlign w:val="bottom"/>
            <w:vMerge w:val="restart"/>
          </w:tcPr>
          <w:p>
            <w:pPr>
              <w:ind w:left="340"/>
              <w:spacing w:after="0" w:line="199" w:lineRule="exact"/>
              <w:rPr>
                <w:sz w:val="20"/>
                <w:szCs w:val="20"/>
                <w:color w:val="auto"/>
              </w:rPr>
            </w:pPr>
            <w:r>
              <w:rPr>
                <w:rFonts w:ascii="Arial" w:cs="Arial" w:eastAsia="Arial" w:hAnsi="Arial"/>
                <w:sz w:val="22"/>
                <w:szCs w:val="22"/>
                <w:color w:val="auto"/>
              </w:rPr>
              <w:t>•</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color w:val="auto"/>
                <w:w w:val="97"/>
              </w:rPr>
              <w:t>The study followed</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color w:val="auto"/>
              </w:rPr>
              <w:t>patients a mean of</w:t>
            </w:r>
          </w:p>
        </w:tc>
        <w:tc>
          <w:tcPr>
            <w:tcW w:w="0" w:type="dxa"/>
            <w:vAlign w:val="bottom"/>
          </w:tcPr>
          <w:p>
            <w:pPr>
              <w:spacing w:after="0"/>
              <w:rPr>
                <w:sz w:val="1"/>
                <w:szCs w:val="1"/>
                <w:color w:val="auto"/>
              </w:rPr>
            </w:pPr>
          </w:p>
        </w:tc>
      </w:tr>
      <w:tr>
        <w:trPr>
          <w:trHeight w:val="68"/>
        </w:trPr>
        <w:tc>
          <w:tcPr>
            <w:tcW w:w="2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Afirma Gene Expression Classifier(3)(4)</w:t>
            </w:r>
          </w:p>
        </w:tc>
        <w:tc>
          <w:tcPr>
            <w:tcW w:w="2900" w:type="dxa"/>
            <w:vAlign w:val="bottom"/>
            <w:vMerge w:val="restart"/>
          </w:tcPr>
          <w:p>
            <w:pPr>
              <w:ind w:left="240"/>
              <w:spacing w:after="0" w:line="149" w:lineRule="exact"/>
              <w:rPr>
                <w:sz w:val="20"/>
                <w:szCs w:val="20"/>
                <w:color w:val="auto"/>
              </w:rPr>
            </w:pPr>
            <w:r>
              <w:rPr>
                <w:rFonts w:ascii="Arial" w:cs="Arial" w:eastAsia="Arial" w:hAnsi="Arial"/>
                <w:sz w:val="14"/>
                <w:szCs w:val="14"/>
                <w:i w:val="1"/>
                <w:iCs w:val="1"/>
                <w:color w:val="auto"/>
              </w:rPr>
              <w:t>Metabolism</w:t>
            </w:r>
          </w:p>
        </w:tc>
        <w:tc>
          <w:tcPr>
            <w:tcW w:w="46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8.5</w:t>
            </w:r>
          </w:p>
        </w:tc>
        <w:tc>
          <w:tcPr>
            <w:tcW w:w="460" w:type="dxa"/>
            <w:vAlign w:val="bottom"/>
            <w:vMerge w:val="restart"/>
          </w:tcPr>
          <w:p>
            <w:pPr>
              <w:ind w:left="20"/>
              <w:spacing w:after="0" w:line="149" w:lineRule="exact"/>
              <w:rPr>
                <w:sz w:val="20"/>
                <w:szCs w:val="20"/>
                <w:color w:val="auto"/>
              </w:rPr>
            </w:pPr>
            <w:r>
              <w:rPr>
                <w:rFonts w:ascii="Arial" w:cs="Arial" w:eastAsia="Arial" w:hAnsi="Arial"/>
                <w:sz w:val="14"/>
                <w:szCs w:val="14"/>
                <w:color w:val="auto"/>
                <w:w w:val="91"/>
              </w:rPr>
              <w:t>months</w:t>
            </w:r>
          </w:p>
        </w:tc>
        <w:tc>
          <w:tcPr>
            <w:tcW w:w="1180" w:type="dxa"/>
            <w:vAlign w:val="bottom"/>
            <w:gridSpan w:val="3"/>
            <w:vMerge w:val="restart"/>
          </w:tcPr>
          <w:p>
            <w:pPr>
              <w:ind w:left="200"/>
              <w:spacing w:after="0" w:line="149" w:lineRule="exact"/>
              <w:rPr>
                <w:sz w:val="20"/>
                <w:szCs w:val="20"/>
                <w:color w:val="auto"/>
              </w:rPr>
            </w:pPr>
            <w:r>
              <w:rPr>
                <w:rFonts w:ascii="Arial" w:cs="Arial" w:eastAsia="Arial" w:hAnsi="Arial"/>
                <w:sz w:val="14"/>
                <w:szCs w:val="14"/>
                <w:color w:val="auto"/>
              </w:rPr>
              <w:t>pos-diagnosis</w:t>
            </w:r>
          </w:p>
        </w:tc>
        <w:tc>
          <w:tcPr>
            <w:tcW w:w="3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w w:val="89"/>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900" w:type="dxa"/>
            <w:vAlign w:val="bottom"/>
            <w:vMerge w:val="restart"/>
          </w:tcPr>
          <w:p>
            <w:pPr>
              <w:ind w:left="240"/>
              <w:spacing w:after="0"/>
              <w:rPr>
                <w:sz w:val="20"/>
                <w:szCs w:val="20"/>
                <w:color w:val="auto"/>
              </w:rPr>
            </w:pPr>
            <w:r>
              <w:rPr>
                <w:rFonts w:ascii="Arial" w:cs="Arial" w:eastAsia="Arial" w:hAnsi="Arial"/>
                <w:sz w:val="14"/>
                <w:szCs w:val="14"/>
                <w:color w:val="auto"/>
              </w:rPr>
              <w:t>(October 2013)</w:t>
            </w: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gridSpan w:val="6"/>
            <w:vMerge w:val="restart"/>
          </w:tcPr>
          <w:p>
            <w:pPr>
              <w:ind w:left="60"/>
              <w:spacing w:after="0" w:line="149" w:lineRule="exact"/>
              <w:rPr>
                <w:sz w:val="20"/>
                <w:szCs w:val="20"/>
                <w:color w:val="auto"/>
              </w:rPr>
            </w:pPr>
            <w:r>
              <w:rPr>
                <w:rFonts w:ascii="Arial" w:cs="Arial" w:eastAsia="Arial" w:hAnsi="Arial"/>
                <w:sz w:val="14"/>
                <w:szCs w:val="14"/>
                <w:color w:val="auto"/>
                <w:w w:val="94"/>
              </w:rPr>
              <w:t>demonstrated  the  durability  of  a  GEC</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5"/>
          </w:tcPr>
          <w:p>
            <w:pPr>
              <w:ind w:left="60"/>
              <w:spacing w:after="0"/>
              <w:rPr>
                <w:sz w:val="20"/>
                <w:szCs w:val="20"/>
                <w:color w:val="auto"/>
              </w:rPr>
            </w:pPr>
            <w:r>
              <w:rPr>
                <w:rFonts w:ascii="Arial" w:cs="Arial" w:eastAsia="Arial" w:hAnsi="Arial"/>
                <w:sz w:val="14"/>
                <w:szCs w:val="14"/>
                <w:color w:val="auto"/>
                <w:w w:val="88"/>
              </w:rPr>
              <w:t>benign result to change patient care.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3"/>
                <w:szCs w:val="13"/>
                <w:color w:val="auto"/>
              </w:rPr>
              <w:t>GEC</w:t>
            </w:r>
          </w:p>
        </w:tc>
        <w:tc>
          <w:tcPr>
            <w:tcW w:w="460" w:type="dxa"/>
            <w:vAlign w:val="bottom"/>
          </w:tcPr>
          <w:p>
            <w:pPr>
              <w:spacing w:after="0"/>
              <w:rPr>
                <w:sz w:val="20"/>
                <w:szCs w:val="20"/>
                <w:color w:val="auto"/>
              </w:rPr>
            </w:pPr>
            <w:r>
              <w:rPr>
                <w:rFonts w:ascii="Arial" w:cs="Arial" w:eastAsia="Arial" w:hAnsi="Arial"/>
                <w:sz w:val="14"/>
                <w:szCs w:val="14"/>
                <w:color w:val="auto"/>
              </w:rPr>
              <w:t>results</w:t>
            </w:r>
          </w:p>
        </w:tc>
        <w:tc>
          <w:tcPr>
            <w:tcW w:w="760" w:type="dxa"/>
            <w:vAlign w:val="bottom"/>
            <w:gridSpan w:val="2"/>
          </w:tcPr>
          <w:p>
            <w:pPr>
              <w:ind w:left="20"/>
              <w:spacing w:after="0"/>
              <w:rPr>
                <w:sz w:val="20"/>
                <w:szCs w:val="20"/>
                <w:color w:val="auto"/>
              </w:rPr>
            </w:pPr>
            <w:r>
              <w:rPr>
                <w:rFonts w:ascii="Arial" w:cs="Arial" w:eastAsia="Arial" w:hAnsi="Arial"/>
                <w:sz w:val="14"/>
                <w:szCs w:val="14"/>
                <w:color w:val="auto"/>
                <w:w w:val="99"/>
              </w:rPr>
              <w:t>significantly</w:t>
            </w:r>
          </w:p>
        </w:tc>
        <w:tc>
          <w:tcPr>
            <w:tcW w:w="420" w:type="dxa"/>
            <w:vAlign w:val="bottom"/>
          </w:tcPr>
          <w:p>
            <w:pPr>
              <w:ind w:left="60"/>
              <w:spacing w:after="0"/>
              <w:rPr>
                <w:sz w:val="20"/>
                <w:szCs w:val="20"/>
                <w:color w:val="auto"/>
              </w:rPr>
            </w:pPr>
            <w:r>
              <w:rPr>
                <w:rFonts w:ascii="Arial" w:cs="Arial" w:eastAsia="Arial" w:hAnsi="Arial"/>
                <w:sz w:val="14"/>
                <w:szCs w:val="14"/>
                <w:color w:val="auto"/>
                <w:w w:val="79"/>
              </w:rPr>
              <w:t>altered</w:t>
            </w:r>
          </w:p>
        </w:tc>
        <w:tc>
          <w:tcPr>
            <w:tcW w:w="360" w:type="dxa"/>
            <w:vAlign w:val="bottom"/>
          </w:tcPr>
          <w:p>
            <w:pPr>
              <w:jc w:val="right"/>
              <w:spacing w:after="0"/>
              <w:rPr>
                <w:sz w:val="20"/>
                <w:szCs w:val="20"/>
                <w:color w:val="auto"/>
              </w:rPr>
            </w:pPr>
            <w:r>
              <w:rPr>
                <w:rFonts w:ascii="Arial" w:cs="Arial" w:eastAsia="Arial" w:hAnsi="Arial"/>
                <w:sz w:val="14"/>
                <w:szCs w:val="14"/>
                <w:color w:val="auto"/>
              </w:rPr>
              <w:t>care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7"/>
              </w:rPr>
              <w:t>outcomes with 11 out of 174 (6%) GEC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0"/>
              </w:rPr>
              <w:t>benign patients that underwent surgery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6"/>
          </w:tcPr>
          <w:p>
            <w:pPr>
              <w:ind w:left="60"/>
              <w:spacing w:after="0" w:line="149" w:lineRule="exact"/>
              <w:rPr>
                <w:sz w:val="20"/>
                <w:szCs w:val="20"/>
                <w:color w:val="auto"/>
              </w:rPr>
            </w:pPr>
            <w:r>
              <w:rPr>
                <w:rFonts w:ascii="Arial" w:cs="Arial" w:eastAsia="Arial" w:hAnsi="Arial"/>
                <w:sz w:val="14"/>
                <w:szCs w:val="14"/>
                <w:color w:val="auto"/>
                <w:w w:val="95"/>
              </w:rPr>
              <w:t>compared to 121 out of 148 (82%) GEC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ind w:left="60"/>
              <w:spacing w:after="0" w:line="159" w:lineRule="exact"/>
              <w:rPr>
                <w:sz w:val="20"/>
                <w:szCs w:val="20"/>
                <w:color w:val="auto"/>
              </w:rPr>
            </w:pPr>
            <w:r>
              <w:rPr>
                <w:rFonts w:ascii="Arial" w:cs="Arial" w:eastAsia="Arial" w:hAnsi="Arial"/>
                <w:sz w:val="14"/>
                <w:szCs w:val="14"/>
                <w:color w:val="auto"/>
                <w:w w:val="87"/>
              </w:rPr>
              <w:t>suspicious patients that underwent surgery.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spacing w:after="0" w:line="131" w:lineRule="exact"/>
              <w:rPr>
                <w:sz w:val="20"/>
                <w:szCs w:val="20"/>
                <w:color w:val="auto"/>
              </w:rPr>
            </w:pPr>
            <w:r>
              <w:rPr>
                <w:rFonts w:ascii="Arial" w:cs="Arial" w:eastAsia="Arial" w:hAnsi="Arial"/>
                <w:sz w:val="14"/>
                <w:szCs w:val="14"/>
                <w:color w:val="auto"/>
              </w:rPr>
              <w:t>The Impact of Benign Gene Expression</w:t>
            </w:r>
          </w:p>
        </w:tc>
        <w:tc>
          <w:tcPr>
            <w:tcW w:w="2900" w:type="dxa"/>
            <w:vAlign w:val="bottom"/>
          </w:tcPr>
          <w:p>
            <w:pPr>
              <w:ind w:left="240"/>
              <w:spacing w:after="0" w:line="131" w:lineRule="exact"/>
              <w:rPr>
                <w:sz w:val="20"/>
                <w:szCs w:val="20"/>
                <w:color w:val="auto"/>
              </w:rPr>
            </w:pPr>
            <w:r>
              <w:rPr>
                <w:rFonts w:ascii="Arial" w:cs="Arial" w:eastAsia="Arial" w:hAnsi="Arial"/>
                <w:sz w:val="14"/>
                <w:szCs w:val="14"/>
                <w:i w:val="1"/>
                <w:iCs w:val="1"/>
                <w:color w:val="auto"/>
              </w:rPr>
              <w:t>Thyroid</w:t>
            </w:r>
          </w:p>
        </w:tc>
        <w:tc>
          <w:tcPr>
            <w:tcW w:w="460" w:type="dxa"/>
            <w:vAlign w:val="bottom"/>
            <w:vMerge w:val="restart"/>
          </w:tcPr>
          <w:p>
            <w:pPr>
              <w:ind w:left="340"/>
              <w:spacing w:after="0" w:line="199" w:lineRule="exact"/>
              <w:rPr>
                <w:sz w:val="20"/>
                <w:szCs w:val="20"/>
                <w:color w:val="auto"/>
              </w:rPr>
            </w:pPr>
            <w:r>
              <w:rPr>
                <w:rFonts w:ascii="Arial" w:cs="Arial" w:eastAsia="Arial" w:hAnsi="Arial"/>
                <w:sz w:val="22"/>
                <w:szCs w:val="22"/>
                <w:color w:val="auto"/>
              </w:rPr>
              <w:t>•</w:t>
            </w:r>
          </w:p>
        </w:tc>
        <w:tc>
          <w:tcPr>
            <w:tcW w:w="440" w:type="dxa"/>
            <w:vAlign w:val="bottom"/>
            <w:vMerge w:val="restart"/>
          </w:tcPr>
          <w:p>
            <w:pPr>
              <w:ind w:left="60"/>
              <w:spacing w:after="0"/>
              <w:rPr>
                <w:sz w:val="20"/>
                <w:szCs w:val="20"/>
                <w:color w:val="auto"/>
              </w:rPr>
            </w:pPr>
            <w:r>
              <w:rPr>
                <w:rFonts w:ascii="Arial" w:cs="Arial" w:eastAsia="Arial" w:hAnsi="Arial"/>
                <w:sz w:val="14"/>
                <w:szCs w:val="14"/>
                <w:color w:val="auto"/>
              </w:rPr>
              <w:t>Large</w:t>
            </w:r>
          </w:p>
        </w:tc>
        <w:tc>
          <w:tcPr>
            <w:tcW w:w="1220" w:type="dxa"/>
            <w:vAlign w:val="bottom"/>
            <w:gridSpan w:val="3"/>
            <w:vMerge w:val="restart"/>
          </w:tcPr>
          <w:p>
            <w:pPr>
              <w:ind w:left="280"/>
              <w:spacing w:after="0"/>
              <w:rPr>
                <w:sz w:val="20"/>
                <w:szCs w:val="20"/>
                <w:color w:val="auto"/>
              </w:rPr>
            </w:pPr>
            <w:r>
              <w:rPr>
                <w:rFonts w:ascii="Arial" w:cs="Arial" w:eastAsia="Arial" w:hAnsi="Arial"/>
                <w:sz w:val="14"/>
                <w:szCs w:val="14"/>
                <w:color w:val="auto"/>
              </w:rPr>
              <w:t>multicenter</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auto"/>
              </w:rPr>
              <w:t>study</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68"/>
        </w:trPr>
        <w:tc>
          <w:tcPr>
            <w:tcW w:w="2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5"/>
              </w:rPr>
              <w:t>Classifier Test Results on the Endocrinologist-</w:t>
            </w:r>
          </w:p>
        </w:tc>
        <w:tc>
          <w:tcPr>
            <w:tcW w:w="290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(October 2012)</w:t>
            </w:r>
          </w:p>
        </w:tc>
        <w:tc>
          <w:tcPr>
            <w:tcW w:w="4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4"/>
                <w:szCs w:val="14"/>
                <w:color w:val="auto"/>
                <w:w w:val="96"/>
              </w:rPr>
              <w:t>endocrinologists' practices</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Patient Decision to Operate on Patients with</w:t>
            </w:r>
          </w:p>
        </w:tc>
        <w:tc>
          <w:tcPr>
            <w:tcW w:w="2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760" w:type="dxa"/>
            <w:vAlign w:val="bottom"/>
            <w:gridSpan w:val="2"/>
            <w:vMerge w:val="continue"/>
          </w:tcPr>
          <w:p>
            <w:pPr>
              <w:spacing w:after="0"/>
              <w:rPr>
                <w:sz w:val="4"/>
                <w:szCs w:val="4"/>
                <w:color w:val="auto"/>
              </w:rPr>
            </w:pPr>
          </w:p>
        </w:tc>
        <w:tc>
          <w:tcPr>
            <w:tcW w:w="2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Thyroid Nodules with Indeterminate Fine-</w:t>
            </w:r>
          </w:p>
        </w:tc>
        <w:tc>
          <w:tcPr>
            <w:tcW w:w="2900" w:type="dxa"/>
            <w:vAlign w:val="bottom"/>
          </w:tcPr>
          <w:p>
            <w:pPr>
              <w:spacing w:after="0"/>
              <w:rPr>
                <w:sz w:val="12"/>
                <w:szCs w:val="12"/>
                <w:color w:val="auto"/>
              </w:rPr>
            </w:pPr>
          </w:p>
        </w:tc>
        <w:tc>
          <w:tcPr>
            <w:tcW w:w="46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760" w:type="dxa"/>
            <w:vAlign w:val="bottom"/>
            <w:gridSpan w:val="2"/>
          </w:tcPr>
          <w:p>
            <w:pPr>
              <w:spacing w:after="0"/>
              <w:rPr>
                <w:sz w:val="20"/>
                <w:szCs w:val="20"/>
                <w:color w:val="auto"/>
              </w:rPr>
            </w:pPr>
            <w:r>
              <w:rPr>
                <w:rFonts w:ascii="Arial" w:cs="Arial" w:eastAsia="Arial" w:hAnsi="Arial"/>
                <w:sz w:val="14"/>
                <w:szCs w:val="14"/>
                <w:color w:val="auto"/>
              </w:rPr>
              <w:t>Needle Aspiration Cytopathology(1)(3)</w:t>
            </w:r>
          </w:p>
        </w:tc>
        <w:tc>
          <w:tcPr>
            <w:tcW w:w="29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w w:val="92"/>
              </w:rPr>
              <w:t>Approximately</w:t>
            </w:r>
          </w:p>
        </w:tc>
        <w:tc>
          <w:tcPr>
            <w:tcW w:w="320" w:type="dxa"/>
            <w:vAlign w:val="bottom"/>
          </w:tcPr>
          <w:p>
            <w:pPr>
              <w:ind w:left="60"/>
              <w:spacing w:after="0"/>
              <w:rPr>
                <w:sz w:val="20"/>
                <w:szCs w:val="20"/>
                <w:color w:val="auto"/>
              </w:rPr>
            </w:pPr>
            <w:r>
              <w:rPr>
                <w:rFonts w:ascii="Arial" w:cs="Arial" w:eastAsia="Arial" w:hAnsi="Arial"/>
                <w:sz w:val="14"/>
                <w:szCs w:val="14"/>
                <w:color w:val="auto"/>
              </w:rPr>
              <w:t>one</w:t>
            </w:r>
          </w:p>
        </w:tc>
        <w:tc>
          <w:tcPr>
            <w:tcW w:w="440" w:type="dxa"/>
            <w:vAlign w:val="bottom"/>
          </w:tcPr>
          <w:p>
            <w:pPr>
              <w:spacing w:after="0"/>
              <w:rPr>
                <w:sz w:val="20"/>
                <w:szCs w:val="20"/>
                <w:color w:val="auto"/>
              </w:rPr>
            </w:pPr>
            <w:r>
              <w:rPr>
                <w:rFonts w:ascii="Arial" w:cs="Arial" w:eastAsia="Arial" w:hAnsi="Arial"/>
                <w:sz w:val="14"/>
                <w:szCs w:val="14"/>
                <w:color w:val="auto"/>
                <w:w w:val="89"/>
              </w:rPr>
              <w:t>surgery</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was avoided</w:t>
            </w:r>
          </w:p>
        </w:tc>
        <w:tc>
          <w:tcPr>
            <w:tcW w:w="0" w:type="dxa"/>
            <w:vAlign w:val="bottom"/>
          </w:tcPr>
          <w:p>
            <w:pPr>
              <w:spacing w:after="0"/>
              <w:rPr>
                <w:sz w:val="1"/>
                <w:szCs w:val="1"/>
                <w:color w:val="auto"/>
              </w:rPr>
            </w:pPr>
          </w:p>
        </w:tc>
      </w:tr>
    </w:tbl>
    <w:p>
      <w:pPr>
        <w:ind w:left="7560"/>
        <w:spacing w:after="0" w:line="221" w:lineRule="auto"/>
        <w:rPr>
          <w:sz w:val="20"/>
          <w:szCs w:val="20"/>
          <w:color w:val="auto"/>
        </w:rPr>
      </w:pPr>
      <w:r>
        <w:rPr>
          <w:rFonts w:ascii="Arial" w:cs="Arial" w:eastAsia="Arial" w:hAnsi="Arial"/>
          <w:sz w:val="14"/>
          <w:szCs w:val="14"/>
          <w:color w:val="auto"/>
        </w:rPr>
        <w:t>for every two GEC tests run on thyroid</w:t>
      </w:r>
    </w:p>
    <w:p>
      <w:pPr>
        <w:ind w:left="7560"/>
        <w:spacing w:after="0" w:line="235" w:lineRule="auto"/>
        <w:rPr>
          <w:sz w:val="20"/>
          <w:szCs w:val="20"/>
          <w:color w:val="auto"/>
        </w:rPr>
      </w:pPr>
      <w:r>
        <w:rPr>
          <w:rFonts w:ascii="Arial" w:cs="Arial" w:eastAsia="Arial" w:hAnsi="Arial"/>
          <w:sz w:val="14"/>
          <w:szCs w:val="14"/>
          <w:color w:val="auto"/>
        </w:rPr>
        <w:t>FNAs with indeterminate cytology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5428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ind w:left="1380"/>
        <w:spacing w:after="0"/>
        <w:tabs>
          <w:tab w:leader="none" w:pos="4360" w:val="left"/>
        </w:tabs>
        <w:rPr>
          <w:sz w:val="20"/>
          <w:szCs w:val="20"/>
          <w:color w:val="auto"/>
        </w:rPr>
      </w:pPr>
      <w:r>
        <w:rPr>
          <w:rFonts w:ascii="Arial" w:cs="Arial" w:eastAsia="Arial" w:hAnsi="Arial"/>
          <w:sz w:val="14"/>
          <w:szCs w:val="14"/>
          <w:color w:val="auto"/>
        </w:rPr>
        <w:t>Clinical Practice Impact of a Novel mRNA-</w:t>
      </w:r>
      <w:r>
        <w:rPr>
          <w:sz w:val="20"/>
          <w:szCs w:val="20"/>
          <w:color w:val="auto"/>
        </w:rPr>
        <w:tab/>
      </w:r>
      <w:r>
        <w:rPr>
          <w:rFonts w:ascii="Arial" w:cs="Arial" w:eastAsia="Arial" w:hAnsi="Arial"/>
          <w:sz w:val="12"/>
          <w:szCs w:val="12"/>
          <w:i w:val="1"/>
          <w:iCs w:val="1"/>
          <w:color w:val="auto"/>
        </w:rPr>
        <w:t xml:space="preserve">American Thyroid Association </w:t>
      </w:r>
      <w:r>
        <w:rPr>
          <w:rFonts w:ascii="Arial" w:cs="Arial" w:eastAsia="Arial" w:hAnsi="Arial"/>
          <w:sz w:val="12"/>
          <w:szCs w:val="12"/>
          <w:color w:val="auto"/>
        </w:rPr>
        <w:t>(</w:t>
      </w:r>
      <w:r>
        <w:rPr>
          <w:rFonts w:ascii="Arial" w:cs="Arial" w:eastAsia="Arial" w:hAnsi="Arial"/>
          <w:sz w:val="12"/>
          <w:szCs w:val="12"/>
          <w:i w:val="1"/>
          <w:iCs w:val="1"/>
          <w:color w:val="auto"/>
        </w:rPr>
        <w:t>Abstract</w:t>
      </w:r>
    </w:p>
    <w:p>
      <w:pPr>
        <w:ind w:left="1380"/>
        <w:spacing w:after="0"/>
        <w:tabs>
          <w:tab w:leader="none" w:pos="4360" w:val="left"/>
        </w:tabs>
        <w:rPr>
          <w:sz w:val="20"/>
          <w:szCs w:val="20"/>
          <w:color w:val="auto"/>
        </w:rPr>
      </w:pPr>
      <w:r>
        <w:rPr>
          <w:rFonts w:ascii="Arial" w:cs="Arial" w:eastAsia="Arial" w:hAnsi="Arial"/>
          <w:sz w:val="14"/>
          <w:szCs w:val="14"/>
          <w:color w:val="auto"/>
        </w:rPr>
        <w:t>based Gene Expression Classifier in Thyroid</w:t>
      </w:r>
      <w:r>
        <w:rPr>
          <w:sz w:val="20"/>
          <w:szCs w:val="20"/>
          <w:color w:val="auto"/>
        </w:rPr>
        <w:tab/>
      </w:r>
      <w:r>
        <w:rPr>
          <w:rFonts w:ascii="Arial" w:cs="Arial" w:eastAsia="Arial" w:hAnsi="Arial"/>
          <w:sz w:val="12"/>
          <w:szCs w:val="12"/>
          <w:i w:val="1"/>
          <w:iCs w:val="1"/>
          <w:color w:val="auto"/>
        </w:rPr>
        <w:t>Poster Presentation</w:t>
      </w:r>
      <w:r>
        <w:rPr>
          <w:rFonts w:ascii="Arial" w:cs="Arial" w:eastAsia="Arial" w:hAnsi="Arial"/>
          <w:sz w:val="12"/>
          <w:szCs w:val="12"/>
          <w:color w:val="auto"/>
        </w:rPr>
        <w:t>)</w:t>
      </w:r>
    </w:p>
    <w:p>
      <w:pPr>
        <w:ind w:left="1380"/>
        <w:spacing w:after="0"/>
        <w:tabs>
          <w:tab w:leader="none" w:pos="4360" w:val="left"/>
        </w:tabs>
        <w:rPr>
          <w:sz w:val="20"/>
          <w:szCs w:val="20"/>
          <w:color w:val="auto"/>
        </w:rPr>
      </w:pPr>
      <w:r>
        <w:rPr>
          <w:rFonts w:ascii="Arial" w:cs="Arial" w:eastAsia="Arial" w:hAnsi="Arial"/>
          <w:sz w:val="14"/>
          <w:szCs w:val="14"/>
          <w:color w:val="auto"/>
        </w:rPr>
        <w:t>Nodules with Indeterminate Fine Needle</w:t>
      </w:r>
      <w:r>
        <w:rPr>
          <w:sz w:val="20"/>
          <w:szCs w:val="20"/>
          <w:color w:val="auto"/>
        </w:rPr>
        <w:tab/>
      </w:r>
      <w:r>
        <w:rPr>
          <w:rFonts w:ascii="Arial" w:cs="Arial" w:eastAsia="Arial" w:hAnsi="Arial"/>
          <w:sz w:val="12"/>
          <w:szCs w:val="12"/>
          <w:color w:val="auto"/>
        </w:rPr>
        <w:t>(October 2011)</w:t>
      </w:r>
    </w:p>
    <w:p>
      <w:pPr>
        <w:ind w:left="1380"/>
        <w:spacing w:after="0"/>
        <w:rPr>
          <w:sz w:val="20"/>
          <w:szCs w:val="20"/>
          <w:color w:val="auto"/>
        </w:rPr>
      </w:pPr>
      <w:r>
        <w:rPr>
          <w:rFonts w:ascii="Arial" w:cs="Arial" w:eastAsia="Arial" w:hAnsi="Arial"/>
          <w:sz w:val="14"/>
          <w:szCs w:val="14"/>
          <w:color w:val="auto"/>
        </w:rPr>
        <w:t>Aspiration Cytopathology(1)(3)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591820</wp:posOffset>
            </wp:positionV>
            <wp:extent cx="5428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81" w:right="299" w:hanging="181"/>
        <w:spacing w:after="0" w:line="186" w:lineRule="auto"/>
        <w:tabs>
          <w:tab w:leader="none" w:pos="181" w:val="left"/>
        </w:tabs>
        <w:numPr>
          <w:ilvl w:val="0"/>
          <w:numId w:val="8"/>
        </w:numPr>
        <w:rPr>
          <w:rFonts w:ascii="Arial" w:cs="Arial" w:eastAsia="Arial" w:hAnsi="Arial"/>
          <w:sz w:val="22"/>
          <w:szCs w:val="22"/>
          <w:color w:val="auto"/>
        </w:rPr>
      </w:pPr>
      <w:r>
        <w:rPr>
          <w:rFonts w:ascii="Arial" w:cs="Arial" w:eastAsia="Arial" w:hAnsi="Arial"/>
          <w:sz w:val="14"/>
          <w:szCs w:val="14"/>
          <w:color w:val="auto"/>
        </w:rPr>
        <w:t>Assessed clinical utility by surveying physicians' treatment decisions</w:t>
      </w:r>
    </w:p>
    <w:p>
      <w:pPr>
        <w:spacing w:after="0" w:line="201" w:lineRule="exact"/>
        <w:rPr>
          <w:rFonts w:ascii="Arial" w:cs="Arial" w:eastAsia="Arial" w:hAnsi="Arial"/>
          <w:sz w:val="22"/>
          <w:szCs w:val="22"/>
          <w:color w:val="auto"/>
        </w:rPr>
      </w:pPr>
    </w:p>
    <w:p>
      <w:pPr>
        <w:ind w:left="181" w:hanging="181"/>
        <w:spacing w:after="0"/>
        <w:tabs>
          <w:tab w:leader="none" w:pos="181" w:val="left"/>
        </w:tabs>
        <w:numPr>
          <w:ilvl w:val="0"/>
          <w:numId w:val="8"/>
        </w:numPr>
        <w:rPr>
          <w:rFonts w:ascii="Arial" w:cs="Arial" w:eastAsia="Arial" w:hAnsi="Arial"/>
          <w:sz w:val="19"/>
          <w:szCs w:val="19"/>
          <w:color w:val="auto"/>
        </w:rPr>
      </w:pPr>
      <w:r>
        <w:rPr>
          <w:rFonts w:ascii="Arial" w:cs="Arial" w:eastAsia="Arial" w:hAnsi="Arial"/>
          <w:sz w:val="12"/>
          <w:szCs w:val="12"/>
          <w:color w:val="auto"/>
        </w:rPr>
        <w:t>Applying the survey results to 540 patients</w:t>
      </w:r>
    </w:p>
    <w:p>
      <w:pPr>
        <w:jc w:val="both"/>
        <w:ind w:left="181" w:right="299"/>
        <w:spacing w:after="0" w:line="224" w:lineRule="auto"/>
        <w:rPr>
          <w:rFonts w:ascii="Arial" w:cs="Arial" w:eastAsia="Arial" w:hAnsi="Arial"/>
          <w:sz w:val="19"/>
          <w:szCs w:val="19"/>
          <w:color w:val="auto"/>
        </w:rPr>
      </w:pPr>
      <w:r>
        <w:rPr>
          <w:rFonts w:ascii="Arial" w:cs="Arial" w:eastAsia="Arial" w:hAnsi="Arial"/>
          <w:sz w:val="14"/>
          <w:szCs w:val="14"/>
          <w:color w:val="auto"/>
        </w:rPr>
        <w:t>with indeterminate cytopathology, physicians recommended watchful waiting and sonographic follow up in lieu of surgery in 89% (234 of 263) of patients with a benign GEC result</w:t>
      </w:r>
    </w:p>
    <w:p>
      <w:pPr>
        <w:spacing w:after="0" w:line="3" w:lineRule="exact"/>
        <w:rPr>
          <w:sz w:val="20"/>
          <w:szCs w:val="20"/>
          <w:color w:val="auto"/>
        </w:rPr>
      </w:pPr>
    </w:p>
    <w:p>
      <w:pPr>
        <w:sectPr>
          <w:pgSz w:w="11900" w:h="16838" w:orient="portrait"/>
          <w:cols w:equalWidth="0" w:num="2">
            <w:col w:w="6659" w:space="720"/>
            <w:col w:w="2840"/>
          </w:cols>
          <w:pgMar w:left="240" w:top="131" w:right="1440" w:bottom="1440" w:gutter="0" w:footer="0" w:header="0"/>
          <w:type w:val="continuous"/>
        </w:sectPr>
      </w:pPr>
    </w:p>
    <w:p>
      <w:pPr>
        <w:ind w:left="1380"/>
        <w:spacing w:after="0"/>
        <w:rPr>
          <w:sz w:val="20"/>
          <w:szCs w:val="20"/>
          <w:color w:val="auto"/>
        </w:rPr>
      </w:pPr>
      <w:r>
        <w:rPr>
          <w:rFonts w:ascii="Arial" w:cs="Arial" w:eastAsia="Arial" w:hAnsi="Arial"/>
          <w:sz w:val="11"/>
          <w:szCs w:val="11"/>
          <w:b w:val="1"/>
          <w:bCs w:val="1"/>
          <w:i w:val="1"/>
          <w:iCs w:val="1"/>
          <w:color w:val="auto"/>
        </w:rPr>
        <w:t>Health Economics</w:t>
      </w:r>
    </w:p>
    <w:p>
      <w:pPr>
        <w:sectPr>
          <w:pgSz w:w="11900" w:h="16838" w:orient="portrait"/>
          <w:cols w:equalWidth="0" w:num="1">
            <w:col w:w="10219"/>
          </w:cols>
          <w:pgMar w:left="240" w:top="131" w:right="1440" w:bottom="1440" w:gutter="0" w:footer="0" w:header="0"/>
          <w:type w:val="continuous"/>
        </w:sectPr>
      </w:pPr>
    </w:p>
    <w:p>
      <w:pPr>
        <w:spacing w:after="0" w:line="38" w:lineRule="exact"/>
        <w:rPr>
          <w:sz w:val="20"/>
          <w:szCs w:val="20"/>
          <w:color w:val="auto"/>
        </w:rPr>
      </w:pPr>
    </w:p>
    <w:p>
      <w:pPr>
        <w:ind w:left="1380"/>
        <w:spacing w:after="0"/>
        <w:tabs>
          <w:tab w:leader="none" w:pos="4360" w:val="left"/>
        </w:tabs>
        <w:rPr>
          <w:sz w:val="20"/>
          <w:szCs w:val="20"/>
          <w:color w:val="auto"/>
        </w:rPr>
      </w:pPr>
      <w:r>
        <w:rPr>
          <w:rFonts w:ascii="Arial" w:cs="Arial" w:eastAsia="Arial" w:hAnsi="Arial"/>
          <w:sz w:val="14"/>
          <w:szCs w:val="14"/>
          <w:color w:val="auto"/>
        </w:rPr>
        <w:t>Cost-Effectiveness of a Novel Molecular Test</w:t>
      </w:r>
      <w:r>
        <w:rPr>
          <w:sz w:val="20"/>
          <w:szCs w:val="20"/>
          <w:color w:val="auto"/>
        </w:rPr>
        <w:tab/>
      </w:r>
      <w:r>
        <w:rPr>
          <w:rFonts w:ascii="Arial" w:cs="Arial" w:eastAsia="Arial" w:hAnsi="Arial"/>
          <w:sz w:val="12"/>
          <w:szCs w:val="12"/>
          <w:i w:val="1"/>
          <w:iCs w:val="1"/>
          <w:color w:val="auto"/>
        </w:rPr>
        <w:t>Journal of Clinical Endocrinology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-102870</wp:posOffset>
            </wp:positionV>
            <wp:extent cx="5428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1380"/>
        <w:spacing w:after="0"/>
        <w:tabs>
          <w:tab w:leader="none" w:pos="4360" w:val="left"/>
        </w:tabs>
        <w:rPr>
          <w:sz w:val="20"/>
          <w:szCs w:val="20"/>
          <w:color w:val="auto"/>
        </w:rPr>
      </w:pPr>
      <w:r>
        <w:rPr>
          <w:rFonts w:ascii="Arial" w:cs="Arial" w:eastAsia="Arial" w:hAnsi="Arial"/>
          <w:sz w:val="14"/>
          <w:szCs w:val="14"/>
          <w:color w:val="auto"/>
        </w:rPr>
        <w:t>for Cytologically Indeterminate Thyroid</w:t>
      </w:r>
      <w:r>
        <w:rPr>
          <w:sz w:val="20"/>
          <w:szCs w:val="20"/>
          <w:color w:val="auto"/>
        </w:rPr>
        <w:tab/>
      </w:r>
      <w:r>
        <w:rPr>
          <w:rFonts w:ascii="Arial" w:cs="Arial" w:eastAsia="Arial" w:hAnsi="Arial"/>
          <w:sz w:val="12"/>
          <w:szCs w:val="12"/>
          <w:i w:val="1"/>
          <w:iCs w:val="1"/>
          <w:color w:val="auto"/>
        </w:rPr>
        <w:t>Metabolism</w:t>
      </w:r>
    </w:p>
    <w:p>
      <w:pPr>
        <w:ind w:left="1380"/>
        <w:spacing w:after="0"/>
        <w:tabs>
          <w:tab w:leader="none" w:pos="4360" w:val="left"/>
        </w:tabs>
        <w:rPr>
          <w:sz w:val="20"/>
          <w:szCs w:val="20"/>
          <w:color w:val="auto"/>
        </w:rPr>
      </w:pPr>
      <w:r>
        <w:rPr>
          <w:rFonts w:ascii="Arial" w:cs="Arial" w:eastAsia="Arial" w:hAnsi="Arial"/>
          <w:sz w:val="14"/>
          <w:szCs w:val="14"/>
          <w:color w:val="auto"/>
        </w:rPr>
        <w:t xml:space="preserve">Nodules </w:t>
      </w:r>
      <w:r>
        <w:rPr>
          <w:rFonts w:ascii="Arial" w:cs="Arial" w:eastAsia="Arial" w:hAnsi="Arial"/>
          <w:sz w:val="14"/>
          <w:szCs w:val="14"/>
          <w:i w:val="1"/>
          <w:iCs w:val="1"/>
          <w:color w:val="auto"/>
        </w:rPr>
        <w:t>©The Endocrine Society</w:t>
      </w:r>
      <w:r>
        <w:rPr>
          <w:rFonts w:ascii="Arial" w:cs="Arial" w:eastAsia="Arial" w:hAnsi="Arial"/>
          <w:sz w:val="14"/>
          <w:szCs w:val="14"/>
          <w:color w:val="auto"/>
        </w:rPr>
        <w:t>(3)(4)</w:t>
      </w:r>
      <w:r>
        <w:rPr>
          <w:sz w:val="20"/>
          <w:szCs w:val="20"/>
          <w:color w:val="auto"/>
        </w:rPr>
        <w:tab/>
      </w:r>
      <w:r>
        <w:rPr>
          <w:rFonts w:ascii="Arial" w:cs="Arial" w:eastAsia="Arial" w:hAnsi="Arial"/>
          <w:sz w:val="12"/>
          <w:szCs w:val="12"/>
          <w:color w:val="auto"/>
        </w:rPr>
        <w:t>(November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34290</wp:posOffset>
            </wp:positionV>
            <wp:extent cx="5428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left="181" w:right="299" w:hanging="181"/>
        <w:spacing w:after="0" w:line="227" w:lineRule="auto"/>
        <w:tabs>
          <w:tab w:leader="none" w:pos="181" w:val="left"/>
        </w:tabs>
        <w:numPr>
          <w:ilvl w:val="0"/>
          <w:numId w:val="9"/>
        </w:numPr>
        <w:rPr>
          <w:rFonts w:ascii="Arial" w:cs="Arial" w:eastAsia="Arial" w:hAnsi="Arial"/>
          <w:sz w:val="19"/>
          <w:szCs w:val="19"/>
          <w:color w:val="auto"/>
        </w:rPr>
      </w:pPr>
      <w:r>
        <w:rPr>
          <w:rFonts w:ascii="Arial" w:cs="Arial" w:eastAsia="Arial" w:hAnsi="Arial"/>
          <w:sz w:val="12"/>
          <w:szCs w:val="12"/>
          <w:color w:val="auto"/>
        </w:rPr>
        <w:t>Use of Afirma can potentially avoid almost three-fourths of currently performed surgeries in patients with benign nodules</w:t>
      </w:r>
    </w:p>
    <w:p>
      <w:pPr>
        <w:spacing w:after="0" w:line="2" w:lineRule="exact"/>
        <w:rPr>
          <w:sz w:val="20"/>
          <w:szCs w:val="20"/>
          <w:color w:val="auto"/>
        </w:rPr>
      </w:pPr>
    </w:p>
    <w:p>
      <w:pPr>
        <w:sectPr>
          <w:pgSz w:w="11900" w:h="16838" w:orient="portrait"/>
          <w:cols w:equalWidth="0" w:num="2">
            <w:col w:w="6659" w:space="720"/>
            <w:col w:w="2840"/>
          </w:cols>
          <w:pgMar w:left="240" w:top="131" w:right="1440" w:bottom="1440" w:gutter="0" w:footer="0" w:header="0"/>
          <w:type w:val="continuous"/>
        </w:sectPr>
      </w:pPr>
    </w:p>
    <w:p>
      <w:pPr>
        <w:ind w:left="1380"/>
        <w:spacing w:after="0"/>
        <w:rPr>
          <w:sz w:val="20"/>
          <w:szCs w:val="20"/>
          <w:color w:val="auto"/>
        </w:rPr>
      </w:pPr>
      <w:r>
        <w:rPr>
          <w:rFonts w:ascii="Arial" w:cs="Arial" w:eastAsia="Arial" w:hAnsi="Arial"/>
          <w:sz w:val="11"/>
          <w:szCs w:val="11"/>
          <w:b w:val="1"/>
          <w:bCs w:val="1"/>
          <w:i w:val="1"/>
          <w:iCs w:val="1"/>
          <w:color w:val="auto"/>
        </w:rPr>
        <w:t>Analytical Validity</w:t>
      </w:r>
    </w:p>
    <w:p>
      <w:pPr>
        <w:sectPr>
          <w:pgSz w:w="11900" w:h="16838" w:orient="portrait"/>
          <w:cols w:equalWidth="0" w:num="1">
            <w:col w:w="10219"/>
          </w:cols>
          <w:pgMar w:left="240" w:top="131" w:right="1440" w:bottom="1440" w:gutter="0" w:footer="0" w:header="0"/>
          <w:type w:val="continuous"/>
        </w:sectPr>
      </w:pPr>
    </w:p>
    <w:p>
      <w:pPr>
        <w:spacing w:after="0" w:line="38" w:lineRule="exact"/>
        <w:rPr>
          <w:sz w:val="20"/>
          <w:szCs w:val="20"/>
          <w:color w:val="auto"/>
        </w:rPr>
      </w:pPr>
    </w:p>
    <w:p>
      <w:pPr>
        <w:ind w:left="1380"/>
        <w:spacing w:after="0"/>
        <w:tabs>
          <w:tab w:leader="none" w:pos="4360" w:val="left"/>
        </w:tabs>
        <w:rPr>
          <w:sz w:val="20"/>
          <w:szCs w:val="20"/>
          <w:color w:val="auto"/>
        </w:rPr>
      </w:pPr>
      <w:r>
        <w:rPr>
          <w:rFonts w:ascii="Arial" w:cs="Arial" w:eastAsia="Arial" w:hAnsi="Arial"/>
          <w:sz w:val="14"/>
          <w:szCs w:val="14"/>
          <w:color w:val="auto"/>
        </w:rPr>
        <w:t>Analytical Performance Verification of a</w:t>
      </w:r>
      <w:r>
        <w:rPr>
          <w:sz w:val="20"/>
          <w:szCs w:val="20"/>
          <w:color w:val="auto"/>
        </w:rPr>
        <w:tab/>
      </w:r>
      <w:r>
        <w:rPr>
          <w:rFonts w:ascii="Arial" w:cs="Arial" w:eastAsia="Arial" w:hAnsi="Arial"/>
          <w:sz w:val="12"/>
          <w:szCs w:val="12"/>
          <w:i w:val="1"/>
          <w:iCs w:val="1"/>
          <w:color w:val="auto"/>
        </w:rPr>
        <w:t>Journal of Clinical Endocrinology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-102870</wp:posOffset>
            </wp:positionV>
            <wp:extent cx="54286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1380"/>
        <w:spacing w:after="0"/>
        <w:tabs>
          <w:tab w:leader="none" w:pos="4360" w:val="left"/>
        </w:tabs>
        <w:rPr>
          <w:sz w:val="20"/>
          <w:szCs w:val="20"/>
          <w:color w:val="auto"/>
        </w:rPr>
      </w:pPr>
      <w:r>
        <w:rPr>
          <w:rFonts w:ascii="Arial" w:cs="Arial" w:eastAsia="Arial" w:hAnsi="Arial"/>
          <w:sz w:val="14"/>
          <w:szCs w:val="14"/>
          <w:color w:val="auto"/>
        </w:rPr>
        <w:t>Molecular Diagnostic for Cytology-</w:t>
      </w:r>
      <w:r>
        <w:rPr>
          <w:sz w:val="20"/>
          <w:szCs w:val="20"/>
          <w:color w:val="auto"/>
        </w:rPr>
        <w:tab/>
      </w:r>
      <w:r>
        <w:rPr>
          <w:rFonts w:ascii="Arial" w:cs="Arial" w:eastAsia="Arial" w:hAnsi="Arial"/>
          <w:sz w:val="12"/>
          <w:szCs w:val="12"/>
          <w:i w:val="1"/>
          <w:iCs w:val="1"/>
          <w:color w:val="auto"/>
        </w:rPr>
        <w:t>Metabolism</w:t>
      </w:r>
    </w:p>
    <w:p>
      <w:pPr>
        <w:ind w:left="1380"/>
        <w:spacing w:after="0"/>
        <w:tabs>
          <w:tab w:leader="none" w:pos="4360" w:val="left"/>
        </w:tabs>
        <w:rPr>
          <w:sz w:val="20"/>
          <w:szCs w:val="20"/>
          <w:color w:val="auto"/>
        </w:rPr>
      </w:pPr>
      <w:r>
        <w:rPr>
          <w:rFonts w:ascii="Arial" w:cs="Arial" w:eastAsia="Arial" w:hAnsi="Arial"/>
          <w:sz w:val="14"/>
          <w:szCs w:val="14"/>
          <w:color w:val="auto"/>
        </w:rPr>
        <w:t>Indeterminate Thyroid Nodules(1)</w:t>
      </w:r>
      <w:r>
        <w:rPr>
          <w:sz w:val="20"/>
          <w:szCs w:val="20"/>
          <w:color w:val="auto"/>
        </w:rPr>
        <w:tab/>
      </w:r>
      <w:r>
        <w:rPr>
          <w:rFonts w:ascii="Arial" w:cs="Arial" w:eastAsia="Arial" w:hAnsi="Arial"/>
          <w:sz w:val="12"/>
          <w:szCs w:val="12"/>
          <w:color w:val="auto"/>
        </w:rPr>
        <w:t>(October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128905</wp:posOffset>
            </wp:positionV>
            <wp:extent cx="54286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left="181" w:right="299" w:hanging="181"/>
        <w:spacing w:after="0" w:line="234" w:lineRule="auto"/>
        <w:tabs>
          <w:tab w:leader="none" w:pos="181" w:val="left"/>
        </w:tabs>
        <w:numPr>
          <w:ilvl w:val="0"/>
          <w:numId w:val="10"/>
        </w:numPr>
        <w:rPr>
          <w:rFonts w:ascii="Arial" w:cs="Arial" w:eastAsia="Arial" w:hAnsi="Arial"/>
          <w:sz w:val="19"/>
          <w:szCs w:val="19"/>
          <w:color w:val="auto"/>
        </w:rPr>
      </w:pPr>
      <w:r>
        <w:rPr>
          <w:rFonts w:ascii="Arial" w:cs="Arial" w:eastAsia="Arial" w:hAnsi="Arial"/>
          <w:sz w:val="12"/>
          <w:szCs w:val="12"/>
          <w:color w:val="auto"/>
        </w:rPr>
        <w:t>Analytical sensitivity, analytical specificity, robustness, and quality control of the GEC were successfully verified, indicating its suitability for clinical use</w:t>
      </w:r>
    </w:p>
    <w:p>
      <w:pPr>
        <w:spacing w:after="0" w:line="1" w:lineRule="exact"/>
        <w:rPr>
          <w:sz w:val="20"/>
          <w:szCs w:val="20"/>
          <w:color w:val="auto"/>
        </w:rPr>
      </w:pPr>
    </w:p>
    <w:p>
      <w:pPr>
        <w:sectPr>
          <w:pgSz w:w="11900" w:h="16838" w:orient="portrait"/>
          <w:cols w:equalWidth="0" w:num="2">
            <w:col w:w="6659" w:space="720"/>
            <w:col w:w="2840"/>
          </w:cols>
          <w:pgMar w:left="240" w:top="131" w:right="1440" w:bottom="1440" w:gutter="0" w:footer="0" w:header="0"/>
          <w:type w:val="continuous"/>
        </w:sectPr>
      </w:pPr>
    </w:p>
    <w:p>
      <w:pPr>
        <w:ind w:left="1380"/>
        <w:spacing w:after="0"/>
        <w:rPr>
          <w:sz w:val="20"/>
          <w:szCs w:val="20"/>
          <w:color w:val="auto"/>
        </w:rPr>
      </w:pPr>
      <w:r>
        <w:rPr>
          <w:rFonts w:ascii="Arial" w:cs="Arial" w:eastAsia="Arial" w:hAnsi="Arial"/>
          <w:sz w:val="11"/>
          <w:szCs w:val="11"/>
          <w:b w:val="1"/>
          <w:bCs w:val="1"/>
          <w:i w:val="1"/>
          <w:iCs w:val="1"/>
          <w:color w:val="auto"/>
        </w:rPr>
        <w:t>Other Studies</w:t>
      </w:r>
    </w:p>
    <w:p>
      <w:pPr>
        <w:sectPr>
          <w:pgSz w:w="11900" w:h="16838" w:orient="portrait"/>
          <w:cols w:equalWidth="0" w:num="1">
            <w:col w:w="10219"/>
          </w:cols>
          <w:pgMar w:left="240" w:top="131" w:right="1440" w:bottom="1440" w:gutter="0" w:footer="0" w:header="0"/>
          <w:type w:val="continuous"/>
        </w:sectPr>
      </w:pPr>
    </w:p>
    <w:p>
      <w:pPr>
        <w:spacing w:after="0" w:line="38" w:lineRule="exact"/>
        <w:rPr>
          <w:sz w:val="20"/>
          <w:szCs w:val="20"/>
          <w:color w:val="auto"/>
        </w:rPr>
      </w:pPr>
    </w:p>
    <w:p>
      <w:pPr>
        <w:ind w:left="1380"/>
        <w:spacing w:after="0"/>
        <w:tabs>
          <w:tab w:leader="none" w:pos="4360" w:val="left"/>
        </w:tabs>
        <w:rPr>
          <w:sz w:val="20"/>
          <w:szCs w:val="20"/>
          <w:color w:val="auto"/>
        </w:rPr>
      </w:pPr>
      <w:r>
        <w:rPr>
          <w:rFonts w:ascii="Arial" w:cs="Arial" w:eastAsia="Arial" w:hAnsi="Arial"/>
          <w:sz w:val="14"/>
          <w:szCs w:val="14"/>
          <w:color w:val="auto"/>
        </w:rPr>
        <w:t>A Large Multicenter Correlation Study of</w:t>
      </w:r>
      <w:r>
        <w:rPr>
          <w:sz w:val="20"/>
          <w:szCs w:val="20"/>
          <w:color w:val="auto"/>
        </w:rPr>
        <w:tab/>
      </w:r>
      <w:r>
        <w:rPr>
          <w:rFonts w:ascii="Arial" w:cs="Arial" w:eastAsia="Arial" w:hAnsi="Arial"/>
          <w:sz w:val="12"/>
          <w:szCs w:val="12"/>
          <w:i w:val="1"/>
          <w:iCs w:val="1"/>
          <w:color w:val="auto"/>
        </w:rPr>
        <w:t>Thyroid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-102870</wp:posOffset>
            </wp:positionV>
            <wp:extent cx="5428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1380"/>
        <w:spacing w:after="0"/>
        <w:tabs>
          <w:tab w:leader="none" w:pos="4360" w:val="left"/>
        </w:tabs>
        <w:rPr>
          <w:sz w:val="20"/>
          <w:szCs w:val="20"/>
          <w:color w:val="auto"/>
        </w:rPr>
      </w:pPr>
      <w:r>
        <w:rPr>
          <w:rFonts w:ascii="Arial" w:cs="Arial" w:eastAsia="Arial" w:hAnsi="Arial"/>
          <w:sz w:val="14"/>
          <w:szCs w:val="14"/>
          <w:color w:val="auto"/>
        </w:rPr>
        <w:t>Thyroid Nodule Cytopathology and</w:t>
      </w:r>
      <w:r>
        <w:rPr>
          <w:sz w:val="20"/>
          <w:szCs w:val="20"/>
          <w:color w:val="auto"/>
        </w:rPr>
        <w:tab/>
      </w:r>
      <w:r>
        <w:rPr>
          <w:rFonts w:ascii="Arial" w:cs="Arial" w:eastAsia="Arial" w:hAnsi="Arial"/>
          <w:sz w:val="12"/>
          <w:szCs w:val="12"/>
          <w:color w:val="auto"/>
        </w:rPr>
        <w:t>(March 2011)</w:t>
      </w:r>
    </w:p>
    <w:p>
      <w:pPr>
        <w:ind w:left="1380"/>
        <w:spacing w:after="0"/>
        <w:rPr>
          <w:sz w:val="20"/>
          <w:szCs w:val="20"/>
          <w:color w:val="auto"/>
        </w:rPr>
      </w:pPr>
      <w:r>
        <w:rPr>
          <w:rFonts w:ascii="Arial" w:cs="Arial" w:eastAsia="Arial" w:hAnsi="Arial"/>
          <w:sz w:val="14"/>
          <w:szCs w:val="14"/>
          <w:color w:val="auto"/>
        </w:rPr>
        <w:t>Histopathology(1)(3)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1140460</wp:posOffset>
            </wp:positionV>
            <wp:extent cx="5428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left="181" w:right="299" w:hanging="181"/>
        <w:spacing w:after="0" w:line="195" w:lineRule="auto"/>
        <w:tabs>
          <w:tab w:leader="none" w:pos="181" w:val="left"/>
        </w:tabs>
        <w:numPr>
          <w:ilvl w:val="0"/>
          <w:numId w:val="11"/>
        </w:numPr>
        <w:rPr>
          <w:rFonts w:ascii="Arial" w:cs="Arial" w:eastAsia="Arial" w:hAnsi="Arial"/>
          <w:sz w:val="22"/>
          <w:szCs w:val="22"/>
          <w:color w:val="auto"/>
        </w:rPr>
      </w:pPr>
      <w:r>
        <w:rPr>
          <w:rFonts w:ascii="Arial" w:cs="Arial" w:eastAsia="Arial" w:hAnsi="Arial"/>
          <w:sz w:val="14"/>
          <w:szCs w:val="14"/>
          <w:color w:val="auto"/>
        </w:rPr>
        <w:t>Prospective multicenter study and meta-review of 11 recently published U.S. based pathology series</w:t>
      </w:r>
    </w:p>
    <w:p>
      <w:pPr>
        <w:spacing w:after="0" w:line="248" w:lineRule="exact"/>
        <w:rPr>
          <w:rFonts w:ascii="Arial" w:cs="Arial" w:eastAsia="Arial" w:hAnsi="Arial"/>
          <w:sz w:val="22"/>
          <w:szCs w:val="22"/>
          <w:color w:val="auto"/>
        </w:rPr>
      </w:pPr>
    </w:p>
    <w:p>
      <w:pPr>
        <w:jc w:val="both"/>
        <w:ind w:left="181" w:right="299" w:hanging="181"/>
        <w:spacing w:after="0" w:line="195" w:lineRule="auto"/>
        <w:tabs>
          <w:tab w:leader="none" w:pos="181" w:val="left"/>
        </w:tabs>
        <w:numPr>
          <w:ilvl w:val="0"/>
          <w:numId w:val="11"/>
        </w:numPr>
        <w:rPr>
          <w:rFonts w:ascii="Arial" w:cs="Arial" w:eastAsia="Arial" w:hAnsi="Arial"/>
          <w:sz w:val="22"/>
          <w:szCs w:val="22"/>
          <w:color w:val="auto"/>
        </w:rPr>
      </w:pPr>
      <w:r>
        <w:rPr>
          <w:rFonts w:ascii="Arial" w:cs="Arial" w:eastAsia="Arial" w:hAnsi="Arial"/>
          <w:sz w:val="14"/>
          <w:szCs w:val="14"/>
          <w:color w:val="auto"/>
        </w:rPr>
        <w:t>Two-thirds of cytologically indeterminate nodules were found to be benign post-operatively</w:t>
      </w:r>
    </w:p>
    <w:p>
      <w:pPr>
        <w:spacing w:after="0" w:line="262" w:lineRule="exact"/>
        <w:rPr>
          <w:rFonts w:ascii="Arial" w:cs="Arial" w:eastAsia="Arial" w:hAnsi="Arial"/>
          <w:sz w:val="22"/>
          <w:szCs w:val="22"/>
          <w:color w:val="auto"/>
        </w:rPr>
      </w:pPr>
    </w:p>
    <w:p>
      <w:pPr>
        <w:jc w:val="both"/>
        <w:ind w:left="181" w:right="299" w:hanging="181"/>
        <w:spacing w:after="0" w:line="205" w:lineRule="auto"/>
        <w:tabs>
          <w:tab w:leader="none" w:pos="181" w:val="left"/>
        </w:tabs>
        <w:numPr>
          <w:ilvl w:val="0"/>
          <w:numId w:val="11"/>
        </w:numPr>
        <w:rPr>
          <w:rFonts w:ascii="Arial" w:cs="Arial" w:eastAsia="Arial" w:hAnsi="Arial"/>
          <w:sz w:val="22"/>
          <w:szCs w:val="22"/>
          <w:color w:val="auto"/>
        </w:rPr>
      </w:pPr>
      <w:r>
        <w:rPr>
          <w:rFonts w:ascii="Arial" w:cs="Arial" w:eastAsia="Arial" w:hAnsi="Arial"/>
          <w:sz w:val="14"/>
          <w:szCs w:val="14"/>
          <w:color w:val="auto"/>
        </w:rPr>
        <w:t>Operated cytology benign nodules were found to have an 11% risk of malignancy in the prospective study and 6% risk of malignancy in the meta-review (range 2%-18%)</w:t>
      </w:r>
    </w:p>
    <w:p>
      <w:pPr>
        <w:spacing w:after="0" w:line="200" w:lineRule="exact"/>
        <w:rPr>
          <w:sz w:val="20"/>
          <w:szCs w:val="20"/>
          <w:color w:val="auto"/>
        </w:rPr>
      </w:pPr>
    </w:p>
    <w:p>
      <w:pPr>
        <w:sectPr>
          <w:pgSz w:w="11900" w:h="16838" w:orient="portrait"/>
          <w:cols w:equalWidth="0" w:num="2">
            <w:col w:w="6659" w:space="720"/>
            <w:col w:w="2840"/>
          </w:cols>
          <w:pgMar w:left="240" w:top="131" w:right="1440" w:bottom="1440" w:gutter="0" w:footer="0" w:header="0"/>
          <w:type w:val="continuous"/>
        </w:sectPr>
      </w:pPr>
    </w:p>
    <w:p>
      <w:pPr>
        <w:spacing w:after="0" w:line="141" w:lineRule="exact"/>
        <w:rPr>
          <w:sz w:val="20"/>
          <w:szCs w:val="20"/>
          <w:color w:val="auto"/>
        </w:rPr>
      </w:pPr>
    </w:p>
    <w:p>
      <w:pPr>
        <w:ind w:left="1920" w:hanging="543"/>
        <w:spacing w:after="0"/>
        <w:tabs>
          <w:tab w:leader="none" w:pos="19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Sponsored by Veracyte and/or co-authored by a Veracyte employee(s).</w:t>
      </w:r>
    </w:p>
    <w:p>
      <w:pPr>
        <w:spacing w:after="0" w:line="122" w:lineRule="exact"/>
        <w:rPr>
          <w:rFonts w:ascii="Arial" w:cs="Arial" w:eastAsia="Arial" w:hAnsi="Arial"/>
          <w:sz w:val="14"/>
          <w:szCs w:val="14"/>
          <w:color w:val="auto"/>
        </w:rPr>
      </w:pPr>
    </w:p>
    <w:p>
      <w:pPr>
        <w:ind w:left="1920" w:hanging="543"/>
        <w:spacing w:after="0"/>
        <w:tabs>
          <w:tab w:leader="none" w:pos="19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institution of a co-author received institutional grant support as part of this study.</w:t>
      </w:r>
    </w:p>
    <w:p>
      <w:pPr>
        <w:spacing w:after="0" w:line="122" w:lineRule="exact"/>
        <w:rPr>
          <w:rFonts w:ascii="Arial" w:cs="Arial" w:eastAsia="Arial" w:hAnsi="Arial"/>
          <w:sz w:val="14"/>
          <w:szCs w:val="14"/>
          <w:color w:val="auto"/>
        </w:rPr>
      </w:pPr>
    </w:p>
    <w:p>
      <w:pPr>
        <w:ind w:left="1920" w:hanging="543"/>
        <w:spacing w:after="0"/>
        <w:tabs>
          <w:tab w:leader="none" w:pos="1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45" w:lineRule="exact"/>
        <w:rPr>
          <w:rFonts w:ascii="Arial" w:cs="Arial" w:eastAsia="Arial" w:hAnsi="Arial"/>
          <w:sz w:val="12"/>
          <w:szCs w:val="12"/>
          <w:color w:val="auto"/>
        </w:rPr>
      </w:pPr>
    </w:p>
    <w:p>
      <w:pPr>
        <w:ind w:left="1920" w:hanging="543"/>
        <w:spacing w:after="0"/>
        <w:tabs>
          <w:tab w:leader="none" w:pos="1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co-author of this study is a consultant and/or member of our clinical advisory board, and owns shares of our common stock.</w:t>
      </w:r>
    </w:p>
    <w:p>
      <w:pPr>
        <w:sectPr>
          <w:pgSz w:w="11900" w:h="16838" w:orient="portrait"/>
          <w:cols w:equalWidth="0" w:num="1">
            <w:col w:w="10219"/>
          </w:cols>
          <w:pgMar w:left="240" w:top="131" w:right="1440" w:bottom="1440" w:gutter="0" w:footer="0" w:header="0"/>
          <w:type w:val="continuous"/>
        </w:sect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review articles related to Afirma that have been published to date:</w:t>
      </w:r>
    </w:p>
    <w:p>
      <w:pPr>
        <w:spacing w:after="0" w:line="221" w:lineRule="exact"/>
        <w:rPr>
          <w:sz w:val="20"/>
          <w:szCs w:val="20"/>
          <w:color w:val="auto"/>
        </w:rPr>
      </w:pPr>
    </w:p>
    <w:p>
      <w:pPr>
        <w:jc w:val="both"/>
        <w:ind w:left="1380"/>
        <w:spacing w:after="0"/>
        <w:tabs>
          <w:tab w:leader="none" w:pos="4360" w:val="left"/>
          <w:tab w:leader="none" w:pos="736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0219"/>
          </w:cols>
          <w:pgMar w:left="240" w:top="131" w:right="1440" w:bottom="1440" w:gutter="0" w:footer="0" w:header="0"/>
        </w:sectPr>
      </w:pPr>
    </w:p>
    <w:p>
      <w:pPr>
        <w:spacing w:after="0" w:line="30" w:lineRule="exact"/>
        <w:rPr>
          <w:sz w:val="20"/>
          <w:szCs w:val="20"/>
          <w:color w:val="auto"/>
        </w:rPr>
      </w:pPr>
    </w:p>
    <w:p>
      <w:pPr>
        <w:ind w:left="1380"/>
        <w:spacing w:after="0" w:line="278"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 Cytopathology(1)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39" w:lineRule="auto"/>
        <w:rPr>
          <w:sz w:val="20"/>
          <w:szCs w:val="20"/>
          <w:color w:val="auto"/>
        </w:rPr>
      </w:pPr>
      <w:r>
        <w:rPr>
          <w:rFonts w:ascii="Arial" w:cs="Arial" w:eastAsia="Arial" w:hAnsi="Arial"/>
          <w:sz w:val="14"/>
          <w:szCs w:val="14"/>
          <w:i w:val="1"/>
          <w:iCs w:val="1"/>
          <w:color w:val="auto"/>
        </w:rPr>
        <w:t xml:space="preserve">PLoS Currents: Evidence on Genomic Tests </w:t>
      </w:r>
      <w:r>
        <w:rPr>
          <w:rFonts w:ascii="Arial" w:cs="Arial" w:eastAsia="Arial" w:hAnsi="Arial"/>
          <w:sz w:val="14"/>
          <w:szCs w:val="14"/>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-204470</wp:posOffset>
            </wp:positionV>
            <wp:extent cx="5428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506730</wp:posOffset>
            </wp:positionV>
            <wp:extent cx="5428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left="181" w:right="299" w:hanging="181"/>
        <w:spacing w:after="0" w:line="223" w:lineRule="auto"/>
        <w:tabs>
          <w:tab w:leader="none" w:pos="181" w:val="left"/>
        </w:tabs>
        <w:numPr>
          <w:ilvl w:val="0"/>
          <w:numId w:val="13"/>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3" w:lineRule="exact"/>
        <w:rPr>
          <w:sz w:val="20"/>
          <w:szCs w:val="20"/>
          <w:color w:val="auto"/>
        </w:rPr>
      </w:pPr>
    </w:p>
    <w:p>
      <w:pPr>
        <w:sectPr>
          <w:pgSz w:w="11900" w:h="16838" w:orient="portrait"/>
          <w:cols w:equalWidth="0" w:num="3">
            <w:col w:w="3860" w:space="520"/>
            <w:col w:w="2360" w:space="639"/>
            <w:col w:w="2840"/>
          </w:cols>
          <w:pgMar w:left="240" w:top="131" w:right="1440" w:bottom="1440" w:gutter="0" w:footer="0" w:header="0"/>
          <w:type w:val="continuous"/>
        </w:sectPr>
      </w:pPr>
    </w:p>
    <w:p>
      <w:pPr>
        <w:ind w:left="1380"/>
        <w:spacing w:after="0" w:line="233" w:lineRule="auto"/>
        <w:rPr>
          <w:sz w:val="20"/>
          <w:szCs w:val="20"/>
          <w:color w:val="auto"/>
        </w:rPr>
      </w:pPr>
      <w:r>
        <w:rPr>
          <w:rFonts w:ascii="Arial" w:cs="Arial" w:eastAsia="Arial" w:hAnsi="Arial"/>
          <w:sz w:val="14"/>
          <w:szCs w:val="14"/>
          <w:color w:val="auto"/>
        </w:rPr>
        <w:t>Minimizing Unnecessary Surgery for Thyroid Nodules</w:t>
      </w:r>
    </w:p>
    <w:p>
      <w:pPr>
        <w:spacing w:after="0" w:line="20" w:lineRule="exact"/>
        <w:rPr>
          <w:sz w:val="20"/>
          <w:szCs w:val="20"/>
          <w:color w:val="auto"/>
        </w:rPr>
      </w:pPr>
      <w:r>
        <w:rPr>
          <w:sz w:val="20"/>
          <w:szCs w:val="20"/>
          <w:color w:val="auto"/>
        </w:rPr>
        <w:br w:type="column"/>
      </w:r>
    </w:p>
    <w:p>
      <w:pPr>
        <w:ind w:right="360"/>
        <w:spacing w:after="0" w:line="233" w:lineRule="auto"/>
        <w:rPr>
          <w:sz w:val="20"/>
          <w:szCs w:val="20"/>
          <w:color w:val="auto"/>
        </w:rPr>
      </w:pPr>
      <w:r>
        <w:rPr>
          <w:rFonts w:ascii="Arial" w:cs="Arial" w:eastAsia="Arial" w:hAnsi="Arial"/>
          <w:sz w:val="14"/>
          <w:szCs w:val="14"/>
          <w:i w:val="1"/>
          <w:iCs w:val="1"/>
          <w:color w:val="auto"/>
        </w:rPr>
        <w:t xml:space="preserve">The New England Journal of Medicine </w:t>
      </w:r>
      <w:r>
        <w:rPr>
          <w:rFonts w:ascii="Arial" w:cs="Arial" w:eastAsia="Arial" w:hAnsi="Arial"/>
          <w:sz w:val="14"/>
          <w:szCs w:val="14"/>
          <w:color w:val="auto"/>
        </w:rPr>
        <w:t>(August 2012)</w:t>
      </w:r>
    </w:p>
    <w:p>
      <w:pPr>
        <w:spacing w:after="0" w:line="20" w:lineRule="exact"/>
        <w:rPr>
          <w:sz w:val="20"/>
          <w:szCs w:val="20"/>
          <w:color w:val="auto"/>
        </w:rPr>
      </w:pPr>
      <w:r>
        <w:rPr>
          <w:sz w:val="20"/>
          <w:szCs w:val="20"/>
          <w:color w:val="auto"/>
        </w:rPr>
        <w:br w:type="column"/>
      </w:r>
    </w:p>
    <w:p>
      <w:pPr>
        <w:jc w:val="both"/>
        <w:ind w:right="299" w:hanging="179"/>
        <w:spacing w:after="0" w:line="225" w:lineRule="auto"/>
        <w:rPr>
          <w:sz w:val="20"/>
          <w:szCs w:val="20"/>
          <w:color w:val="auto"/>
        </w:rPr>
      </w:pPr>
      <w:r>
        <w:rPr>
          <w:rFonts w:ascii="Arial" w:cs="Arial" w:eastAsia="Arial" w:hAnsi="Arial"/>
          <w:sz w:val="22"/>
          <w:szCs w:val="22"/>
          <w:color w:val="auto"/>
        </w:rPr>
        <w:t xml:space="preserve">• </w:t>
      </w:r>
      <w:r>
        <w:rPr>
          <w:rFonts w:ascii="Arial" w:cs="Arial" w:eastAsia="Arial" w:hAnsi="Arial"/>
          <w:sz w:val="13"/>
          <w:szCs w:val="13"/>
          <w:color w:val="auto"/>
        </w:rPr>
        <w:t>Clinical</w:t>
      </w:r>
      <w:r>
        <w:rPr>
          <w:sz w:val="20"/>
          <w:szCs w:val="20"/>
          <w:color w:val="auto"/>
        </w:rPr>
        <w:t xml:space="preserve"> </w:t>
      </w:r>
      <w:r>
        <w:rPr>
          <w:rFonts w:ascii="Arial" w:cs="Arial" w:eastAsia="Arial" w:hAnsi="Arial"/>
          <w:sz w:val="14"/>
          <w:szCs w:val="14"/>
          <w:color w:val="auto"/>
        </w:rPr>
        <w:t>algorithm recommending monitoring in lieu of diagnostic surgery in patients with indeterminate FNA cytopathology results</w:t>
      </w:r>
    </w:p>
    <w:p>
      <w:pPr>
        <w:spacing w:after="0" w:line="61" w:lineRule="exact"/>
        <w:rPr>
          <w:sz w:val="20"/>
          <w:szCs w:val="20"/>
          <w:color w:val="auto"/>
        </w:rPr>
      </w:pPr>
    </w:p>
    <w:p>
      <w:pPr>
        <w:sectPr>
          <w:pgSz w:w="11900" w:h="16838" w:orient="portrait"/>
          <w:cols w:equalWidth="0" w:num="3">
            <w:col w:w="3860" w:space="520"/>
            <w:col w:w="2460" w:space="720"/>
            <w:col w:w="2659"/>
          </w:cols>
          <w:pgMar w:left="240" w:top="131" w:right="1440" w:bottom="1440" w:gutter="0" w:footer="0" w:header="0"/>
          <w:type w:val="continuous"/>
        </w:sectPr>
      </w:pPr>
    </w:p>
    <w:tbl>
      <w:tblPr>
        <w:tblLayout w:type="fixed"/>
        <w:tblInd w:w="1380" w:type="dxa"/>
        <w:tblCellMar>
          <w:top w:w="0" w:type="dxa"/>
          <w:left w:w="0" w:type="dxa"/>
          <w:bottom w:w="0" w:type="dxa"/>
          <w:right w:w="0" w:type="dxa"/>
        </w:tblCellMar>
      </w:tblPr>
      <w:tr>
        <w:trPr>
          <w:trHeight w:val="131"/>
        </w:trPr>
        <w:tc>
          <w:tcPr>
            <w:tcW w:w="2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rPr>
              <w:t>Diagnostic Use of Molecular Markers in the</w:t>
            </w:r>
          </w:p>
        </w:tc>
        <w:tc>
          <w:tcPr>
            <w:tcW w:w="2820" w:type="dxa"/>
            <w:vAlign w:val="bottom"/>
            <w:tcBorders>
              <w:top w:val="single" w:sz="8" w:color="auto"/>
            </w:tcBorders>
          </w:tcPr>
          <w:p>
            <w:pPr>
              <w:ind w:left="220"/>
              <w:spacing w:after="0" w:line="131" w:lineRule="exact"/>
              <w:rPr>
                <w:sz w:val="20"/>
                <w:szCs w:val="20"/>
                <w:color w:val="auto"/>
              </w:rPr>
            </w:pPr>
            <w:r>
              <w:rPr>
                <w:rFonts w:ascii="Arial" w:cs="Arial" w:eastAsia="Arial" w:hAnsi="Arial"/>
                <w:sz w:val="14"/>
                <w:szCs w:val="14"/>
                <w:i w:val="1"/>
                <w:iCs w:val="1"/>
                <w:color w:val="auto"/>
              </w:rPr>
              <w:t>Endocrine Practice</w:t>
            </w:r>
          </w:p>
        </w:tc>
        <w:tc>
          <w:tcPr>
            <w:tcW w:w="2960" w:type="dxa"/>
            <w:vAlign w:val="bottom"/>
            <w:tcBorders>
              <w:top w:val="single" w:sz="8" w:color="auto"/>
            </w:tcBorders>
            <w:gridSpan w:val="11"/>
            <w:vMerge w:val="restart"/>
          </w:tcPr>
          <w:p>
            <w:pPr>
              <w:ind w:left="400"/>
              <w:spacing w:after="0" w:line="199"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13"/>
                <w:szCs w:val="13"/>
                <w:color w:val="auto"/>
                <w:w w:val="96"/>
              </w:rPr>
              <w:t>Genomic tests exhibit variable performance</w:t>
            </w: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Evaluation of Thyroid Nodules(2)</w:t>
            </w:r>
          </w:p>
        </w:tc>
        <w:tc>
          <w:tcPr>
            <w:tcW w:w="2820" w:type="dxa"/>
            <w:vAlign w:val="bottom"/>
            <w:vMerge w:val="restart"/>
          </w:tcPr>
          <w:p>
            <w:pPr>
              <w:ind w:left="220"/>
              <w:spacing w:after="0"/>
              <w:rPr>
                <w:sz w:val="20"/>
                <w:szCs w:val="20"/>
                <w:color w:val="auto"/>
              </w:rPr>
            </w:pPr>
            <w:r>
              <w:rPr>
                <w:rFonts w:ascii="Arial" w:cs="Arial" w:eastAsia="Arial" w:hAnsi="Arial"/>
                <w:sz w:val="14"/>
                <w:szCs w:val="14"/>
                <w:color w:val="auto"/>
              </w:rPr>
              <w:t>(September/October 2012)</w:t>
            </w: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780" w:type="dxa"/>
            <w:vAlign w:val="bottom"/>
            <w:gridSpan w:val="2"/>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color w:val="auto"/>
                <w:w w:val="87"/>
              </w:rPr>
              <w:t>characteristics</w:t>
            </w:r>
          </w:p>
        </w:tc>
        <w:tc>
          <w:tcPr>
            <w:tcW w:w="380" w:type="dxa"/>
            <w:vAlign w:val="bottom"/>
            <w:vMerge w:val="restart"/>
          </w:tcPr>
          <w:p>
            <w:pPr>
              <w:ind w:left="180"/>
              <w:spacing w:after="0" w:line="149" w:lineRule="exact"/>
              <w:rPr>
                <w:sz w:val="20"/>
                <w:szCs w:val="20"/>
                <w:color w:val="auto"/>
              </w:rPr>
            </w:pPr>
            <w:r>
              <w:rPr>
                <w:rFonts w:ascii="Arial" w:cs="Arial" w:eastAsia="Arial" w:hAnsi="Arial"/>
                <w:sz w:val="14"/>
                <w:szCs w:val="14"/>
                <w:color w:val="auto"/>
                <w:w w:val="76"/>
              </w:rPr>
              <w:t>and</w:t>
            </w:r>
          </w:p>
        </w:tc>
        <w:tc>
          <w:tcPr>
            <w:tcW w:w="180" w:type="dxa"/>
            <w:vAlign w:val="bottom"/>
          </w:tcPr>
          <w:p>
            <w:pPr>
              <w:spacing w:after="0"/>
              <w:rPr>
                <w:sz w:val="9"/>
                <w:szCs w:val="9"/>
                <w:color w:val="auto"/>
              </w:rPr>
            </w:pPr>
          </w:p>
        </w:tc>
        <w:tc>
          <w:tcPr>
            <w:tcW w:w="580" w:type="dxa"/>
            <w:vAlign w:val="bottom"/>
            <w:gridSpan w:val="3"/>
            <w:vMerge w:val="restart"/>
          </w:tcPr>
          <w:p>
            <w:pPr>
              <w:ind w:left="20"/>
              <w:spacing w:after="0" w:line="149" w:lineRule="exact"/>
              <w:rPr>
                <w:sz w:val="20"/>
                <w:szCs w:val="20"/>
                <w:color w:val="auto"/>
              </w:rPr>
            </w:pPr>
            <w:r>
              <w:rPr>
                <w:rFonts w:ascii="Arial" w:cs="Arial" w:eastAsia="Arial" w:hAnsi="Arial"/>
                <w:sz w:val="14"/>
                <w:szCs w:val="14"/>
                <w:color w:val="auto"/>
              </w:rPr>
              <w:t>require</w:t>
            </w:r>
          </w:p>
        </w:tc>
        <w:tc>
          <w:tcPr>
            <w:tcW w:w="4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w w:val="95"/>
              </w:rPr>
              <w:t>clinical</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validation</w:t>
            </w:r>
          </w:p>
        </w:tc>
        <w:tc>
          <w:tcPr>
            <w:tcW w:w="120" w:type="dxa"/>
            <w:vAlign w:val="bottom"/>
          </w:tcPr>
          <w:p>
            <w:pPr>
              <w:spacing w:after="0" w:line="149" w:lineRule="exact"/>
              <w:rPr>
                <w:sz w:val="20"/>
                <w:szCs w:val="20"/>
                <w:color w:val="auto"/>
              </w:rPr>
            </w:pPr>
            <w:r>
              <w:rPr>
                <w:rFonts w:ascii="Arial" w:cs="Arial" w:eastAsia="Arial" w:hAnsi="Arial"/>
                <w:sz w:val="14"/>
                <w:szCs w:val="14"/>
                <w:color w:val="auto"/>
                <w:w w:val="91"/>
              </w:rPr>
              <w:t>in</w:t>
            </w:r>
          </w:p>
        </w:tc>
        <w:tc>
          <w:tcPr>
            <w:tcW w:w="9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prospective,</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5"/>
              </w:rPr>
              <w:t>multicenter,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gridSpan w:val="10"/>
          </w:tcPr>
          <w:p>
            <w:pPr>
              <w:ind w:left="60"/>
              <w:spacing w:after="0"/>
              <w:rPr>
                <w:sz w:val="20"/>
                <w:szCs w:val="20"/>
                <w:color w:val="auto"/>
              </w:rPr>
            </w:pPr>
            <w:r>
              <w:rPr>
                <w:rFonts w:ascii="Arial" w:cs="Arial" w:eastAsia="Arial" w:hAnsi="Arial"/>
                <w:sz w:val="14"/>
                <w:szCs w:val="14"/>
                <w:color w:val="auto"/>
                <w:w w:val="87"/>
              </w:rPr>
              <w:t>blinded studies before widespread adoption</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60" w:type="dxa"/>
            <w:vAlign w:val="bottom"/>
            <w:gridSpan w:val="3"/>
          </w:tcPr>
          <w:p>
            <w:pPr>
              <w:ind w:left="400"/>
              <w:spacing w:after="0"/>
              <w:rPr>
                <w:sz w:val="20"/>
                <w:szCs w:val="20"/>
                <w:color w:val="auto"/>
              </w:rPr>
            </w:pPr>
            <w:r>
              <w:rPr>
                <w:rFonts w:ascii="Arial" w:cs="Arial" w:eastAsia="Arial" w:hAnsi="Arial"/>
                <w:sz w:val="22"/>
                <w:szCs w:val="22"/>
                <w:color w:val="auto"/>
                <w:w w:val="98"/>
              </w:rPr>
              <w:t xml:space="preserve">• </w:t>
            </w:r>
            <w:r>
              <w:rPr>
                <w:rFonts w:ascii="Arial" w:cs="Arial" w:eastAsia="Arial" w:hAnsi="Arial"/>
                <w:sz w:val="13"/>
                <w:szCs w:val="13"/>
                <w:color w:val="auto"/>
                <w:w w:val="98"/>
              </w:rPr>
              <w:t>Prospective,</w:t>
            </w:r>
          </w:p>
        </w:tc>
        <w:tc>
          <w:tcPr>
            <w:tcW w:w="12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large-scale</w:t>
            </w:r>
          </w:p>
        </w:tc>
        <w:tc>
          <w:tcPr>
            <w:tcW w:w="560" w:type="dxa"/>
            <w:vAlign w:val="bottom"/>
            <w:gridSpan w:val="3"/>
          </w:tcPr>
          <w:p>
            <w:pPr>
              <w:jc w:val="center"/>
              <w:spacing w:after="0"/>
              <w:rPr>
                <w:sz w:val="20"/>
                <w:szCs w:val="20"/>
                <w:color w:val="auto"/>
              </w:rPr>
            </w:pPr>
            <w:r>
              <w:rPr>
                <w:rFonts w:ascii="Arial" w:cs="Arial" w:eastAsia="Arial" w:hAnsi="Arial"/>
                <w:sz w:val="14"/>
                <w:szCs w:val="14"/>
                <w:color w:val="auto"/>
                <w:w w:val="91"/>
              </w:rPr>
              <w:t>validation</w:t>
            </w:r>
          </w:p>
        </w:tc>
        <w:tc>
          <w:tcPr>
            <w:tcW w:w="280" w:type="dxa"/>
            <w:vAlign w:val="bottom"/>
          </w:tcPr>
          <w:p>
            <w:pPr>
              <w:jc w:val="right"/>
              <w:spacing w:after="0"/>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87"/>
              </w:rPr>
              <w:t>Afirma provides the broadest available data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88"/>
              </w:rPr>
              <w:t>among any of the thyroid nodule diagnostic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tests</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60" w:type="dxa"/>
            <w:vAlign w:val="bottom"/>
          </w:tcPr>
          <w:p>
            <w:pPr>
              <w:spacing w:after="0" w:line="131" w:lineRule="exact"/>
              <w:rPr>
                <w:sz w:val="20"/>
                <w:szCs w:val="20"/>
                <w:color w:val="auto"/>
              </w:rPr>
            </w:pPr>
            <w:r>
              <w:rPr>
                <w:rFonts w:ascii="Arial" w:cs="Arial" w:eastAsia="Arial" w:hAnsi="Arial"/>
                <w:sz w:val="14"/>
                <w:szCs w:val="14"/>
                <w:color w:val="auto"/>
              </w:rPr>
              <w:t>Molecular Biomarkers in Thyroid FNA</w:t>
            </w:r>
          </w:p>
        </w:tc>
        <w:tc>
          <w:tcPr>
            <w:tcW w:w="2820" w:type="dxa"/>
            <w:vAlign w:val="bottom"/>
          </w:tcPr>
          <w:p>
            <w:pPr>
              <w:ind w:left="220"/>
              <w:spacing w:after="0" w:line="131" w:lineRule="exact"/>
              <w:rPr>
                <w:sz w:val="20"/>
                <w:szCs w:val="20"/>
                <w:color w:val="auto"/>
              </w:rPr>
            </w:pPr>
            <w:r>
              <w:rPr>
                <w:rFonts w:ascii="Arial" w:cs="Arial" w:eastAsia="Arial" w:hAnsi="Arial"/>
                <w:sz w:val="14"/>
                <w:szCs w:val="14"/>
                <w:i w:val="1"/>
                <w:iCs w:val="1"/>
                <w:color w:val="auto"/>
              </w:rPr>
              <w:t>Journal of Clinical Endocrinology and</w:t>
            </w:r>
          </w:p>
        </w:tc>
        <w:tc>
          <w:tcPr>
            <w:tcW w:w="520" w:type="dxa"/>
            <w:vAlign w:val="bottom"/>
            <w:vMerge w:val="restart"/>
          </w:tcPr>
          <w:p>
            <w:pPr>
              <w:ind w:left="400"/>
              <w:spacing w:after="0" w:line="199" w:lineRule="exact"/>
              <w:rPr>
                <w:sz w:val="20"/>
                <w:szCs w:val="20"/>
                <w:color w:val="auto"/>
              </w:rPr>
            </w:pPr>
            <w:r>
              <w:rPr>
                <w:rFonts w:ascii="Arial" w:cs="Arial" w:eastAsia="Arial" w:hAnsi="Arial"/>
                <w:sz w:val="22"/>
                <w:szCs w:val="22"/>
                <w:color w:val="auto"/>
              </w:rPr>
              <w:t>•</w:t>
            </w:r>
          </w:p>
        </w:tc>
        <w:tc>
          <w:tcPr>
            <w:tcW w:w="520" w:type="dxa"/>
            <w:vAlign w:val="bottom"/>
            <w:vMerge w:val="restart"/>
          </w:tcPr>
          <w:p>
            <w:pPr>
              <w:ind w:left="60"/>
              <w:spacing w:after="0"/>
              <w:rPr>
                <w:sz w:val="20"/>
                <w:szCs w:val="20"/>
                <w:color w:val="auto"/>
              </w:rPr>
            </w:pPr>
            <w:r>
              <w:rPr>
                <w:rFonts w:ascii="Arial" w:cs="Arial" w:eastAsia="Arial" w:hAnsi="Arial"/>
                <w:sz w:val="14"/>
                <w:szCs w:val="14"/>
                <w:color w:val="auto"/>
                <w:w w:val="97"/>
              </w:rPr>
              <w:t>Clinical</w:t>
            </w:r>
          </w:p>
        </w:tc>
        <w:tc>
          <w:tcPr>
            <w:tcW w:w="900" w:type="dxa"/>
            <w:vAlign w:val="bottom"/>
            <w:gridSpan w:val="4"/>
            <w:vMerge w:val="restart"/>
          </w:tcPr>
          <w:p>
            <w:pPr>
              <w:ind w:left="40"/>
              <w:spacing w:after="0"/>
              <w:rPr>
                <w:sz w:val="20"/>
                <w:szCs w:val="20"/>
                <w:color w:val="auto"/>
              </w:rPr>
            </w:pPr>
            <w:r>
              <w:rPr>
                <w:rFonts w:ascii="Arial" w:cs="Arial" w:eastAsia="Arial" w:hAnsi="Arial"/>
                <w:sz w:val="14"/>
                <w:szCs w:val="14"/>
                <w:color w:val="auto"/>
                <w:w w:val="88"/>
              </w:rPr>
              <w:t>implementation</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of</w:t>
            </w:r>
          </w:p>
        </w:tc>
        <w:tc>
          <w:tcPr>
            <w:tcW w:w="5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0"/>
              </w:rPr>
              <w:t>genomic</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w w:val="81"/>
              </w:rPr>
              <w:t>tests</w:t>
            </w: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Samples</w:t>
            </w:r>
          </w:p>
        </w:tc>
        <w:tc>
          <w:tcPr>
            <w:tcW w:w="2820" w:type="dxa"/>
            <w:vAlign w:val="bottom"/>
            <w:vMerge w:val="restart"/>
          </w:tcPr>
          <w:p>
            <w:pPr>
              <w:ind w:left="220"/>
              <w:spacing w:after="0" w:line="149" w:lineRule="exact"/>
              <w:rPr>
                <w:sz w:val="20"/>
                <w:szCs w:val="20"/>
                <w:color w:val="auto"/>
              </w:rPr>
            </w:pPr>
            <w:r>
              <w:rPr>
                <w:rFonts w:ascii="Arial" w:cs="Arial" w:eastAsia="Arial" w:hAnsi="Arial"/>
                <w:sz w:val="14"/>
                <w:szCs w:val="14"/>
                <w:i w:val="1"/>
                <w:iCs w:val="1"/>
                <w:color w:val="auto"/>
              </w:rPr>
              <w:t>Metabolism</w:t>
            </w: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80" w:type="dxa"/>
            <w:vAlign w:val="bottom"/>
            <w:gridSpan w:val="2"/>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vMerge w:val="restart"/>
          </w:tcPr>
          <w:p>
            <w:pPr>
              <w:ind w:left="60"/>
              <w:spacing w:after="0" w:line="149" w:lineRule="exact"/>
              <w:rPr>
                <w:sz w:val="20"/>
                <w:szCs w:val="20"/>
                <w:color w:val="auto"/>
              </w:rPr>
            </w:pPr>
            <w:r>
              <w:rPr>
                <w:rFonts w:ascii="Arial" w:cs="Arial" w:eastAsia="Arial" w:hAnsi="Arial"/>
                <w:sz w:val="14"/>
                <w:szCs w:val="14"/>
                <w:color w:val="auto"/>
                <w:w w:val="86"/>
              </w:rPr>
              <w:t>requires</w:t>
            </w:r>
          </w:p>
        </w:tc>
        <w:tc>
          <w:tcPr>
            <w:tcW w:w="1260" w:type="dxa"/>
            <w:vAlign w:val="bottom"/>
            <w:gridSpan w:val="6"/>
            <w:vMerge w:val="restart"/>
          </w:tcPr>
          <w:p>
            <w:pPr>
              <w:ind w:left="40"/>
              <w:spacing w:after="0" w:line="149" w:lineRule="exact"/>
              <w:rPr>
                <w:sz w:val="20"/>
                <w:szCs w:val="20"/>
                <w:color w:val="auto"/>
              </w:rPr>
            </w:pPr>
            <w:r>
              <w:rPr>
                <w:rFonts w:ascii="Arial" w:cs="Arial" w:eastAsia="Arial" w:hAnsi="Arial"/>
                <w:sz w:val="14"/>
                <w:szCs w:val="14"/>
                <w:color w:val="auto"/>
                <w:w w:val="91"/>
              </w:rPr>
              <w:t>robust demonstration</w:t>
            </w:r>
          </w:p>
        </w:tc>
        <w:tc>
          <w:tcPr>
            <w:tcW w:w="2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5"/>
              </w:rPr>
              <w:t>of</w:t>
            </w:r>
          </w:p>
        </w:tc>
        <w:tc>
          <w:tcPr>
            <w:tcW w:w="4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w w:val="84"/>
              </w:rPr>
              <w:t>analytic</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820" w:type="dxa"/>
            <w:vAlign w:val="bottom"/>
            <w:vMerge w:val="restart"/>
          </w:tcPr>
          <w:p>
            <w:pPr>
              <w:ind w:left="220"/>
              <w:spacing w:after="0"/>
              <w:rPr>
                <w:sz w:val="20"/>
                <w:szCs w:val="20"/>
                <w:color w:val="auto"/>
              </w:rPr>
            </w:pPr>
            <w:r>
              <w:rPr>
                <w:rFonts w:ascii="Arial" w:cs="Arial" w:eastAsia="Arial" w:hAnsi="Arial"/>
                <w:sz w:val="14"/>
                <w:szCs w:val="14"/>
                <w:color w:val="auto"/>
              </w:rPr>
              <w:t>(December 2012)</w:t>
            </w: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60" w:type="dxa"/>
            <w:vAlign w:val="bottom"/>
            <w:gridSpan w:val="6"/>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440" w:type="dxa"/>
            <w:vAlign w:val="bottom"/>
            <w:gridSpan w:val="10"/>
            <w:vMerge w:val="restart"/>
          </w:tcPr>
          <w:p>
            <w:pPr>
              <w:ind w:left="60"/>
              <w:spacing w:after="0" w:line="149" w:lineRule="exact"/>
              <w:rPr>
                <w:sz w:val="20"/>
                <w:szCs w:val="20"/>
                <w:color w:val="auto"/>
              </w:rPr>
            </w:pPr>
            <w:r>
              <w:rPr>
                <w:rFonts w:ascii="Arial" w:cs="Arial" w:eastAsia="Arial" w:hAnsi="Arial"/>
                <w:sz w:val="14"/>
                <w:szCs w:val="14"/>
                <w:color w:val="auto"/>
                <w:w w:val="91"/>
              </w:rPr>
              <w:t>validity, as reported for Afirma in Walsh et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w w:val="88"/>
              </w:rPr>
              <w:t xml:space="preserve">al </w:t>
            </w:r>
            <w:r>
              <w:rPr>
                <w:rFonts w:ascii="Arial" w:cs="Arial" w:eastAsia="Arial" w:hAnsi="Arial"/>
                <w:sz w:val="14"/>
                <w:szCs w:val="14"/>
                <w:i w:val="1"/>
                <w:iCs w:val="1"/>
                <w:color w:val="auto"/>
                <w:w w:val="88"/>
              </w:rPr>
              <w:t>JCEM</w:t>
            </w:r>
            <w:r>
              <w:rPr>
                <w:rFonts w:ascii="Arial" w:cs="Arial" w:eastAsia="Arial" w:hAnsi="Arial"/>
                <w:sz w:val="14"/>
                <w:szCs w:val="14"/>
                <w:color w:val="auto"/>
                <w:w w:val="88"/>
              </w:rPr>
              <w:t xml:space="preserve"> 2012</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60" w:type="dxa"/>
            <w:vAlign w:val="bottom"/>
            <w:gridSpan w:val="11"/>
          </w:tcPr>
          <w:p>
            <w:pPr>
              <w:ind w:left="400"/>
              <w:spacing w:after="0"/>
              <w:rPr>
                <w:sz w:val="20"/>
                <w:szCs w:val="20"/>
                <w:color w:val="auto"/>
              </w:rPr>
            </w:pPr>
            <w:r>
              <w:rPr>
                <w:rFonts w:ascii="Arial" w:cs="Arial" w:eastAsia="Arial" w:hAnsi="Arial"/>
                <w:sz w:val="22"/>
                <w:szCs w:val="22"/>
                <w:color w:val="auto"/>
                <w:w w:val="98"/>
              </w:rPr>
              <w:t xml:space="preserve">• </w:t>
            </w:r>
            <w:r>
              <w:rPr>
                <w:rFonts w:ascii="Arial" w:cs="Arial" w:eastAsia="Arial" w:hAnsi="Arial"/>
                <w:sz w:val="13"/>
                <w:szCs w:val="13"/>
                <w:color w:val="auto"/>
                <w:w w:val="98"/>
              </w:rPr>
              <w:t>As many as 30-40% of thyroid carcinomas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5"/>
              </w:rPr>
              <w:t>do not display known somatic oncogene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4"/>
              </w:rPr>
              <w:t>mutations and may harbor novel genetic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vMerge w:val="restart"/>
          </w:tcPr>
          <w:p>
            <w:pPr>
              <w:ind w:left="400"/>
              <w:spacing w:after="0"/>
              <w:rPr>
                <w:sz w:val="20"/>
                <w:szCs w:val="20"/>
                <w:color w:val="auto"/>
              </w:rPr>
            </w:pPr>
            <w:r>
              <w:rPr>
                <w:rFonts w:ascii="Arial" w:cs="Arial" w:eastAsia="Arial" w:hAnsi="Arial"/>
                <w:sz w:val="22"/>
                <w:szCs w:val="22"/>
                <w:color w:val="auto"/>
              </w:rPr>
              <w:t>•</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alterations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40" w:type="dxa"/>
            <w:vAlign w:val="bottom"/>
            <w:gridSpan w:val="10"/>
          </w:tcPr>
          <w:p>
            <w:pPr>
              <w:ind w:left="60"/>
              <w:spacing w:after="0"/>
              <w:rPr>
                <w:sz w:val="20"/>
                <w:szCs w:val="20"/>
                <w:color w:val="auto"/>
              </w:rPr>
            </w:pPr>
            <w:r>
              <w:rPr>
                <w:rFonts w:ascii="Arial" w:cs="Arial" w:eastAsia="Arial" w:hAnsi="Arial"/>
                <w:sz w:val="14"/>
                <w:szCs w:val="14"/>
                <w:color w:val="auto"/>
                <w:w w:val="92"/>
              </w:rPr>
              <w:t>The mutation assessment test may 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4"/>
              </w:rPr>
              <w:t>best as a diagnostic algorithm to identify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2"/>
              </w:rPr>
              <w:t>suspected malignancy with an NPV of 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3"/>
              </w:rPr>
              <w:t>to  95%,  Afirma  may  serve  to  exclude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w w:val="93"/>
              </w:rPr>
              <w:t>malignancy</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60" w:type="dxa"/>
            <w:vAlign w:val="bottom"/>
          </w:tcPr>
          <w:p>
            <w:pPr>
              <w:spacing w:after="0" w:line="131" w:lineRule="exact"/>
              <w:rPr>
                <w:sz w:val="20"/>
                <w:szCs w:val="20"/>
                <w:color w:val="auto"/>
              </w:rPr>
            </w:pPr>
            <w:r>
              <w:rPr>
                <w:rFonts w:ascii="Arial" w:cs="Arial" w:eastAsia="Arial" w:hAnsi="Arial"/>
                <w:sz w:val="14"/>
                <w:szCs w:val="14"/>
                <w:color w:val="auto"/>
                <w:w w:val="98"/>
              </w:rPr>
              <w:t>Diagnosis and Management of Differentiated</w:t>
            </w:r>
          </w:p>
        </w:tc>
        <w:tc>
          <w:tcPr>
            <w:tcW w:w="2820" w:type="dxa"/>
            <w:vAlign w:val="bottom"/>
          </w:tcPr>
          <w:p>
            <w:pPr>
              <w:ind w:left="220"/>
              <w:spacing w:after="0" w:line="131" w:lineRule="exact"/>
              <w:rPr>
                <w:sz w:val="20"/>
                <w:szCs w:val="20"/>
                <w:color w:val="auto"/>
              </w:rPr>
            </w:pPr>
            <w:r>
              <w:rPr>
                <w:rFonts w:ascii="Arial" w:cs="Arial" w:eastAsia="Arial" w:hAnsi="Arial"/>
                <w:sz w:val="14"/>
                <w:szCs w:val="14"/>
                <w:i w:val="1"/>
                <w:iCs w:val="1"/>
                <w:color w:val="auto"/>
              </w:rPr>
              <w:t>Laryngoscope</w:t>
            </w:r>
          </w:p>
        </w:tc>
        <w:tc>
          <w:tcPr>
            <w:tcW w:w="520" w:type="dxa"/>
            <w:vAlign w:val="bottom"/>
            <w:vMerge w:val="restart"/>
          </w:tcPr>
          <w:p>
            <w:pPr>
              <w:ind w:left="400"/>
              <w:spacing w:after="0" w:line="199" w:lineRule="exact"/>
              <w:rPr>
                <w:sz w:val="20"/>
                <w:szCs w:val="20"/>
                <w:color w:val="auto"/>
              </w:rPr>
            </w:pPr>
            <w:r>
              <w:rPr>
                <w:rFonts w:ascii="Arial" w:cs="Arial" w:eastAsia="Arial" w:hAnsi="Arial"/>
                <w:sz w:val="22"/>
                <w:szCs w:val="22"/>
                <w:color w:val="auto"/>
              </w:rPr>
              <w:t>•</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Molecular</w:t>
            </w: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color w:val="auto"/>
                <w:w w:val="90"/>
              </w:rPr>
              <w:t>markers</w:t>
            </w: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can</w:t>
            </w: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w w:val="76"/>
              </w:rPr>
              <w:t>be</w:t>
            </w: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color w:val="auto"/>
              </w:rPr>
              <w:t>classified</w:t>
            </w: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w w:val="97"/>
              </w:rPr>
              <w:t>Thyroid Cancer using Molecular Biology(3)(4)</w:t>
            </w:r>
          </w:p>
        </w:tc>
        <w:tc>
          <w:tcPr>
            <w:tcW w:w="2820" w:type="dxa"/>
            <w:vAlign w:val="bottom"/>
            <w:vMerge w:val="restart"/>
          </w:tcPr>
          <w:p>
            <w:pPr>
              <w:ind w:left="220"/>
              <w:spacing w:after="0"/>
              <w:rPr>
                <w:sz w:val="20"/>
                <w:szCs w:val="20"/>
                <w:color w:val="auto"/>
              </w:rPr>
            </w:pPr>
            <w:r>
              <w:rPr>
                <w:rFonts w:ascii="Arial" w:cs="Arial" w:eastAsia="Arial" w:hAnsi="Arial"/>
                <w:sz w:val="14"/>
                <w:szCs w:val="14"/>
                <w:color w:val="auto"/>
              </w:rPr>
              <w:t>(April 2013)</w:t>
            </w: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780" w:type="dxa"/>
            <w:vAlign w:val="bottom"/>
            <w:gridSpan w:val="2"/>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440" w:type="dxa"/>
            <w:vAlign w:val="bottom"/>
            <w:gridSpan w:val="10"/>
            <w:vMerge w:val="restart"/>
          </w:tcPr>
          <w:p>
            <w:pPr>
              <w:ind w:left="60"/>
              <w:spacing w:after="0" w:line="149" w:lineRule="exact"/>
              <w:rPr>
                <w:sz w:val="20"/>
                <w:szCs w:val="20"/>
                <w:color w:val="auto"/>
              </w:rPr>
            </w:pPr>
            <w:r>
              <w:rPr>
                <w:rFonts w:ascii="Arial" w:cs="Arial" w:eastAsia="Arial" w:hAnsi="Arial"/>
                <w:sz w:val="14"/>
                <w:szCs w:val="14"/>
                <w:color w:val="auto"/>
                <w:w w:val="98"/>
              </w:rPr>
              <w:t>broadly  into  those  with  high  positive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predictive</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value</w:t>
            </w:r>
          </w:p>
        </w:tc>
        <w:tc>
          <w:tcPr>
            <w:tcW w:w="540" w:type="dxa"/>
            <w:vAlign w:val="bottom"/>
            <w:gridSpan w:val="3"/>
          </w:tcPr>
          <w:p>
            <w:pPr>
              <w:spacing w:after="0" w:line="149" w:lineRule="exact"/>
              <w:rPr>
                <w:sz w:val="20"/>
                <w:szCs w:val="20"/>
                <w:color w:val="auto"/>
              </w:rPr>
            </w:pPr>
            <w:r>
              <w:rPr>
                <w:rFonts w:ascii="Arial" w:cs="Arial" w:eastAsia="Arial" w:hAnsi="Arial"/>
                <w:sz w:val="14"/>
                <w:szCs w:val="14"/>
                <w:color w:val="auto"/>
              </w:rPr>
              <w:t>(BRAF,</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7"/>
              </w:rPr>
              <w:t>RET/PTC,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4"/>
              </w:rPr>
              <w:t>PAX8/PPARc) and those with potentially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8"/>
              </w:rPr>
              <w:t>high  negative  predictive  value  (gene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5"/>
          </w:tcPr>
          <w:p>
            <w:pPr>
              <w:ind w:left="60"/>
              <w:spacing w:after="0"/>
              <w:rPr>
                <w:sz w:val="20"/>
                <w:szCs w:val="20"/>
                <w:color w:val="auto"/>
              </w:rPr>
            </w:pPr>
            <w:r>
              <w:rPr>
                <w:rFonts w:ascii="Arial" w:cs="Arial" w:eastAsia="Arial" w:hAnsi="Arial"/>
                <w:sz w:val="14"/>
                <w:szCs w:val="14"/>
                <w:color w:val="auto"/>
                <w:w w:val="89"/>
              </w:rPr>
              <w:t>expression microarrays)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Arial" w:cs="Arial" w:eastAsia="Arial" w:hAnsi="Arial"/>
                <w:sz w:val="22"/>
                <w:szCs w:val="22"/>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rPr>
              <w:t>Gene</w:t>
            </w:r>
          </w:p>
        </w:tc>
        <w:tc>
          <w:tcPr>
            <w:tcW w:w="720" w:type="dxa"/>
            <w:vAlign w:val="bottom"/>
            <w:gridSpan w:val="3"/>
          </w:tcPr>
          <w:p>
            <w:pPr>
              <w:ind w:left="40"/>
              <w:spacing w:after="0"/>
              <w:rPr>
                <w:sz w:val="20"/>
                <w:szCs w:val="20"/>
                <w:color w:val="auto"/>
              </w:rPr>
            </w:pPr>
            <w:r>
              <w:rPr>
                <w:rFonts w:ascii="Arial" w:cs="Arial" w:eastAsia="Arial" w:hAnsi="Arial"/>
                <w:sz w:val="14"/>
                <w:szCs w:val="14"/>
                <w:color w:val="auto"/>
                <w:w w:val="97"/>
              </w:rPr>
              <w:t>expression</w:t>
            </w:r>
          </w:p>
        </w:tc>
        <w:tc>
          <w:tcPr>
            <w:tcW w:w="760" w:type="dxa"/>
            <w:vAlign w:val="bottom"/>
            <w:gridSpan w:val="4"/>
          </w:tcPr>
          <w:p>
            <w:pPr>
              <w:ind w:left="100"/>
              <w:spacing w:after="0"/>
              <w:rPr>
                <w:sz w:val="20"/>
                <w:szCs w:val="20"/>
                <w:color w:val="auto"/>
              </w:rPr>
            </w:pPr>
            <w:r>
              <w:rPr>
                <w:rFonts w:ascii="Arial" w:cs="Arial" w:eastAsia="Arial" w:hAnsi="Arial"/>
                <w:sz w:val="14"/>
                <w:szCs w:val="14"/>
                <w:color w:val="auto"/>
                <w:w w:val="87"/>
              </w:rPr>
              <w:t>microarrays</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0"/>
              </w:rPr>
              <w:t>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rPr>
              <w:t>eliminate  the  need  for  unnecessary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10"/>
          </w:tcPr>
          <w:p>
            <w:pPr>
              <w:ind w:left="60"/>
              <w:spacing w:after="0" w:line="149" w:lineRule="exact"/>
              <w:rPr>
                <w:sz w:val="20"/>
                <w:szCs w:val="20"/>
                <w:color w:val="auto"/>
              </w:rPr>
            </w:pPr>
            <w:r>
              <w:rPr>
                <w:rFonts w:ascii="Arial" w:cs="Arial" w:eastAsia="Arial" w:hAnsi="Arial"/>
                <w:sz w:val="14"/>
                <w:szCs w:val="14"/>
                <w:color w:val="auto"/>
                <w:w w:val="98"/>
              </w:rPr>
              <w:t>diagnostic lobectomy in 60% to 90%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cases</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60" w:type="dxa"/>
            <w:vAlign w:val="bottom"/>
          </w:tcPr>
          <w:p>
            <w:pPr>
              <w:spacing w:after="0" w:line="131" w:lineRule="exact"/>
              <w:rPr>
                <w:sz w:val="20"/>
                <w:szCs w:val="20"/>
                <w:color w:val="auto"/>
              </w:rPr>
            </w:pPr>
            <w:r>
              <w:rPr>
                <w:rFonts w:ascii="Arial" w:cs="Arial" w:eastAsia="Arial" w:hAnsi="Arial"/>
                <w:sz w:val="14"/>
                <w:szCs w:val="14"/>
                <w:color w:val="auto"/>
                <w:w w:val="98"/>
              </w:rPr>
              <w:t>Molecular markers in the diagnosis of thyroid</w:t>
            </w:r>
          </w:p>
        </w:tc>
        <w:tc>
          <w:tcPr>
            <w:tcW w:w="2820" w:type="dxa"/>
            <w:vAlign w:val="bottom"/>
          </w:tcPr>
          <w:p>
            <w:pPr>
              <w:ind w:left="220"/>
              <w:spacing w:after="0" w:line="131" w:lineRule="exact"/>
              <w:rPr>
                <w:sz w:val="20"/>
                <w:szCs w:val="20"/>
                <w:color w:val="auto"/>
              </w:rPr>
            </w:pPr>
            <w:r>
              <w:rPr>
                <w:rFonts w:ascii="Arial" w:cs="Arial" w:eastAsia="Arial" w:hAnsi="Arial"/>
                <w:sz w:val="14"/>
                <w:szCs w:val="14"/>
                <w:i w:val="1"/>
                <w:iCs w:val="1"/>
                <w:color w:val="auto"/>
              </w:rPr>
              <w:t>Brazilian Archives of Endocrinology and</w:t>
            </w:r>
          </w:p>
        </w:tc>
        <w:tc>
          <w:tcPr>
            <w:tcW w:w="2960" w:type="dxa"/>
            <w:vAlign w:val="bottom"/>
            <w:gridSpan w:val="11"/>
            <w:vMerge w:val="restart"/>
          </w:tcPr>
          <w:p>
            <w:pPr>
              <w:ind w:left="400"/>
              <w:spacing w:after="0" w:line="199" w:lineRule="exact"/>
              <w:rPr>
                <w:sz w:val="20"/>
                <w:szCs w:val="20"/>
                <w:color w:val="auto"/>
              </w:rPr>
            </w:pPr>
            <w:r>
              <w:rPr>
                <w:rFonts w:ascii="Arial" w:cs="Arial" w:eastAsia="Arial" w:hAnsi="Arial"/>
                <w:sz w:val="22"/>
                <w:szCs w:val="22"/>
                <w:color w:val="auto"/>
              </w:rPr>
              <w:t xml:space="preserve">• </w:t>
            </w:r>
            <w:r>
              <w:rPr>
                <w:rFonts w:ascii="Arial" w:cs="Arial" w:eastAsia="Arial" w:hAnsi="Arial"/>
                <w:sz w:val="13"/>
                <w:szCs w:val="13"/>
                <w:color w:val="auto"/>
              </w:rPr>
              <w:t>The  Afirma  GEC  raises  specificity  on</w:t>
            </w: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nodules(1)</w:t>
            </w:r>
          </w:p>
        </w:tc>
        <w:tc>
          <w:tcPr>
            <w:tcW w:w="2820" w:type="dxa"/>
            <w:vAlign w:val="bottom"/>
            <w:vMerge w:val="restart"/>
          </w:tcPr>
          <w:p>
            <w:pPr>
              <w:ind w:left="220"/>
              <w:spacing w:after="0" w:line="149" w:lineRule="exact"/>
              <w:rPr>
                <w:sz w:val="20"/>
                <w:szCs w:val="20"/>
                <w:color w:val="auto"/>
              </w:rPr>
            </w:pPr>
            <w:r>
              <w:rPr>
                <w:rFonts w:ascii="Arial" w:cs="Arial" w:eastAsia="Arial" w:hAnsi="Arial"/>
                <w:sz w:val="14"/>
                <w:szCs w:val="14"/>
                <w:i w:val="1"/>
                <w:iCs w:val="1"/>
                <w:color w:val="auto"/>
              </w:rPr>
              <w:t>Metabolism</w:t>
            </w: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80" w:type="dxa"/>
            <w:vAlign w:val="bottom"/>
            <w:gridSpan w:val="2"/>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color w:val="auto"/>
                <w:w w:val="91"/>
              </w:rPr>
              <w:t>indeterminate</w:t>
            </w:r>
          </w:p>
        </w:tc>
        <w:tc>
          <w:tcPr>
            <w:tcW w:w="5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auto"/>
                <w:w w:val="93"/>
              </w:rPr>
              <w:t>cytology</w:t>
            </w:r>
          </w:p>
        </w:tc>
        <w:tc>
          <w:tcPr>
            <w:tcW w:w="5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auto"/>
                <w:w w:val="95"/>
              </w:rPr>
              <w:t>thyroid</w:t>
            </w:r>
          </w:p>
        </w:tc>
        <w:tc>
          <w:tcPr>
            <w:tcW w:w="4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w w:val="81"/>
              </w:rPr>
              <w:t>nodules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820" w:type="dxa"/>
            <w:vAlign w:val="bottom"/>
            <w:vMerge w:val="restart"/>
          </w:tcPr>
          <w:p>
            <w:pPr>
              <w:ind w:left="220"/>
              <w:spacing w:after="0"/>
              <w:rPr>
                <w:sz w:val="20"/>
                <w:szCs w:val="20"/>
                <w:color w:val="auto"/>
              </w:rPr>
            </w:pPr>
            <w:r>
              <w:rPr>
                <w:rFonts w:ascii="Arial" w:cs="Arial" w:eastAsia="Arial" w:hAnsi="Arial"/>
                <w:sz w:val="14"/>
                <w:szCs w:val="14"/>
                <w:color w:val="auto"/>
              </w:rPr>
              <w:t>(March 2013)</w:t>
            </w:r>
          </w:p>
        </w:tc>
        <w:tc>
          <w:tcPr>
            <w:tcW w:w="5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440" w:type="dxa"/>
            <w:vAlign w:val="bottom"/>
            <w:gridSpan w:val="10"/>
            <w:vMerge w:val="restart"/>
          </w:tcPr>
          <w:p>
            <w:pPr>
              <w:ind w:left="60"/>
              <w:spacing w:after="0"/>
              <w:rPr>
                <w:sz w:val="20"/>
                <w:szCs w:val="20"/>
                <w:color w:val="auto"/>
              </w:rPr>
            </w:pPr>
            <w:r>
              <w:rPr>
                <w:rFonts w:ascii="Arial" w:cs="Arial" w:eastAsia="Arial" w:hAnsi="Arial"/>
                <w:sz w:val="14"/>
                <w:szCs w:val="14"/>
                <w:color w:val="auto"/>
                <w:w w:val="94"/>
              </w:rPr>
              <w:t>from 0% to 52%, effectively reducing the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bl>
    <w:p>
      <w:pPr>
        <w:ind w:left="7560"/>
        <w:spacing w:after="0" w:line="234" w:lineRule="auto"/>
        <w:rPr>
          <w:sz w:val="20"/>
          <w:szCs w:val="20"/>
          <w:color w:val="auto"/>
        </w:rPr>
      </w:pPr>
      <w:r>
        <w:rPr>
          <w:rFonts w:ascii="Arial" w:cs="Arial" w:eastAsia="Arial" w:hAnsi="Arial"/>
          <w:sz w:val="14"/>
          <w:szCs w:val="14"/>
          <w:color w:val="auto"/>
        </w:rPr>
        <w:t>need to operate by one-half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5428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p>
      <w:pPr>
        <w:ind w:left="1380"/>
        <w:spacing w:after="0"/>
        <w:tabs>
          <w:tab w:leader="none" w:pos="4360" w:val="left"/>
        </w:tabs>
        <w:rPr>
          <w:sz w:val="20"/>
          <w:szCs w:val="20"/>
          <w:color w:val="auto"/>
        </w:rPr>
      </w:pPr>
      <w:r>
        <w:rPr>
          <w:rFonts w:ascii="Arial" w:cs="Arial" w:eastAsia="Arial" w:hAnsi="Arial"/>
          <w:sz w:val="14"/>
          <w:szCs w:val="14"/>
          <w:color w:val="auto"/>
        </w:rPr>
        <w:t>Progress in Molecular-based Management of</w:t>
      </w:r>
      <w:r>
        <w:rPr>
          <w:sz w:val="20"/>
          <w:szCs w:val="20"/>
          <w:color w:val="auto"/>
        </w:rPr>
        <w:tab/>
      </w:r>
      <w:r>
        <w:rPr>
          <w:rFonts w:ascii="Arial" w:cs="Arial" w:eastAsia="Arial" w:hAnsi="Arial"/>
          <w:sz w:val="11"/>
          <w:szCs w:val="11"/>
          <w:i w:val="1"/>
          <w:iCs w:val="1"/>
          <w:color w:val="auto"/>
        </w:rPr>
        <w:t>The Lancet</w:t>
      </w:r>
    </w:p>
    <w:p>
      <w:pPr>
        <w:ind w:left="1380"/>
        <w:spacing w:after="0"/>
        <w:tabs>
          <w:tab w:leader="none" w:pos="4360" w:val="left"/>
        </w:tabs>
        <w:rPr>
          <w:sz w:val="20"/>
          <w:szCs w:val="20"/>
          <w:color w:val="auto"/>
        </w:rPr>
      </w:pPr>
      <w:r>
        <w:rPr>
          <w:rFonts w:ascii="Arial" w:cs="Arial" w:eastAsia="Arial" w:hAnsi="Arial"/>
          <w:sz w:val="14"/>
          <w:szCs w:val="14"/>
          <w:color w:val="auto"/>
        </w:rPr>
        <w:t>Differentiated Thyroid Cancer</w:t>
      </w:r>
      <w:r>
        <w:rPr>
          <w:sz w:val="20"/>
          <w:szCs w:val="20"/>
          <w:color w:val="auto"/>
        </w:rPr>
        <w:tab/>
      </w:r>
      <w:r>
        <w:rPr>
          <w:rFonts w:ascii="Arial" w:cs="Arial" w:eastAsia="Arial" w:hAnsi="Arial"/>
          <w:sz w:val="12"/>
          <w:szCs w:val="12"/>
          <w:color w:val="auto"/>
        </w:rPr>
        <w:t>(March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788670</wp:posOffset>
            </wp:positionV>
            <wp:extent cx="5428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left="181" w:right="279" w:hanging="181"/>
        <w:spacing w:after="0" w:line="228" w:lineRule="auto"/>
        <w:tabs>
          <w:tab w:leader="none" w:pos="181" w:val="left"/>
        </w:tabs>
        <w:numPr>
          <w:ilvl w:val="0"/>
          <w:numId w:val="14"/>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200" w:lineRule="exact"/>
        <w:rPr>
          <w:sz w:val="20"/>
          <w:szCs w:val="20"/>
          <w:color w:val="auto"/>
        </w:rPr>
      </w:pPr>
    </w:p>
    <w:p>
      <w:pPr>
        <w:sectPr>
          <w:pgSz w:w="11900" w:h="16838" w:orient="portrait"/>
          <w:cols w:equalWidth="0" w:num="2">
            <w:col w:w="6659" w:space="720"/>
            <w:col w:w="2840"/>
          </w:cols>
          <w:pgMar w:left="240" w:top="131" w:right="1440" w:bottom="1440" w:gutter="0" w:footer="0" w:header="0"/>
          <w:type w:val="continuous"/>
        </w:sectPr>
      </w:pPr>
    </w:p>
    <w:p>
      <w:pPr>
        <w:spacing w:after="0" w:line="143" w:lineRule="exact"/>
        <w:rPr>
          <w:sz w:val="20"/>
          <w:szCs w:val="20"/>
          <w:color w:val="auto"/>
        </w:rPr>
      </w:pPr>
    </w:p>
    <w:p>
      <w:pPr>
        <w:ind w:left="1920" w:hanging="543"/>
        <w:spacing w:after="0"/>
        <w:tabs>
          <w:tab w:leader="none" w:pos="1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Sponsored by Veracyte and/or co-authored by a Veracyte employee.</w:t>
      </w:r>
    </w:p>
    <w:p>
      <w:pPr>
        <w:spacing w:after="0" w:line="122" w:lineRule="exact"/>
        <w:rPr>
          <w:rFonts w:ascii="Arial" w:cs="Arial" w:eastAsia="Arial" w:hAnsi="Arial"/>
          <w:sz w:val="14"/>
          <w:szCs w:val="14"/>
          <w:color w:val="auto"/>
        </w:rPr>
      </w:pPr>
    </w:p>
    <w:p>
      <w:pPr>
        <w:ind w:left="1920" w:hanging="543"/>
        <w:spacing w:after="0"/>
        <w:tabs>
          <w:tab w:leader="none" w:pos="1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co-author is a Veracyte consultant and/or member of our clinical advisory board, and owns shares of our common stock.</w:t>
      </w:r>
    </w:p>
    <w:p>
      <w:pPr>
        <w:spacing w:after="0" w:line="145" w:lineRule="exact"/>
        <w:rPr>
          <w:rFonts w:ascii="Arial" w:cs="Arial" w:eastAsia="Arial" w:hAnsi="Arial"/>
          <w:sz w:val="12"/>
          <w:szCs w:val="12"/>
          <w:color w:val="auto"/>
        </w:rPr>
      </w:pPr>
    </w:p>
    <w:p>
      <w:pPr>
        <w:ind w:left="1920" w:hanging="543"/>
        <w:spacing w:after="0"/>
        <w:tabs>
          <w:tab w:leader="none" w:pos="1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UAS/FLUS and SFN/SHN.</w:t>
      </w:r>
    </w:p>
    <w:p>
      <w:pPr>
        <w:spacing w:after="0" w:line="145" w:lineRule="exact"/>
        <w:rPr>
          <w:rFonts w:ascii="Arial" w:cs="Arial" w:eastAsia="Arial" w:hAnsi="Arial"/>
          <w:sz w:val="12"/>
          <w:szCs w:val="12"/>
          <w:color w:val="auto"/>
        </w:rPr>
      </w:pPr>
    </w:p>
    <w:p>
      <w:pPr>
        <w:ind w:left="1920" w:hanging="543"/>
        <w:spacing w:after="0"/>
        <w:tabs>
          <w:tab w:leader="none" w:pos="1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co-author of this study is a consultant and/or member of our clinical advisory board.</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Practice Guidelines</w:t>
      </w:r>
    </w:p>
    <w:p>
      <w:pPr>
        <w:spacing w:after="0" w:line="231"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Additionally, UpToDate, a leading evidence-based clinical decision support resource for physicians, recommended the GEC in its February 2013 review. We believe our published evidence provides a basis for the American Thyroid Association and the American Association of Clinical Endocrinologists to consider inclusion of the GEC in their treatment guidelines.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418"/>
        <w:spacing w:after="0" w:line="323"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5"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of unnecessary thyroid surgeries;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healthcare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actionable information from a single patient visit.</w:t>
      </w:r>
    </w:p>
    <w:p>
      <w:pPr>
        <w:spacing w:after="0" w:line="225"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Pursuant to our co-promotion agreement with Genzyme, we engage in joint marketing and sales efforts with sales professionals from Genzyme. Our primary target market for Afirma is the approximately 3,500 endocrinologists in the United States whom we believe perform the majority of FNAs in community-based practice settings. We also serve other specialists, including radiologists and ENT physicians who also perform FNAs. To address this concentrated market, we deploy a team of our internal sales professionals and professionals from Genzyme that specialize in endocrinology sales. Our sales team is organized into three regions with 16 territories anticipated by the end of 2014, of which 14 are currently filled. Each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territory will have a Veracyte sales person complemented by Genzyme sales professionals. We have designed sales goals and financial incentives to align the interests of all sales 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disease and cancer.</w:t>
      </w:r>
    </w:p>
    <w:p>
      <w:pPr>
        <w:spacing w:after="0" w:line="197" w:lineRule="exact"/>
        <w:rPr>
          <w:sz w:val="20"/>
          <w:szCs w:val="20"/>
          <w:color w:val="auto"/>
        </w:rPr>
      </w:pPr>
    </w:p>
    <w:p>
      <w:pPr>
        <w:jc w:val="both"/>
        <w:ind w:right="20" w:firstLine="364"/>
        <w:spacing w:after="0" w:line="268" w:lineRule="auto"/>
        <w:rPr>
          <w:sz w:val="20"/>
          <w:szCs w:val="20"/>
          <w:color w:val="auto"/>
        </w:rPr>
      </w:pPr>
      <w:r>
        <w:rPr>
          <w:rFonts w:ascii="Arial" w:cs="Arial" w:eastAsia="Arial" w:hAnsi="Arial"/>
          <w:sz w:val="18"/>
          <w:szCs w:val="18"/>
          <w:color w:val="auto"/>
        </w:rPr>
        <w:t>We have experienced a high level of customer retention. Of the more than 500 physicians who ordered the Afirma solution in 2011 and 2012 for a minimum of 15 FNAs, nearly 85% continued to order through the end of 2013.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together with Genzyme, are in the early stages of commercializing Afirma internationally. We intend to enter select markets in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Relationships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w:t>
      </w:r>
    </w:p>
    <w:p>
      <w:pPr>
        <w:spacing w:after="0" w:line="225" w:lineRule="exact"/>
        <w:rPr>
          <w:sz w:val="20"/>
          <w:szCs w:val="20"/>
          <w:color w:val="auto"/>
        </w:rPr>
      </w:pPr>
    </w:p>
    <w:p>
      <w:pPr>
        <w:jc w:val="both"/>
        <w:ind w:firstLine="493"/>
        <w:spacing w:after="0" w:line="289" w:lineRule="auto"/>
        <w:rPr>
          <w:sz w:val="20"/>
          <w:szCs w:val="20"/>
          <w:color w:val="auto"/>
        </w:rPr>
      </w:pPr>
      <w:r>
        <w:rPr>
          <w:rFonts w:ascii="Arial" w:cs="Arial" w:eastAsia="Arial" w:hAnsi="Arial"/>
          <w:sz w:val="16"/>
          <w:szCs w:val="16"/>
          <w:color w:val="auto"/>
        </w:rPr>
        <w:t>In January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 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72"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Under the agreement, we are required to pay Genzyme a co-promotion fee that is equal to a percentage of our cash receipts from Afirma. As of January 2013, the percentage was 40%, but it decreased to 32% on March 1, 2014 and will remain at that level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74" w:lineRule="exact"/>
        <w:rPr>
          <w:sz w:val="20"/>
          <w:szCs w:val="20"/>
          <w:color w:val="auto"/>
        </w:rPr>
      </w:pPr>
    </w:p>
    <w:p>
      <w:pPr>
        <w:jc w:val="both"/>
        <w:ind w:firstLine="425"/>
        <w:spacing w:after="0" w:line="294" w:lineRule="auto"/>
        <w:rPr>
          <w:sz w:val="20"/>
          <w:szCs w:val="20"/>
          <w:color w:val="auto"/>
        </w:rPr>
      </w:pPr>
      <w:r>
        <w:rPr>
          <w:rFonts w:ascii="Arial" w:cs="Arial" w:eastAsia="Arial" w:hAnsi="Arial"/>
          <w:sz w:val="16"/>
          <w:szCs w:val="16"/>
          <w:color w:val="auto"/>
        </w:rPr>
        <w:t>Our agreement with Genzyme expires in January 2027 and either party may terminate the agreement at any time without cause and with six months prior notice. If we terminate the agreement without cause between January 2014 and January 2015, we will be required to repay 40% of the $10.0 million up-front fee, with such percentage being reduced to 30% of such fee if we were to terminate between January 2015 and January 2016. After January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w:t>
      </w:r>
    </w:p>
    <w:p>
      <w:pPr>
        <w:spacing w:after="0" w:line="225" w:lineRule="exact"/>
        <w:rPr>
          <w:sz w:val="20"/>
          <w:szCs w:val="20"/>
          <w:color w:val="auto"/>
        </w:rPr>
      </w:pPr>
    </w:p>
    <w:p>
      <w:pPr>
        <w:jc w:val="both"/>
        <w:ind w:firstLine="363"/>
        <w:spacing w:after="0" w:line="332" w:lineRule="auto"/>
        <w:rPr>
          <w:sz w:val="20"/>
          <w:szCs w:val="20"/>
          <w:color w:val="auto"/>
        </w:rPr>
      </w:pPr>
      <w:r>
        <w:rPr>
          <w:rFonts w:ascii="Arial" w:cs="Arial" w:eastAsia="Arial" w:hAnsi="Arial"/>
          <w:sz w:val="16"/>
          <w:szCs w:val="16"/>
          <w:color w:val="auto"/>
        </w:rPr>
        <w:t>We rely on Thyroid Cytopathology Partners, P.A., or TCP, to provide cytopathology professional diagnoses on thyroid FNA samples pursuant to a pathology services agreement. We originally entered into the pathology services agreement in November 2010 with Brazos Valley Pathology, P.A. D/B/A Reitpath,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 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TCP is co-located in a portion of our facilities in Austin, Texas and reimburses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8"/>
          <w:szCs w:val="18"/>
          <w:color w:val="auto"/>
        </w:rPr>
        <w:t>Revenue for Afirma comes from several sources, including commercial third-party payers, such as insurance companies and health maintenance organizations, government payers, such as Medicare and Medicaid, and patients.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 Landscape for Afirma</w:t>
      </w:r>
    </w:p>
    <w:p>
      <w:pPr>
        <w:spacing w:after="0" w:line="225"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97" w:lineRule="exact"/>
        <w:rPr>
          <w:sz w:val="20"/>
          <w:szCs w:val="20"/>
          <w:color w:val="auto"/>
        </w:rPr>
      </w:pPr>
    </w:p>
    <w:p>
      <w:pPr>
        <w:jc w:val="both"/>
        <w:ind w:firstLine="580"/>
        <w:spacing w:after="0" w:line="288" w:lineRule="auto"/>
        <w:rPr>
          <w:sz w:val="20"/>
          <w:szCs w:val="20"/>
          <w:color w:val="auto"/>
        </w:rPr>
      </w:pPr>
      <w:r>
        <w:rPr>
          <w:rFonts w:ascii="Arial" w:cs="Arial" w:eastAsia="Arial" w:hAnsi="Arial"/>
          <w:sz w:val="16"/>
          <w:szCs w:val="16"/>
          <w:color w:val="auto"/>
        </w:rPr>
        <w:t>Effective January 2012, Palmetto GBA, a Medicare administrative contractor, or MAC, with jurisdiction at that time over reimbursement coverage determinations for our products, completed and published an independent technology assessment of Afirma GEC. The review determined that Afirma met criteria for analytical and clinical validity, and clinical utility as a reasonable and necessary Medicare benefit. This coverage decision provided approximately 50 million Medicare participants with access to Afirma. In mid-September 2013, Noridian Administrative Services succeeded Palmetto as the MAC for our region. Noridian continues to reimburse under our unique Z code originally established by Palmetto. On a five year rotational basis, Medicare requests bids for its regional MAC services. Operational changes in contractors processing claims have affected providers in the past, in some cases delaying payment for covered services while claims payment systems are brought on line and fully operational. Changes in the administrative contractor processing Medicare claims for our tests could impact the coverage or payment rates for our current test, could impact our ability to obtain Medicare coverage for products for which we do not yet have coverage or any products we may launch in the future, and may delay payments for our tests.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Collectively, we have more than 120 million lives covered for Afirma, and hundreds of payers have reimbursed one or more GEC tests as of December 2013. We have obtained positive coverage decisions from commercial payers, including UnitedHealthcare in March 2013, Aetna in June 2013, Humana in July 2013 and Cigna in December 2013, as well as several regional payers.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Dependence on Certain Third-party Payers</w:t>
      </w:r>
    </w:p>
    <w:p>
      <w:pPr>
        <w:spacing w:after="0" w:line="225"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We rely on a small number of third-party payers for a significant portion of our revenue. Reimbursement on behalf of patients covered by Medicare accounted for 32%, 34% and 38% of our revenue for the years ended December 31, 2013, 2012, and 2011, respectively. UnitedHealthcare accounted for 18%, 12% and 13% of our revenue for the years ended December 31, 2013, 2012 and 2011,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respectively. Aetna accounted for 9%, 13% and 14% of our revenue for the years ended December 31, 2013, 2012 and 2011, respectively. The loss of one or more of these payers would have a negative effect on our business and our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Strategy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employ a multi-pronged strategy designed to achieve broad coverage and reimbursement for Afirma:</w:t>
      </w:r>
    </w:p>
    <w:p>
      <w:pPr>
        <w:spacing w:after="0" w:line="225"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 practice guidelines plays a</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9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i w:val="1"/>
          <w:iCs w:val="1"/>
          <w:color w:val="auto"/>
        </w:rPr>
        <w:t xml:space="preserve">Execute an internal managed care policy and claims adjudication function as part of our core business operations. </w:t>
      </w:r>
      <w:r>
        <w:rPr>
          <w:rFonts w:ascii="Arial" w:cs="Arial" w:eastAsia="Arial" w:hAnsi="Arial"/>
          <w:sz w:val="16"/>
          <w:szCs w:val="16"/>
          <w:color w:val="auto"/>
        </w:rPr>
        <w:t>We believe that obtaining adequate and</w:t>
      </w:r>
      <w:r>
        <w:rPr>
          <w:rFonts w:ascii="Arial" w:cs="Arial" w:eastAsia="Arial" w:hAnsi="Arial"/>
          <w:sz w:val="16"/>
          <w:szCs w:val="16"/>
          <w:i w:val="1"/>
          <w:iCs w:val="1"/>
          <w:color w:val="auto"/>
        </w:rPr>
        <w:t xml:space="preserve"> </w:t>
      </w:r>
      <w:r>
        <w:rPr>
          <w:rFonts w:ascii="Arial" w:cs="Arial" w:eastAsia="Arial" w:hAnsi="Arial"/>
          <w:sz w:val="16"/>
          <w:szCs w:val="16"/>
          <w:color w:val="auto"/>
        </w:rPr>
        <w:t>widespread reimbursement is a critical factor in our long-term success. We employ a team of in-house claims processing and reimbursement specialists who work with payers, physician practices and patients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physician practices and patients to navigate the claims process.</w:t>
      </w:r>
    </w:p>
    <w:p>
      <w:pPr>
        <w:spacing w:after="0" w:line="170"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6"/>
          <w:szCs w:val="16"/>
          <w:i w:val="1"/>
          <w:iCs w:val="1"/>
          <w:color w:val="auto"/>
        </w:rPr>
        <w:t xml:space="preserve">Cultivate a network of key opinion leaders. </w:t>
      </w:r>
      <w:r>
        <w:rPr>
          <w:rFonts w:ascii="Arial" w:cs="Arial" w:eastAsia="Arial" w:hAnsi="Arial"/>
          <w:sz w:val="16"/>
          <w:szCs w:val="16"/>
          <w:color w:val="auto"/>
        </w:rPr>
        <w:t>Key opinion leaders are able to influence clinical practice by publishing research and determining whether new</w:t>
      </w:r>
      <w:r>
        <w:rPr>
          <w:rFonts w:ascii="Arial" w:cs="Arial" w:eastAsia="Arial" w:hAnsi="Arial"/>
          <w:sz w:val="16"/>
          <w:szCs w:val="16"/>
          <w:i w:val="1"/>
          <w:iCs w:val="1"/>
          <w:color w:val="auto"/>
        </w:rPr>
        <w:t xml:space="preserve"> </w:t>
      </w:r>
      <w:r>
        <w:rPr>
          <w:rFonts w:ascii="Arial" w:cs="Arial" w:eastAsia="Arial" w:hAnsi="Arial"/>
          <w:sz w:val="16"/>
          <w:szCs w:val="16"/>
          <w:color w:val="auto"/>
        </w:rPr>
        <w:t>tests 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6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i w:val="1"/>
          <w:iCs w:val="1"/>
          <w:color w:val="auto"/>
        </w:rPr>
        <w:t xml:space="preserve">Compile a growing library of peer-reviewed studies that demonstrate the test is effective. </w:t>
      </w:r>
      <w:r>
        <w:rPr>
          <w:rFonts w:ascii="Arial" w:cs="Arial" w:eastAsia="Arial" w:hAnsi="Arial"/>
          <w:sz w:val="18"/>
          <w:szCs w:val="18"/>
          <w:color w:val="auto"/>
        </w:rPr>
        <w:t>To date, several peer-reviewed articles and review papers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published and have helped support our efforts aimed at widespread adoption and reimbursement of Afirma. In each disease area we pursue, we intend to conduct studies in order to develop similar supporting literature.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31"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Afirma Malignancy Classifiers</w:t>
      </w:r>
    </w:p>
    <w:p>
      <w:pPr>
        <w:spacing w:after="0" w:line="225" w:lineRule="exact"/>
        <w:rPr>
          <w:sz w:val="20"/>
          <w:szCs w:val="20"/>
          <w:color w:val="auto"/>
        </w:rPr>
      </w:pPr>
    </w:p>
    <w:p>
      <w:pPr>
        <w:jc w:val="both"/>
        <w:ind w:firstLine="419"/>
        <w:spacing w:after="0" w:line="291"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only way to positively affect patient care and costs is to diagnose these conditions from the FNA. Our Afirma Malignancy Classifiers are being developed to inform on surgical strategy using the FNA and to help direct the patient to the right surgery the first time. We intend to introduce this product in the second quarter of 2014, which will expand the number of patients for which we can perform testing using the Afirma solution.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 and Nodules Suspicious for Lung Cancer</w:t>
      </w:r>
    </w:p>
    <w:p>
      <w:pPr>
        <w:spacing w:after="0" w:line="225" w:lineRule="exact"/>
        <w:rPr>
          <w:sz w:val="20"/>
          <w:szCs w:val="20"/>
          <w:color w:val="auto"/>
        </w:rPr>
      </w:pPr>
    </w:p>
    <w:p>
      <w:pPr>
        <w:jc w:val="both"/>
        <w:ind w:firstLine="395"/>
        <w:spacing w:after="0" w:line="286" w:lineRule="auto"/>
        <w:rPr>
          <w:sz w:val="20"/>
          <w:szCs w:val="20"/>
          <w:color w:val="auto"/>
        </w:rPr>
      </w:pPr>
      <w:r>
        <w:rPr>
          <w:rFonts w:ascii="Arial" w:cs="Arial" w:eastAsia="Arial" w:hAnsi="Arial"/>
          <w:sz w:val="16"/>
          <w:szCs w:val="16"/>
          <w:color w:val="auto"/>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Arial" w:cs="Arial" w:eastAsia="Arial" w:hAnsi="Arial"/>
          <w:sz w:val="16"/>
          <w:szCs w:val="16"/>
          <w:i w:val="1"/>
          <w:iCs w:val="1"/>
          <w:color w:val="auto"/>
        </w:rPr>
        <w:t>American Journal of Respiratory and 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Care Medicine </w:t>
      </w:r>
      <w:r>
        <w:rPr>
          <w:rFonts w:ascii="Arial" w:cs="Arial" w:eastAsia="Arial" w:hAnsi="Arial"/>
          <w:sz w:val="16"/>
          <w:szCs w:val="16"/>
          <w:color w:val="auto"/>
        </w:rPr>
        <w:t>in 2011, bronchoscopy, a minimally invasive procedure often used to diagnose lung cancer, is typically inadequate for definitive diagnosis of</w:t>
      </w:r>
      <w:r>
        <w:rPr>
          <w:rFonts w:ascii="Arial" w:cs="Arial" w:eastAsia="Arial" w:hAnsi="Arial"/>
          <w:sz w:val="16"/>
          <w:szCs w:val="16"/>
          <w:i w:val="1"/>
          <w:iCs w:val="1"/>
          <w:color w:val="auto"/>
        </w:rPr>
        <w:t xml:space="preserve"> </w:t>
      </w:r>
      <w:r>
        <w:rPr>
          <w:rFonts w:ascii="Arial" w:cs="Arial" w:eastAsia="Arial" w:hAnsi="Arial"/>
          <w:sz w:val="16"/>
          <w:szCs w:val="16"/>
          <w:color w:val="auto"/>
        </w:rPr>
        <w:t>ILDs. As a result, tens of thousands of patients undergo expensive and invasive surgeries in an effort to obtain a diagnosis. In addition, we estimate over 100,000 patients each year, many of whom would benefit from surgical pathology diagnosis but are not good surgical candidates, are left with ambiguity in their diagnosis, resulting in suboptimal and often harmful treatment. The risks and comorbitities of thoracic surgery to obtain a sample for diagnosis limits the number of patients taken through this diagnostic pathway. However, high resolution CAT scans and clinical history are often not sufficient in order to make a diagnosis. We believe a molecular cytology solution performed on minimally invasive bronchoscopy samples has the potential to inform clinical diagnosis without surgery and to improve the outcomes and lower the cost of care for a significant number of the 200,000 patients suspected of having an ILD, including IPF.</w:t>
      </w:r>
    </w:p>
    <w:p>
      <w:pPr>
        <w:spacing w:after="0" w:line="181"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We are in late stage biomarker discovery for IPF, one of the more challenging ILDs to diagnose. Based on promising early results in surgical tissue samples, we have increased the number of clinical sites to 14, including one site in Europe, and we anticipate further site expansion. These sites will accrue clinical bronchoscopy samples to enable the optimization of our classifier based on these samples and will serve as core sites for a prospective, multi-center clinical validation study required prior to targeted commercialization in 2016. We also have early biomarker discovery efforts underway to help resolve the diagnosis of nodules found on imaging modalities that are suspicious for lung cancer.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148590</wp:posOffset>
            </wp:positionV>
            <wp:extent cx="5274310" cy="2452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43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7"/>
        <w:spacing w:after="0" w:line="332" w:lineRule="auto"/>
        <w:rPr>
          <w:sz w:val="20"/>
          <w:szCs w:val="20"/>
          <w:color w:val="auto"/>
        </w:rPr>
      </w:pPr>
      <w:r>
        <w:rPr>
          <w:rFonts w:ascii="Arial" w:cs="Arial" w:eastAsia="Arial" w:hAnsi="Arial"/>
          <w:sz w:val="16"/>
          <w:szCs w:val="16"/>
          <w:color w:val="auto"/>
        </w:rPr>
        <w:t>Developing new products is a lengthy and complex process, and is subject to numerous risks and uncertainties. We may not be able to commercialize on a timely basis, or at all, products we are developing. If we are not able to do so, our business and our ability to generate revenue could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technology platform offers a number of key attributes: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Core expertise in whole genome analysis. </w:t>
      </w:r>
      <w:r>
        <w:rPr>
          <w:rFonts w:ascii="Arial" w:cs="Arial" w:eastAsia="Arial" w:hAnsi="Arial"/>
          <w:sz w:val="16"/>
          <w:szCs w:val="16"/>
          <w:color w:val="auto"/>
        </w:rPr>
        <w:t>Our team of bioinformatics and computational scientists possess extensive knowledge of both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187"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Proprietary capabilities in analyzing small, heterogeneous cytology samples. </w:t>
      </w:r>
      <w:r>
        <w:rPr>
          <w:rFonts w:ascii="Arial" w:cs="Arial" w:eastAsia="Arial" w:hAnsi="Arial"/>
          <w:sz w:val="16"/>
          <w:szCs w:val="16"/>
          <w:color w:val="auto"/>
        </w:rPr>
        <w:t>We have developed proprietary technology, intellectual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187"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w:t>
      </w:r>
      <w:r>
        <w:rPr>
          <w:rFonts w:ascii="Arial" w:cs="Arial" w:eastAsia="Arial" w:hAnsi="Arial"/>
          <w:sz w:val="16"/>
          <w:szCs w:val="16"/>
          <w:i w:val="1"/>
          <w:iCs w:val="1"/>
          <w:color w:val="auto"/>
        </w:rPr>
        <w:t xml:space="preserve"> </w:t>
      </w:r>
      <w:r>
        <w:rPr>
          <w:rFonts w:ascii="Arial" w:cs="Arial" w:eastAsia="Arial" w:hAnsi="Arial"/>
          <w:sz w:val="16"/>
          <w:szCs w:val="16"/>
          <w:color w:val="auto"/>
        </w:rPr>
        <w:t>extensive 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0"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Technology agnostic discovery platform. </w:t>
      </w:r>
      <w:r>
        <w:rPr>
          <w:rFonts w:ascii="Arial" w:cs="Arial" w:eastAsia="Arial" w:hAnsi="Arial"/>
          <w:sz w:val="18"/>
          <w:szCs w:val="18"/>
          <w:color w:val="auto"/>
        </w:rPr>
        <w:t>We are not reliant on specific formats and are able to take advantage of a multitude of genomic</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 developing future tests. When we developed the GEC in 2008, microarray technologies were a cost-effective discovery technology compared to other approaches that were nascent at the time. More recently, the rapid cost reductions achieved in next generation sequencing platforms has allowed us to pursue our whole genome approach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biomarker discovery using a range of technologies, including gene expression and DNA methylation, as well as DNA and RNA sequencing.</w:t>
      </w:r>
    </w:p>
    <w:p>
      <w:pPr>
        <w:spacing w:after="0" w:line="24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8"/>
          <w:szCs w:val="18"/>
          <w:color w:val="auto"/>
        </w:rPr>
        <w:t>Our research and development expenses for the years ended December 31, 2013, 2012 and 2011were $7.8 million, $6.6 million and $6.7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231" w:lineRule="exact"/>
        <w:rPr>
          <w:sz w:val="20"/>
          <w:szCs w:val="20"/>
          <w:color w:val="auto"/>
        </w:rPr>
      </w:pPr>
    </w:p>
    <w:p>
      <w:pPr>
        <w:jc w:val="both"/>
        <w:ind w:firstLine="535"/>
        <w:spacing w:after="0" w:line="254" w:lineRule="auto"/>
        <w:rPr>
          <w:sz w:val="20"/>
          <w:szCs w:val="20"/>
          <w:color w:val="auto"/>
        </w:rPr>
      </w:pPr>
      <w:r>
        <w:rPr>
          <w:rFonts w:ascii="Arial" w:cs="Arial" w:eastAsia="Arial" w:hAnsi="Arial"/>
          <w:sz w:val="18"/>
          <w:szCs w:val="18"/>
          <w:color w:val="auto"/>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have sufficient laboratory capacity to process Afirma tests, including our planned Afirma Malignancy Classifiers.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231"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competitive factors in our target market include:</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and strength of clinical and analytical validation data;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confidence in diagnostic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reimbursement;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compete favorably on the factors described above.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will need to educate physicians about the benefits of our test in order to change clinical practice.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74" w:lineRule="exact"/>
        <w:rPr>
          <w:sz w:val="20"/>
          <w:szCs w:val="20"/>
          <w:color w:val="auto"/>
        </w:rPr>
      </w:pPr>
    </w:p>
    <w:p>
      <w:pPr>
        <w:jc w:val="both"/>
        <w:ind w:right="20" w:firstLine="392"/>
        <w:spacing w:after="0" w:line="268" w:lineRule="auto"/>
        <w:rPr>
          <w:sz w:val="20"/>
          <w:szCs w:val="20"/>
          <w:color w:val="auto"/>
        </w:rPr>
      </w:pPr>
      <w:r>
        <w:rPr>
          <w:rFonts w:ascii="Arial" w:cs="Arial" w:eastAsia="Arial" w:hAnsi="Arial"/>
          <w:sz w:val="18"/>
          <w:szCs w:val="18"/>
          <w:color w:val="auto"/>
        </w:rPr>
        <w:t>In addition, competitors may develop their own versions of our solution in countries where we do not have patents or where our intellectual property rights are not recognized and compete with us in those countries.</w:t>
      </w:r>
    </w:p>
    <w:p>
      <w:pPr>
        <w:spacing w:after="0" w:line="186"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7"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We have seven pending United States nonprovisional patent applications and two patents which expire between 2030 and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94" w:lineRule="exact"/>
        <w:rPr>
          <w:sz w:val="20"/>
          <w:szCs w:val="20"/>
          <w:color w:val="auto"/>
        </w:rPr>
      </w:pPr>
    </w:p>
    <w:p>
      <w:pPr>
        <w:jc w:val="both"/>
        <w:ind w:firstLine="352"/>
        <w:spacing w:after="0" w:line="306" w:lineRule="auto"/>
        <w:rPr>
          <w:sz w:val="20"/>
          <w:szCs w:val="20"/>
          <w:color w:val="auto"/>
        </w:rPr>
      </w:pPr>
      <w:r>
        <w:rPr>
          <w:rFonts w:ascii="Arial" w:cs="Arial" w:eastAsia="Arial" w:hAnsi="Arial"/>
          <w:sz w:val="16"/>
          <w:szCs w:val="16"/>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61"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8"/>
          <w:szCs w:val="18"/>
          <w:color w:val="auto"/>
        </w:rPr>
        <w:t>We hold registered trademarks in the United States for "Veracyte" and "Afirma," and the Veracyte and Afirma logos. We also hold registered trademarks in various jurisdictions outside of the United States.</w:t>
      </w:r>
    </w:p>
    <w:p>
      <w:pPr>
        <w:spacing w:after="0" w:line="18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taken to protect our intellectual property, unauthorized parties might copy aspects of our technology or obtain and use information that we regard as proprietary.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Amendments of 1988, or CLIA</w:t>
      </w:r>
    </w:p>
    <w:p>
      <w:pPr>
        <w:spacing w:after="0" w:line="22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9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94"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Food and Drug Administration: Diagnostic Kits</w:t>
      </w:r>
    </w:p>
    <w:p>
      <w:pPr>
        <w:spacing w:after="0" w:line="225" w:lineRule="exact"/>
        <w:rPr>
          <w:sz w:val="20"/>
          <w:szCs w:val="20"/>
          <w:color w:val="auto"/>
        </w:rPr>
      </w:pPr>
    </w:p>
    <w:p>
      <w:pPr>
        <w:jc w:val="both"/>
        <w:ind w:firstLine="517"/>
        <w:spacing w:after="0" w:line="254" w:lineRule="auto"/>
        <w:rPr>
          <w:sz w:val="20"/>
          <w:szCs w:val="20"/>
          <w:color w:val="auto"/>
        </w:rPr>
      </w:pPr>
      <w:r>
        <w:rPr>
          <w:rFonts w:ascii="Arial" w:cs="Arial" w:eastAsia="Arial" w:hAnsi="Arial"/>
          <w:sz w:val="18"/>
          <w:szCs w:val="18"/>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98" w:lineRule="exact"/>
        <w:rPr>
          <w:sz w:val="20"/>
          <w:szCs w:val="20"/>
          <w:color w:val="auto"/>
        </w:rPr>
      </w:pPr>
    </w:p>
    <w:p>
      <w:pPr>
        <w:jc w:val="both"/>
        <w:ind w:firstLine="476"/>
        <w:spacing w:after="0" w:line="294"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For Class II devices, the FDA generally requires clearance through the premarket notification, or 510(k) clearance, process. Class III devices are generally the highest risk devices and are subject to the highest level of regulatory control to provide reasonable assurance of the device's safety and effectiveness. Class III devices must typically be approved by the FDA before they are marketed.</w:t>
      </w:r>
    </w:p>
    <w:p>
      <w:pPr>
        <w:spacing w:after="0" w:line="170" w:lineRule="exact"/>
        <w:rPr>
          <w:sz w:val="20"/>
          <w:szCs w:val="20"/>
          <w:color w:val="auto"/>
        </w:rPr>
      </w:pPr>
    </w:p>
    <w:p>
      <w:pPr>
        <w:jc w:val="both"/>
        <w:ind w:firstLine="431"/>
        <w:spacing w:after="0" w:line="332"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39"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8"/>
          <w:szCs w:val="18"/>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74" w:lineRule="exact"/>
        <w:rPr>
          <w:sz w:val="20"/>
          <w:szCs w:val="20"/>
          <w:color w:val="auto"/>
        </w:rPr>
      </w:pPr>
    </w:p>
    <w:p>
      <w:pPr>
        <w:jc w:val="both"/>
        <w:ind w:firstLine="434"/>
        <w:spacing w:after="0" w:line="332" w:lineRule="auto"/>
        <w:rPr>
          <w:sz w:val="20"/>
          <w:szCs w:val="20"/>
          <w:color w:val="auto"/>
        </w:rPr>
      </w:pPr>
      <w:r>
        <w:rPr>
          <w:rFonts w:ascii="Arial" w:cs="Arial" w:eastAsia="Arial" w:hAnsi="Arial"/>
          <w:sz w:val="16"/>
          <w:szCs w:val="16"/>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Oversight of Laboratory Developed Tests and Research Use Only Products</w:t>
      </w:r>
    </w:p>
    <w:p>
      <w:pPr>
        <w:spacing w:after="0" w:line="225" w:lineRule="exact"/>
        <w:rPr>
          <w:sz w:val="20"/>
          <w:szCs w:val="20"/>
          <w:color w:val="auto"/>
        </w:rPr>
      </w:pPr>
    </w:p>
    <w:p>
      <w:pPr>
        <w:jc w:val="both"/>
        <w:ind w:firstLine="429"/>
        <w:spacing w:after="0" w:line="286"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In June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5" w:lineRule="exact"/>
        <w:rPr>
          <w:sz w:val="20"/>
          <w:szCs w:val="20"/>
          <w:color w:val="auto"/>
        </w:rPr>
      </w:pPr>
    </w:p>
    <w:p>
      <w:pPr>
        <w:jc w:val="both"/>
        <w:ind w:firstLine="367"/>
        <w:spacing w:after="0" w:line="256" w:lineRule="auto"/>
        <w:rPr>
          <w:sz w:val="20"/>
          <w:szCs w:val="20"/>
          <w:color w:val="auto"/>
        </w:rPr>
      </w:pPr>
      <w:r>
        <w:rPr>
          <w:rFonts w:ascii="Arial" w:cs="Arial" w:eastAsia="Arial" w:hAnsi="Arial"/>
          <w:sz w:val="18"/>
          <w:szCs w:val="18"/>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November 2013, the FDA issued guidance regarding "Commercially Distributed In Vitro Diagnostic Products Labeled for Research Use Only or Investigational Use Only."</w:t>
      </w:r>
    </w:p>
    <w:p>
      <w:pPr>
        <w:spacing w:after="0" w:line="186"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We cannot predict the ultimate form or impact of any such RUO,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98"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225"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97" w:lineRule="exact"/>
        <w:rPr>
          <w:sz w:val="20"/>
          <w:szCs w:val="20"/>
          <w:color w:val="auto"/>
        </w:rPr>
      </w:pPr>
    </w:p>
    <w:p>
      <w:pPr>
        <w:jc w:val="both"/>
        <w:ind w:right="20" w:firstLine="460"/>
        <w:spacing w:after="0" w:line="332"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39" w:lineRule="exact"/>
        <w:rPr>
          <w:sz w:val="20"/>
          <w:szCs w:val="20"/>
          <w:color w:val="auto"/>
        </w:rPr>
      </w:pPr>
    </w:p>
    <w:p>
      <w:pPr>
        <w:jc w:val="both"/>
        <w:ind w:right="20" w:firstLine="358"/>
        <w:spacing w:after="0" w:line="332" w:lineRule="auto"/>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 The United States Department of Commerce, the European Commission and the Swiss Federal Data Protection and Information Commissioner have agreed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a set of data protection principles and frequently asked questions, referred to as the Safe Harbor Principles, to enable U.S. companies to satisfy the requirement under European Union and Swiss law that adequate protection is given to personal information transferred from the European Union or Switzerland to the United States. The European Commission and Switzerland have also recognized the Safe Harbor Principles as providing adequate data protection.</w:t>
      </w:r>
    </w:p>
    <w:p>
      <w:pPr>
        <w:spacing w:after="0" w:line="161"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Physician Self-referral Prohibitions</w:t>
      </w:r>
    </w:p>
    <w:p>
      <w:pPr>
        <w:spacing w:after="0" w:line="22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67"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6"/>
          <w:szCs w:val="16"/>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6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Sanctions for a violation of the Stark Law include the following: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civil penalty of up to $15,000 for each service arising out of the prohibited referral;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civil penalty of up to $100,000 against parties that enter into a scheme to circumvent the Stark Law's prohibition.</w:t>
      </w:r>
    </w:p>
    <w:p>
      <w:pPr>
        <w:spacing w:after="0" w:line="225"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39"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Anti-kickback Laws</w:t>
      </w:r>
    </w:p>
    <w:p>
      <w:pPr>
        <w:spacing w:after="0" w:line="225" w:lineRule="exact"/>
        <w:rPr>
          <w:sz w:val="20"/>
          <w:szCs w:val="20"/>
          <w:color w:val="auto"/>
        </w:rPr>
      </w:pPr>
    </w:p>
    <w:p>
      <w:pPr>
        <w:jc w:val="both"/>
        <w:ind w:firstLine="416"/>
        <w:spacing w:after="0" w:line="290" w:lineRule="auto"/>
        <w:rPr>
          <w:sz w:val="20"/>
          <w:szCs w:val="20"/>
          <w:color w:val="auto"/>
        </w:rPr>
      </w:pPr>
      <w:r>
        <w:rPr>
          <w:rFonts w:ascii="Arial" w:cs="Arial" w:eastAsia="Arial" w:hAnsi="Arial"/>
          <w:sz w:val="16"/>
          <w:szCs w:val="16"/>
          <w:color w:val="auto"/>
        </w:rPr>
        <w:t>The Federal health care program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2" w:lineRule="exact"/>
        <w:rPr>
          <w:sz w:val="20"/>
          <w:szCs w:val="20"/>
          <w:color w:val="auto"/>
        </w:rPr>
      </w:pPr>
    </w:p>
    <w:p>
      <w:pPr>
        <w:jc w:val="both"/>
        <w:ind w:firstLine="426"/>
        <w:spacing w:after="0" w:line="254" w:lineRule="auto"/>
        <w:rPr>
          <w:sz w:val="20"/>
          <w:szCs w:val="20"/>
          <w:color w:val="auto"/>
        </w:rPr>
      </w:pPr>
      <w:r>
        <w:rPr>
          <w:rFonts w:ascii="Arial" w:cs="Arial" w:eastAsia="Arial" w:hAnsi="Arial"/>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9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0"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94"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97"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impractical. Failure to meet the terms of the safe harbor does not render an arrangement illegal. Rather, the government may evaluate such arrangements on a case-by-case basis, taking into account all facts and circumstances.</w:t>
      </w:r>
    </w:p>
    <w:p>
      <w:pPr>
        <w:spacing w:after="0" w:line="186"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and State Fraud and Abuse Laws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1"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2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8"/>
          <w:szCs w:val="18"/>
          <w:color w:val="auto"/>
        </w:rPr>
        <w:t>Many countries in which we may offer Afirma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97"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8"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other OECD Anti-Bribery Convention members, have similar anti-corruption regulations, such as the United Kingdom Bribery Act.</w:t>
      </w:r>
    </w:p>
    <w:p>
      <w:pPr>
        <w:spacing w:after="0" w:line="225"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Laboratory Licensing</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97"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Laboratory Licensing</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Because we receive specimens from New York State, our clinical reference laboratories are required to be licensed by New York, under New York laws and regulations, which establish standards for:</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day-to-day operation of a clinical laboratory, including training and skill levels required of laboratory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225" w:lineRule="exact"/>
        <w:rPr>
          <w:sz w:val="20"/>
          <w:szCs w:val="20"/>
          <w:color w:val="auto"/>
        </w:rPr>
      </w:pPr>
    </w:p>
    <w:p>
      <w:pPr>
        <w:jc w:val="both"/>
        <w:ind w:firstLine="412"/>
        <w:spacing w:after="0" w:line="290" w:lineRule="auto"/>
        <w:rPr>
          <w:sz w:val="20"/>
          <w:szCs w:val="20"/>
          <w:color w:val="auto"/>
        </w:rPr>
      </w:pPr>
      <w:r>
        <w:rPr>
          <w:rFonts w:ascii="Arial" w:cs="Arial" w:eastAsia="Arial" w:hAnsi="Arial"/>
          <w:sz w:val="16"/>
          <w:szCs w:val="16"/>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and Austin laboratories. We cannot provide assurance that the DOH will at all times find us to be in compliance with applicable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States' Laboratory Licensing</w:t>
      </w:r>
    </w:p>
    <w:p>
      <w:pPr>
        <w:spacing w:after="0" w:line="225" w:lineRule="exact"/>
        <w:rPr>
          <w:sz w:val="20"/>
          <w:szCs w:val="20"/>
          <w:color w:val="auto"/>
        </w:rPr>
      </w:pPr>
    </w:p>
    <w:p>
      <w:pPr>
        <w:jc w:val="both"/>
        <w:ind w:firstLine="583"/>
        <w:spacing w:after="0" w:line="268" w:lineRule="auto"/>
        <w:rPr>
          <w:sz w:val="20"/>
          <w:szCs w:val="20"/>
          <w:color w:val="auto"/>
        </w:rPr>
      </w:pPr>
      <w:r>
        <w:rPr>
          <w:rFonts w:ascii="Arial" w:cs="Arial" w:eastAsia="Arial" w:hAnsi="Arial"/>
          <w:sz w:val="18"/>
          <w:szCs w:val="18"/>
          <w:color w:val="auto"/>
        </w:rPr>
        <w:t>In addition to New York and California, other states including Florida, Maryland, Pennsylvania and Rhode Island, require licensing of out-of-state laboratories under certain circumstances. We have obtained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licenses from states where we believe we are required to be licensed, and believe we are in compliance with applicable licensing laws.</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At December 31, 2013, we had 115 employees, of which 21 work in laboratory operations, 21 in research and development and clinical development, 18 in selling and marketing, 55 in general and administrative including 30 in billing and client services, eight in information technology, four in human resources, and two in quality and regulatory affairs. None of our employees are the subject of collective bargaining arrangements, and our management considers its relationships with employees to be good.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31" w:lineRule="exact"/>
        <w:rPr>
          <w:sz w:val="20"/>
          <w:szCs w:val="20"/>
          <w:color w:val="auto"/>
        </w:rPr>
      </w:pPr>
    </w:p>
    <w:p>
      <w:pPr>
        <w:jc w:val="both"/>
        <w:ind w:firstLine="557"/>
        <w:spacing w:after="0" w:line="298"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may be party to lawsuits in the ordinary course of business. We are currently not a party to any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The information contained on, or that can be accessed through, our website is not part of this annual report on Form 10-K.</w:t>
      </w:r>
    </w:p>
    <w:p>
      <w:pPr>
        <w:spacing w:after="0" w:line="197" w:lineRule="exact"/>
        <w:rPr>
          <w:sz w:val="20"/>
          <w:szCs w:val="20"/>
          <w:color w:val="auto"/>
        </w:rPr>
      </w:pPr>
    </w:p>
    <w:p>
      <w:pPr>
        <w:jc w:val="both"/>
        <w:ind w:firstLine="508"/>
        <w:spacing w:after="0" w:line="259" w:lineRule="auto"/>
        <w:rPr>
          <w:sz w:val="20"/>
          <w:szCs w:val="20"/>
          <w:color w:val="auto"/>
        </w:rPr>
      </w:pPr>
      <w:r>
        <w:rPr>
          <w:rFonts w:ascii="Arial" w:cs="Arial" w:eastAsia="Arial" w:hAnsi="Arial"/>
          <w:sz w:val="18"/>
          <w:szCs w:val="18"/>
          <w:color w:val="auto"/>
        </w:rPr>
        <w:t xml:space="preserve">We make available free of charge on our website our annual report on Form 10-K, quarterly reports on Form 10-Q, current reports on Form 8-K and amendments to those reports as soon as reasonably practicable after we electronically file such material with, or furnish it to, the Securities and Exchange Commission, or SEC. The reports are also available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86"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We have incurred net losses since our inception. For the years ended December 31, 2013, 2012 and 2011, we had a net loss of $25.6 million, $18.6 million and $14.4 million, respectively, and we expect to incur additional losses in the future. As of December 31, 2013, we had an accumulated deficit of $85.6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86" w:lineRule="exact"/>
        <w:rPr>
          <w:sz w:val="20"/>
          <w:szCs w:val="20"/>
          <w:color w:val="auto"/>
        </w:rPr>
      </w:pPr>
    </w:p>
    <w:p>
      <w:pPr>
        <w:jc w:val="both"/>
        <w:ind w:firstLine="429"/>
        <w:spacing w:after="0" w:line="291" w:lineRule="auto"/>
        <w:rPr>
          <w:sz w:val="20"/>
          <w:szCs w:val="20"/>
          <w:color w:val="auto"/>
        </w:rPr>
      </w:pPr>
      <w:r>
        <w:rPr>
          <w:rFonts w:ascii="Arial" w:cs="Arial" w:eastAsia="Arial" w:hAnsi="Arial"/>
          <w:sz w:val="16"/>
          <w:szCs w:val="16"/>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86" w:lineRule="exact"/>
        <w:rPr>
          <w:sz w:val="20"/>
          <w:szCs w:val="20"/>
          <w:color w:val="auto"/>
        </w:rPr>
      </w:pPr>
    </w:p>
    <w:p>
      <w:pPr>
        <w:jc w:val="both"/>
        <w:ind w:firstLine="395"/>
        <w:spacing w:after="0" w:line="288" w:lineRule="auto"/>
        <w:rPr>
          <w:sz w:val="20"/>
          <w:szCs w:val="20"/>
          <w:color w:val="auto"/>
        </w:rPr>
      </w:pPr>
      <w:r>
        <w:rPr>
          <w:rFonts w:ascii="Arial" w:cs="Arial" w:eastAsia="Arial" w:hAnsi="Arial"/>
          <w:sz w:val="16"/>
          <w:szCs w:val="16"/>
          <w:color w:val="auto"/>
        </w:rPr>
        <w:t>Reimbursement on behalf of patients covered by Medicare accounted for 32%, 34% and 38% of our revenue for the years ended December 31, 2013, 2012 and 2011, respectively. UnitedHealthcare accounted for 18%, 12% and 13% of our revenue for the years ended December 31, 2013, 2012 and 2011, respectively. Aetna accounted for 13% and 14% of our revenue for the years ended December 31, 2012 and 2011,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succeeded Palmetto as the MAC for our region. We believe the transition is complete with claims being processed by Noridian using the Z code established by Palmetto at the prior negotiated pricing level. This change, or any future changes, in the MAC processing Medicare claims for the GEC could result in a change in the coverage or reimbursement rates for the GEC, or the loss of coverage. In addition, the transition to Noridian has resulted in some delays in payments made to us on behalf of Medicare patients and a slower payment cycle in general.</w:t>
      </w:r>
    </w:p>
    <w:p>
      <w:pPr>
        <w:spacing w:after="0" w:line="174"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We do not have a contracted rate of reimbursement with Aetna, Cigna,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86"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8"/>
          <w:szCs w:val="18"/>
          <w:color w:val="auto"/>
        </w:rPr>
        <w:t>Since each payer makes its own decision as to whether to establish a policy or enter into a contract to reimburse our test, seeking these approvals is a time-consuming and costly process.</w:t>
      </w:r>
    </w:p>
    <w:p>
      <w:pPr>
        <w:spacing w:after="0" w:line="186" w:lineRule="exact"/>
        <w:rPr>
          <w:sz w:val="20"/>
          <w:szCs w:val="20"/>
          <w:color w:val="auto"/>
        </w:rPr>
      </w:pPr>
    </w:p>
    <w:p>
      <w:pPr>
        <w:jc w:val="both"/>
        <w:ind w:firstLine="512"/>
        <w:spacing w:after="0" w:line="256"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w:t>
      </w:r>
    </w:p>
    <w:p>
      <w:pPr>
        <w:spacing w:after="0" w:line="19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In addition, the planned launch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our Afirma Malignancy Classifiers and any other new products we may develop in the future may require that we expend substantial time and resources in order to obtain reimbursement.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1" w:lineRule="exact"/>
        <w:rPr>
          <w:sz w:val="20"/>
          <w:szCs w:val="20"/>
          <w:color w:val="auto"/>
        </w:rPr>
      </w:pPr>
    </w:p>
    <w:p>
      <w:pPr>
        <w:jc w:val="both"/>
        <w:ind w:firstLine="471"/>
        <w:spacing w:after="0" w:line="289"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was 40% and decreased to 32% on March 1, 2014 and will remain at this level thereafter. Our agreement with Genzyme expires in 2027 and either party may terminate the agreement at any time without cause and with six months prior notice. If we were to terminate the agreement without cause prior to January 2015, we would be required to repay 40% of the $10.0 million fee we received from Genzyme. Such percentage would be reduced to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recognize a significant portion of our revenue on an accrual basis, our quarterly operating results are likely to fluctuate.</w:t>
      </w:r>
    </w:p>
    <w:p>
      <w:pPr>
        <w:spacing w:after="0" w:line="248"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86"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may need to maintain inventories of these supplies at higher levels than would be the case if multiple sources of supply were available.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86" w:lineRule="exact"/>
        <w:rPr>
          <w:sz w:val="20"/>
          <w:szCs w:val="20"/>
          <w:color w:val="auto"/>
        </w:rPr>
      </w:pPr>
    </w:p>
    <w:p>
      <w:pPr>
        <w:jc w:val="both"/>
        <w:ind w:firstLine="363"/>
        <w:spacing w:after="0" w:line="323" w:lineRule="auto"/>
        <w:rPr>
          <w:sz w:val="20"/>
          <w:szCs w:val="20"/>
          <w:color w:val="auto"/>
        </w:rPr>
      </w:pPr>
      <w:r>
        <w:rPr>
          <w:rFonts w:ascii="Arial" w:cs="Arial" w:eastAsia="Arial" w:hAnsi="Arial"/>
          <w:sz w:val="15"/>
          <w:szCs w:val="15"/>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2"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jc w:val="both"/>
        <w:ind w:firstLine="417"/>
        <w:spacing w:after="0" w:line="291" w:lineRule="auto"/>
        <w:rPr>
          <w:sz w:val="20"/>
          <w:szCs w:val="20"/>
          <w:color w:val="auto"/>
        </w:rPr>
      </w:pPr>
      <w:r>
        <w:rPr>
          <w:rFonts w:ascii="Arial" w:cs="Arial" w:eastAsia="Arial" w:hAnsi="Arial"/>
          <w:sz w:val="16"/>
          <w:szCs w:val="16"/>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60"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9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72"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7" w:lineRule="exact"/>
        <w:rPr>
          <w:sz w:val="20"/>
          <w:szCs w:val="20"/>
          <w:color w:val="auto"/>
        </w:rPr>
      </w:pPr>
    </w:p>
    <w:p>
      <w:pPr>
        <w:jc w:val="both"/>
        <w:ind w:firstLine="564"/>
        <w:spacing w:after="0" w:line="291" w:lineRule="auto"/>
        <w:rPr>
          <w:sz w:val="20"/>
          <w:szCs w:val="20"/>
          <w:color w:val="auto"/>
        </w:rPr>
      </w:pPr>
      <w:r>
        <w:rPr>
          <w:rFonts w:ascii="Arial" w:cs="Arial" w:eastAsia="Arial" w:hAnsi="Arial"/>
          <w:sz w:val="16"/>
          <w:szCs w:val="16"/>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86"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484"/>
        <w:spacing w:after="0" w:line="290"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48"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differences between the list price for Afirma and the reimbursement rates of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As we introduce new tests, such as the Afirma Malignancy Classifiers,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to transmit claims to payers, and any delay in transmitting claims could have an adverse effect on our revenue.</w:t>
      </w:r>
    </w:p>
    <w:p>
      <w:pPr>
        <w:spacing w:after="0" w:line="248" w:lineRule="exact"/>
        <w:rPr>
          <w:sz w:val="20"/>
          <w:szCs w:val="20"/>
          <w:color w:val="auto"/>
        </w:rPr>
      </w:pPr>
    </w:p>
    <w:p>
      <w:pPr>
        <w:jc w:val="both"/>
        <w:ind w:firstLine="463"/>
        <w:spacing w:after="0" w:line="255"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Our business strategy includes international expansion, primarily through our co-promotion agreement with Genzyme,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9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74"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39" w:lineRule="exact"/>
        <w:rPr>
          <w:sz w:val="20"/>
          <w:szCs w:val="20"/>
          <w:color w:val="auto"/>
        </w:rPr>
      </w:pPr>
    </w:p>
    <w:p>
      <w:pPr>
        <w:jc w:val="both"/>
        <w:ind w:right="20" w:firstLine="422"/>
        <w:spacing w:after="0" w:line="268"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86"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86" w:lineRule="exact"/>
        <w:rPr>
          <w:sz w:val="20"/>
          <w:szCs w:val="20"/>
          <w:color w:val="auto"/>
        </w:rPr>
      </w:pPr>
    </w:p>
    <w:p>
      <w:pPr>
        <w:jc w:val="both"/>
        <w:ind w:firstLine="355"/>
        <w:spacing w:after="0" w:line="253" w:lineRule="auto"/>
        <w:rPr>
          <w:sz w:val="20"/>
          <w:szCs w:val="20"/>
          <w:color w:val="auto"/>
        </w:rPr>
      </w:pPr>
      <w:r>
        <w:rPr>
          <w:rFonts w:ascii="Arial" w:cs="Arial" w:eastAsia="Arial" w:hAnsi="Arial"/>
          <w:sz w:val="18"/>
          <w:szCs w:val="18"/>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Afirma Malignancy Classifiers and a product for interstitial lung disease. These products may not be fully developed and introduced as planned in the second quarter of 2014 and in 2016, respectively. In the longer term, we may face challenges obtaining sufficient numbers of samples to validate a genomic signature for a molecular diagnostic product. In order to develop and commercialize diagnostic products, we need to:</w:t>
      </w:r>
    </w:p>
    <w:p>
      <w:pPr>
        <w:spacing w:after="0" w:line="215" w:lineRule="exact"/>
        <w:rPr>
          <w:sz w:val="20"/>
          <w:szCs w:val="20"/>
          <w:color w:val="auto"/>
        </w:rPr>
      </w:pPr>
    </w:p>
    <w:p>
      <w:pPr>
        <w:ind w:left="5620" w:right="5100" w:hanging="5072"/>
        <w:spacing w:after="0" w:line="455" w:lineRule="auto"/>
        <w:tabs>
          <w:tab w:leader="none" w:pos="1082"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expend significant funds to conduct substantial research and development;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inability to secure sufficient numbers of samples at an acceptable cost and on an acceptable timeframe to conduct analytical and clinical studies; or</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398"/>
        <w:spacing w:after="0" w:line="254"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86" w:lineRule="exact"/>
        <w:rPr>
          <w:sz w:val="20"/>
          <w:szCs w:val="20"/>
          <w:color w:val="auto"/>
        </w:rPr>
      </w:pPr>
    </w:p>
    <w:p>
      <w:pPr>
        <w:jc w:val="both"/>
        <w:ind w:firstLine="385"/>
        <w:spacing w:after="0" w:line="28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2" w:lineRule="exact"/>
        <w:rPr>
          <w:sz w:val="20"/>
          <w:szCs w:val="20"/>
          <w:color w:val="auto"/>
        </w:rPr>
      </w:pPr>
    </w:p>
    <w:p>
      <w:pPr>
        <w:jc w:val="both"/>
        <w:ind w:firstLine="561"/>
        <w:spacing w:after="0" w:line="294"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401"/>
        <w:spacing w:after="0" w:line="323"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86" w:lineRule="exact"/>
        <w:rPr>
          <w:sz w:val="20"/>
          <w:szCs w:val="20"/>
          <w:color w:val="auto"/>
        </w:rPr>
      </w:pPr>
    </w:p>
    <w:p>
      <w:pPr>
        <w:jc w:val="both"/>
        <w:ind w:firstLine="533"/>
        <w:spacing w:after="0" w:line="29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0" w:lineRule="exact"/>
        <w:rPr>
          <w:sz w:val="20"/>
          <w:szCs w:val="20"/>
          <w:color w:val="auto"/>
        </w:rPr>
      </w:pPr>
    </w:p>
    <w:p>
      <w:pPr>
        <w:jc w:val="both"/>
        <w:ind w:firstLine="480"/>
        <w:spacing w:after="0" w:line="287" w:lineRule="auto"/>
        <w:rPr>
          <w:sz w:val="20"/>
          <w:szCs w:val="20"/>
          <w:color w:val="auto"/>
        </w:rPr>
      </w:pPr>
      <w:r>
        <w:rPr>
          <w:rFonts w:ascii="Arial" w:cs="Arial" w:eastAsia="Arial" w:hAnsi="Arial"/>
          <w:sz w:val="16"/>
          <w:szCs w:val="16"/>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both of our clinical reference laboratories are required to be licensed on a test-specific basis by New York State.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w:t>
      </w:r>
    </w:p>
    <w:p>
      <w:pPr>
        <w:spacing w:after="0" w:line="177"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86" w:lineRule="exact"/>
        <w:rPr>
          <w:sz w:val="20"/>
          <w:szCs w:val="20"/>
          <w:color w:val="auto"/>
        </w:rPr>
      </w:pPr>
    </w:p>
    <w:p>
      <w:pPr>
        <w:jc w:val="both"/>
        <w:ind w:firstLine="406"/>
        <w:spacing w:after="0" w:line="298"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97" w:lineRule="exact"/>
        <w:rPr>
          <w:sz w:val="20"/>
          <w:szCs w:val="20"/>
          <w:color w:val="auto"/>
        </w:rPr>
      </w:pPr>
    </w:p>
    <w:p>
      <w:pPr>
        <w:jc w:val="both"/>
        <w:ind w:firstLine="415"/>
        <w:spacing w:after="0" w:line="28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2"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4" w:lineRule="exact"/>
        <w:rPr>
          <w:sz w:val="20"/>
          <w:szCs w:val="20"/>
          <w:color w:val="auto"/>
        </w:rPr>
      </w:pPr>
    </w:p>
    <w:p>
      <w:pPr>
        <w:jc w:val="both"/>
        <w:ind w:firstLine="488"/>
        <w:spacing w:after="0" w:line="289"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7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subject to other regulation by both the federal government and the states in which we conduct our business, including: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law and state anti-kickback prohibitions;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and state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Medicare civil money penalty and exclusion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Act civil and criminal penalties and state equivalents;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Foreign Corrupt Practices Act of 1977, which applies to our international activities.</w:t>
      </w:r>
    </w:p>
    <w:p>
      <w:pPr>
        <w:spacing w:after="0" w:line="225" w:lineRule="exact"/>
        <w:rPr>
          <w:sz w:val="20"/>
          <w:szCs w:val="20"/>
          <w:color w:val="auto"/>
        </w:rPr>
      </w:pPr>
    </w:p>
    <w:p>
      <w:pPr>
        <w:jc w:val="both"/>
        <w:ind w:firstLine="418"/>
        <w:spacing w:after="0" w:line="288"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suspend sales of our products and solutions. The occurrence of any of these events could have an adverse effect on our business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97" w:lineRule="exact"/>
        <w:rPr>
          <w:sz w:val="20"/>
          <w:szCs w:val="20"/>
          <w:color w:val="auto"/>
        </w:rPr>
      </w:pPr>
    </w:p>
    <w:p>
      <w:pPr>
        <w:jc w:val="both"/>
        <w:ind w:firstLine="560"/>
        <w:spacing w:after="0" w:line="287"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and in 2014 we plan to significantly expand our sales force.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86" w:lineRule="exact"/>
        <w:rPr>
          <w:sz w:val="20"/>
          <w:szCs w:val="20"/>
          <w:color w:val="auto"/>
        </w:rPr>
      </w:pPr>
    </w:p>
    <w:p>
      <w:pPr>
        <w:jc w:val="both"/>
        <w:ind w:firstLine="395"/>
        <w:spacing w:after="0" w:line="289" w:lineRule="auto"/>
        <w:rPr>
          <w:sz w:val="20"/>
          <w:szCs w:val="20"/>
          <w:color w:val="auto"/>
        </w:rPr>
      </w:pPr>
      <w:r>
        <w:rPr>
          <w:rFonts w:ascii="Arial" w:cs="Arial" w:eastAsia="Arial" w:hAnsi="Arial"/>
          <w:sz w:val="16"/>
          <w:szCs w:val="16"/>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574"/>
        <w:spacing w:after="0" w:line="25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9" w:lineRule="exact"/>
        <w:rPr>
          <w:sz w:val="20"/>
          <w:szCs w:val="20"/>
          <w:color w:val="auto"/>
        </w:rPr>
      </w:pPr>
    </w:p>
    <w:p>
      <w:pPr>
        <w:jc w:val="both"/>
        <w:ind w:firstLine="590"/>
        <w:spacing w:after="0" w:line="294"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70" w:lineRule="exact"/>
        <w:rPr>
          <w:sz w:val="20"/>
          <w:szCs w:val="20"/>
          <w:color w:val="auto"/>
        </w:rPr>
      </w:pPr>
    </w:p>
    <w:p>
      <w:pPr>
        <w:jc w:val="both"/>
        <w:ind w:firstLine="467"/>
        <w:spacing w:after="0" w:line="286"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81" w:lineRule="exact"/>
        <w:rPr>
          <w:sz w:val="20"/>
          <w:szCs w:val="20"/>
          <w:color w:val="auto"/>
        </w:rPr>
      </w:pPr>
    </w:p>
    <w:p>
      <w:pPr>
        <w:jc w:val="both"/>
        <w:ind w:firstLine="470"/>
        <w:spacing w:after="0" w:line="306"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adversely affect our business. Complying with these various laws could cause us to incur substantial costs or require us to change our business practices, systems and compliance procedures in a manner adverse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7" w:lineRule="exact"/>
        <w:rPr>
          <w:sz w:val="20"/>
          <w:szCs w:val="20"/>
          <w:color w:val="auto"/>
        </w:rPr>
      </w:pPr>
    </w:p>
    <w:p>
      <w:pPr>
        <w:jc w:val="both"/>
        <w:ind w:firstLine="513"/>
        <w:spacing w:after="0" w:line="287" w:lineRule="auto"/>
        <w:rPr>
          <w:sz w:val="20"/>
          <w:szCs w:val="20"/>
          <w:color w:val="auto"/>
        </w:rPr>
      </w:pPr>
      <w:r>
        <w:rPr>
          <w:rFonts w:ascii="Arial" w:cs="Arial" w:eastAsia="Arial" w:hAnsi="Arial"/>
          <w:sz w:val="16"/>
          <w:szCs w:val="16"/>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seven pending United States nonprovisional patent applications and two patents which expire between 2030 and 2031 related to methods that are used in the Afirma diagnostic and one pending United States provisional patent application relating to our lung disease product under development.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7"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9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7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4"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0" w:lineRule="exact"/>
        <w:rPr>
          <w:sz w:val="20"/>
          <w:szCs w:val="20"/>
          <w:color w:val="auto"/>
        </w:rPr>
      </w:pPr>
    </w:p>
    <w:p>
      <w:pPr>
        <w:jc w:val="both"/>
        <w:ind w:firstLine="384"/>
        <w:spacing w:after="0" w:line="306"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0"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7"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have not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trademarks may not survive such proceedings. If we do not secure registrations for our trademarks, we may encounter more difficulty in enforcing them against third parties than we otherwise would.</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97"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4"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2" w:lineRule="exact"/>
        <w:rPr>
          <w:sz w:val="20"/>
          <w:szCs w:val="20"/>
          <w:color w:val="auto"/>
        </w:rPr>
      </w:pPr>
    </w:p>
    <w:p>
      <w:pPr>
        <w:jc w:val="both"/>
        <w:ind w:firstLine="359"/>
        <w:spacing w:after="0" w:line="309"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4"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86"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marketing initiatives. In addition, we may have to work with a partner on one or more of our products or market development programs, which could lower the economic value of those programs to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w:t>
      </w:r>
    </w:p>
    <w:p>
      <w:pPr>
        <w:spacing w:after="0" w:line="225"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Some patients may decide not to use Afirma due to its price, all or part of which may be payable directly by the patient if the patient's insurer denies reimbursement in full or in part. There is a growing trend among insurers to shift more of the cost of healthcare to patients in the form of higher co-payments or premiums. In addition, the current economic environment in the United States has and may continue to result in the loss of healthcare coverage. Implementation of provisions of the PPACA has also resulted in the loss of health insurance, and increases in premiums and reductions in coverage, for some patients. These events may result in patients delaying or forgoing medical checkups or treatment due to their inability to pay for our test, which could have an adverse effect on our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384"/>
        <w:spacing w:after="0" w:line="253"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time-consuming and costly. We also expect that it will continue to be expensive for us to maintain director and officer liability insurance.</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9" w:lineRule="exact"/>
        <w:rPr>
          <w:sz w:val="20"/>
          <w:szCs w:val="20"/>
          <w:color w:val="auto"/>
        </w:rPr>
      </w:pPr>
    </w:p>
    <w:p>
      <w:pPr>
        <w:jc w:val="both"/>
        <w:ind w:firstLine="355"/>
        <w:spacing w:after="0" w:line="286"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 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4"/>
        <w:spacing w:after="0" w:line="298"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86"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right="20" w:firstLine="416"/>
        <w:spacing w:after="0" w:line="259" w:lineRule="auto"/>
        <w:rPr>
          <w:sz w:val="20"/>
          <w:szCs w:val="20"/>
          <w:color w:val="auto"/>
        </w:rPr>
      </w:pPr>
      <w:r>
        <w:rPr>
          <w:rFonts w:ascii="Arial" w:cs="Arial" w:eastAsia="Arial" w:hAnsi="Arial"/>
          <w:sz w:val="18"/>
          <w:szCs w:val="18"/>
          <w:color w:val="auto"/>
        </w:rPr>
        <w:t>Prior to our initial public offering in October 2013, there has been no public market for our common stock, and an active and liquid public market for our stock may not develop or be sustained. In addition, the trading price of our common stock is likely to be highly volatile and could be subject to wide fluctuations in response to various factors, some of which are beyond our control. These factors include:</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our initial public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86"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420"/>
        <w:spacing w:after="0" w:line="285"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resulting from our recent initial public offering, the trading price of our common stock could decline. On March 1, 2014, 21,143,313 shares of common stock were outstanding. Of these shares, 5,100,351 are freely tradable, without restriction, in the public market. Each of our directors and officers and substantially all of our other stockholders has entered into a lock-up agreement with the underwriters of our initial public offering that restricts their ability to sell or transfer their shares. The lock-up agreements will expire in April 2014. The underwriters, however, may, in their sole discretion, waive the contractual lock-up prior to the expiration of the lock-up agreements. After the lock-up agreements expire, based on shares outstanding as of March 1, 2014, up to an additional 16,042,962 shares of common stock will be eligible for sale in the public market, of which 14,825,544 shares are held by directors, executive officers and other affiliates and will be subject to volume limitations under Rule 144 under the Securities Act, and various vesting agreements. In addition, 3,027,419 shares of common stock that are subject to outstanding options as of March 1, 2014 will become eligible for sale in the public market to the extent permitted by the provisions of various vesting agreements, the lock-up agreements and Rules 144 and 701 under the Securities Act. We have filed a registration statement on Form S-8 under the Securities Act covering all of the shares of common stock subject to options outstanding and reserved for issuance under our stock plans. This registration statement became effective immediately upon filing, and shares covered by this registration statement are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As of March 1, 2014, directors and executive officers and their affiliates beneficially owned, in the aggregate, 71.5%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right="20" w:firstLine="355"/>
        <w:spacing w:after="0" w:line="332" w:lineRule="auto"/>
        <w:rPr>
          <w:sz w:val="20"/>
          <w:szCs w:val="20"/>
          <w:color w:val="auto"/>
        </w:rPr>
      </w:pPr>
      <w:r>
        <w:rPr>
          <w:rFonts w:ascii="Arial" w:cs="Arial" w:eastAsia="Arial" w:hAnsi="Arial"/>
          <w:sz w:val="16"/>
          <w:szCs w:val="16"/>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53"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shares of undesignated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8"/>
          <w:szCs w:val="18"/>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However, given that laboratory space is specialized and in limited supply in the San Francisco Bay Area, we regularly review our facilities needs and local available space. We believe that additional space will be available on commercially reasonable terms, if required.</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20" w:firstLine="463"/>
        <w:spacing w:after="0" w:line="268" w:lineRule="auto"/>
        <w:rPr>
          <w:sz w:val="20"/>
          <w:szCs w:val="20"/>
          <w:color w:val="auto"/>
        </w:rPr>
      </w:pPr>
      <w:r>
        <w:rPr>
          <w:rFonts w:ascii="Arial" w:cs="Arial" w:eastAsia="Arial" w:hAnsi="Arial"/>
          <w:sz w:val="18"/>
          <w:szCs w:val="18"/>
          <w:color w:val="auto"/>
        </w:rPr>
        <w:t>We are not currently a party to any material legal proceedings. We may from time to time become involved in legal proceedings arising in the ordinary course of business.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and their ages and positions as of March 1, 2014, are as set forth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Shelly D. Guyer</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Financial Officer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i w:val="1"/>
          <w:iCs w:val="1"/>
          <w:color w:val="auto"/>
        </w:rPr>
        <w:t xml:space="preserve">Shelly D. Guyer </w:t>
      </w:r>
      <w:r>
        <w:rPr>
          <w:rFonts w:ascii="Arial" w:cs="Arial" w:eastAsia="Arial" w:hAnsi="Arial"/>
          <w:sz w:val="18"/>
          <w:szCs w:val="18"/>
          <w:color w:val="auto"/>
        </w:rPr>
        <w:t>has served as our Chief Financial Officer and Secretary since April 2013. Prior to joining us, Ms. Guyer served as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i w:val="1"/>
          <w:iCs w:val="1"/>
          <w:color w:val="auto"/>
        </w:rPr>
        <w:t xml:space="preserve">Christopher M. Hall </w:t>
      </w:r>
      <w:r>
        <w:rPr>
          <w:rFonts w:ascii="Arial" w:cs="Arial" w:eastAsia="Arial" w:hAnsi="Arial"/>
          <w:sz w:val="18"/>
          <w:szCs w:val="18"/>
          <w:color w:val="auto"/>
        </w:rPr>
        <w:t>has served as our Chief Commercial Officer since March 2010. Prior to joining us, Mr. Hall served as Chief Business Officer of Celera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firstLine="442"/>
        <w:spacing w:after="0" w:line="306" w:lineRule="auto"/>
        <w:rPr>
          <w:sz w:val="20"/>
          <w:szCs w:val="20"/>
          <w:color w:val="auto"/>
        </w:rPr>
      </w:pPr>
      <w:r>
        <w:rPr>
          <w:rFonts w:ascii="Arial" w:cs="Arial" w:eastAsia="Arial" w:hAnsi="Arial"/>
          <w:sz w:val="16"/>
          <w:szCs w:val="16"/>
          <w:color w:val="auto"/>
        </w:rPr>
        <w:t>Our common stock is traded on The NASDAQ Global Market under the symbol "VCYT." As of March 1, 2014, there were approximately 59 holders of record of our common stock. The high and low sales prices for our common stock on The NASDAQ Global Market for the period from October 30, 2013 (the date our common stock began trading following our initial public offering) to December 31, 2013 were $14.80 and $10.88,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The following information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97"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The graph below shows the cumulative total stockholder return (change in stock price plus reinvested dividends) assuming the investment of $100 on the date specified in each of our Common Stock, the NASDAQ Market Index, and the NASDAQ Biotechnology Index for the period commencing on October 30, 2013 (the date our common stock began trading following our initial public offering) and ending on December 31, 2013. The comparison is required by the Securities and Exchange Commission and is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111125</wp:posOffset>
            </wp:positionV>
            <wp:extent cx="5840095" cy="3807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009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9"/>
              </w:rPr>
              <w:t>Total Return</w:t>
            </w:r>
          </w:p>
        </w:tc>
        <w:tc>
          <w:tcPr>
            <w:tcW w:w="2180" w:type="dxa"/>
            <w:vAlign w:val="bottom"/>
          </w:tcPr>
          <w:p>
            <w:pPr>
              <w:spacing w:after="0"/>
              <w:rPr>
                <w:sz w:val="14"/>
                <w:szCs w:val="14"/>
                <w:color w:val="auto"/>
              </w:rPr>
            </w:pPr>
          </w:p>
        </w:tc>
      </w:tr>
      <w:tr>
        <w:trPr>
          <w:trHeight w:val="153"/>
        </w:trPr>
        <w:tc>
          <w:tcPr>
            <w:tcW w:w="1620" w:type="dxa"/>
            <w:vAlign w:val="bottom"/>
          </w:tcPr>
          <w:p>
            <w:pPr>
              <w:jc w:val="center"/>
              <w:ind w:right="737"/>
              <w:spacing w:after="0" w:line="153" w:lineRule="exact"/>
              <w:rPr>
                <w:sz w:val="20"/>
                <w:szCs w:val="20"/>
                <w:color w:val="auto"/>
              </w:rPr>
            </w:pPr>
            <w:r>
              <w:rPr>
                <w:rFonts w:ascii="Arial" w:cs="Arial" w:eastAsia="Arial" w:hAnsi="Arial"/>
                <w:sz w:val="14"/>
                <w:szCs w:val="14"/>
                <w:b w:val="1"/>
                <w:bCs w:val="1"/>
                <w:color w:val="auto"/>
                <w:w w:val="88"/>
              </w:rPr>
              <w:t>Trade Date</w:t>
            </w:r>
          </w:p>
        </w:tc>
        <w:tc>
          <w:tcPr>
            <w:tcW w:w="2780" w:type="dxa"/>
            <w:vAlign w:val="bottom"/>
            <w:gridSpan w:val="2"/>
          </w:tcPr>
          <w:p>
            <w:pPr>
              <w:jc w:val="right"/>
              <w:ind w:right="1092"/>
              <w:spacing w:after="0" w:line="153" w:lineRule="exact"/>
              <w:rPr>
                <w:sz w:val="20"/>
                <w:szCs w:val="20"/>
                <w:color w:val="auto"/>
              </w:rPr>
            </w:pPr>
            <w:r>
              <w:rPr>
                <w:rFonts w:ascii="Arial" w:cs="Arial" w:eastAsia="Arial" w:hAnsi="Arial"/>
                <w:sz w:val="14"/>
                <w:szCs w:val="14"/>
                <w:b w:val="1"/>
                <w:bCs w:val="1"/>
                <w:color w:val="auto"/>
              </w:rPr>
              <w:t>Veracyte, Inc.</w:t>
            </w:r>
          </w:p>
        </w:tc>
        <w:tc>
          <w:tcPr>
            <w:tcW w:w="3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NASDAQ Market Index</w:t>
            </w:r>
          </w:p>
        </w:tc>
        <w:tc>
          <w:tcPr>
            <w:tcW w:w="2180" w:type="dxa"/>
            <w:vAlign w:val="bottom"/>
          </w:tcPr>
          <w:p>
            <w:pPr>
              <w:jc w:val="center"/>
              <w:ind w:left="1057"/>
              <w:spacing w:after="0" w:line="153" w:lineRule="exact"/>
              <w:rPr>
                <w:sz w:val="20"/>
                <w:szCs w:val="20"/>
                <w:color w:val="auto"/>
              </w:rPr>
            </w:pPr>
            <w:r>
              <w:rPr>
                <w:rFonts w:ascii="Arial" w:cs="Arial" w:eastAsia="Arial" w:hAnsi="Arial"/>
                <w:sz w:val="14"/>
                <w:szCs w:val="14"/>
                <w:b w:val="1"/>
                <w:bCs w:val="1"/>
                <w:color w:val="auto"/>
                <w:w w:val="89"/>
              </w:rPr>
              <w:t>NASDAQ Biotech</w:t>
            </w:r>
          </w:p>
        </w:tc>
      </w:tr>
      <w:tr>
        <w:trPr>
          <w:trHeight w:val="216"/>
        </w:trPr>
        <w:tc>
          <w:tcPr>
            <w:tcW w:w="1620" w:type="dxa"/>
            <w:vAlign w:val="bottom"/>
          </w:tcPr>
          <w:p>
            <w:pPr>
              <w:jc w:val="center"/>
              <w:ind w:right="737"/>
              <w:spacing w:after="0"/>
              <w:rPr>
                <w:sz w:val="20"/>
                <w:szCs w:val="20"/>
                <w:color w:val="auto"/>
              </w:rPr>
            </w:pPr>
            <w:r>
              <w:rPr>
                <w:rFonts w:ascii="Arial" w:cs="Arial" w:eastAsia="Arial" w:hAnsi="Arial"/>
                <w:sz w:val="18"/>
                <w:szCs w:val="18"/>
                <w:color w:val="auto"/>
                <w:w w:val="88"/>
              </w:rPr>
              <w:t>10/30/2013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92"/>
              <w:spacing w:after="0"/>
              <w:rPr>
                <w:sz w:val="20"/>
                <w:szCs w:val="20"/>
                <w:color w:val="auto"/>
              </w:rPr>
            </w:pPr>
            <w:r>
              <w:rPr>
                <w:rFonts w:ascii="Arial" w:cs="Arial" w:eastAsia="Arial" w:hAnsi="Arial"/>
                <w:sz w:val="18"/>
                <w:szCs w:val="18"/>
                <w:color w:val="auto"/>
                <w:w w:val="87"/>
              </w:rPr>
              <w:t>100.00</w:t>
            </w:r>
          </w:p>
        </w:tc>
        <w:tc>
          <w:tcPr>
            <w:tcW w:w="3700" w:type="dxa"/>
            <w:vAlign w:val="bottom"/>
          </w:tcPr>
          <w:p>
            <w:pPr>
              <w:jc w:val="center"/>
              <w:spacing w:after="0"/>
              <w:rPr>
                <w:sz w:val="20"/>
                <w:szCs w:val="20"/>
                <w:color w:val="auto"/>
              </w:rPr>
            </w:pPr>
            <w:r>
              <w:rPr>
                <w:rFonts w:ascii="Arial" w:cs="Arial" w:eastAsia="Arial" w:hAnsi="Arial"/>
                <w:sz w:val="18"/>
                <w:szCs w:val="18"/>
                <w:color w:val="auto"/>
                <w:w w:val="86"/>
              </w:rPr>
              <w:t>$100.00</w:t>
            </w:r>
          </w:p>
        </w:tc>
        <w:tc>
          <w:tcPr>
            <w:tcW w:w="2180" w:type="dxa"/>
            <w:vAlign w:val="bottom"/>
          </w:tcPr>
          <w:p>
            <w:pPr>
              <w:jc w:val="center"/>
              <w:ind w:left="1037"/>
              <w:spacing w:after="0"/>
              <w:rPr>
                <w:sz w:val="20"/>
                <w:szCs w:val="20"/>
                <w:color w:val="auto"/>
              </w:rPr>
            </w:pPr>
            <w:r>
              <w:rPr>
                <w:rFonts w:ascii="Arial" w:cs="Arial" w:eastAsia="Arial" w:hAnsi="Arial"/>
                <w:sz w:val="18"/>
                <w:szCs w:val="18"/>
                <w:color w:val="auto"/>
                <w:w w:val="89"/>
              </w:rPr>
              <w:t>$100.00</w:t>
            </w:r>
          </w:p>
        </w:tc>
      </w:tr>
      <w:tr>
        <w:trPr>
          <w:trHeight w:val="216"/>
        </w:trPr>
        <w:tc>
          <w:tcPr>
            <w:tcW w:w="1620" w:type="dxa"/>
            <w:vAlign w:val="bottom"/>
          </w:tcPr>
          <w:p>
            <w:pPr>
              <w:jc w:val="center"/>
              <w:ind w:right="737"/>
              <w:spacing w:after="0"/>
              <w:rPr>
                <w:sz w:val="20"/>
                <w:szCs w:val="20"/>
                <w:color w:val="auto"/>
              </w:rPr>
            </w:pPr>
            <w:r>
              <w:rPr>
                <w:rFonts w:ascii="Arial" w:cs="Arial" w:eastAsia="Arial" w:hAnsi="Arial"/>
                <w:sz w:val="18"/>
                <w:szCs w:val="18"/>
                <w:color w:val="auto"/>
                <w:w w:val="88"/>
              </w:rPr>
              <w:t>11/29/2013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92"/>
              <w:spacing w:after="0"/>
              <w:rPr>
                <w:sz w:val="20"/>
                <w:szCs w:val="20"/>
                <w:color w:val="auto"/>
              </w:rPr>
            </w:pPr>
            <w:r>
              <w:rPr>
                <w:rFonts w:ascii="Arial" w:cs="Arial" w:eastAsia="Arial" w:hAnsi="Arial"/>
                <w:sz w:val="18"/>
                <w:szCs w:val="18"/>
                <w:color w:val="auto"/>
              </w:rPr>
              <w:t>98.00</w:t>
            </w:r>
          </w:p>
        </w:tc>
        <w:tc>
          <w:tcPr>
            <w:tcW w:w="3700" w:type="dxa"/>
            <w:vAlign w:val="bottom"/>
          </w:tcPr>
          <w:p>
            <w:pPr>
              <w:jc w:val="center"/>
              <w:spacing w:after="0"/>
              <w:rPr>
                <w:sz w:val="20"/>
                <w:szCs w:val="20"/>
                <w:color w:val="auto"/>
              </w:rPr>
            </w:pPr>
            <w:r>
              <w:rPr>
                <w:rFonts w:ascii="Arial" w:cs="Arial" w:eastAsia="Arial" w:hAnsi="Arial"/>
                <w:sz w:val="18"/>
                <w:szCs w:val="18"/>
                <w:color w:val="auto"/>
                <w:w w:val="86"/>
              </w:rPr>
              <w:t>$104.00</w:t>
            </w:r>
          </w:p>
        </w:tc>
        <w:tc>
          <w:tcPr>
            <w:tcW w:w="2180" w:type="dxa"/>
            <w:vAlign w:val="bottom"/>
          </w:tcPr>
          <w:p>
            <w:pPr>
              <w:jc w:val="center"/>
              <w:ind w:left="1037"/>
              <w:spacing w:after="0"/>
              <w:rPr>
                <w:sz w:val="20"/>
                <w:szCs w:val="20"/>
                <w:color w:val="auto"/>
              </w:rPr>
            </w:pPr>
            <w:r>
              <w:rPr>
                <w:rFonts w:ascii="Arial" w:cs="Arial" w:eastAsia="Arial" w:hAnsi="Arial"/>
                <w:sz w:val="18"/>
                <w:szCs w:val="18"/>
                <w:color w:val="auto"/>
                <w:w w:val="89"/>
              </w:rPr>
              <w:t>$109.00</w:t>
            </w:r>
          </w:p>
        </w:tc>
      </w:tr>
      <w:tr>
        <w:trPr>
          <w:trHeight w:val="222"/>
        </w:trPr>
        <w:tc>
          <w:tcPr>
            <w:tcW w:w="1620" w:type="dxa"/>
            <w:vAlign w:val="bottom"/>
          </w:tcPr>
          <w:p>
            <w:pPr>
              <w:jc w:val="center"/>
              <w:ind w:right="737"/>
              <w:spacing w:after="0"/>
              <w:rPr>
                <w:sz w:val="20"/>
                <w:szCs w:val="20"/>
                <w:color w:val="auto"/>
              </w:rPr>
            </w:pPr>
            <w:r>
              <w:rPr>
                <w:rFonts w:ascii="Arial" w:cs="Arial" w:eastAsia="Arial" w:hAnsi="Arial"/>
                <w:sz w:val="18"/>
                <w:szCs w:val="18"/>
                <w:color w:val="auto"/>
                <w:w w:val="88"/>
              </w:rPr>
              <w:t>12/31/2013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92"/>
              <w:spacing w:after="0"/>
              <w:rPr>
                <w:sz w:val="20"/>
                <w:szCs w:val="20"/>
                <w:color w:val="auto"/>
              </w:rPr>
            </w:pPr>
            <w:r>
              <w:rPr>
                <w:rFonts w:ascii="Arial" w:cs="Arial" w:eastAsia="Arial" w:hAnsi="Arial"/>
                <w:sz w:val="18"/>
                <w:szCs w:val="18"/>
                <w:color w:val="auto"/>
                <w:w w:val="87"/>
              </w:rPr>
              <w:t>109.00</w:t>
            </w:r>
          </w:p>
        </w:tc>
        <w:tc>
          <w:tcPr>
            <w:tcW w:w="3700" w:type="dxa"/>
            <w:vAlign w:val="bottom"/>
          </w:tcPr>
          <w:p>
            <w:pPr>
              <w:jc w:val="center"/>
              <w:spacing w:after="0"/>
              <w:rPr>
                <w:sz w:val="20"/>
                <w:szCs w:val="20"/>
                <w:color w:val="auto"/>
              </w:rPr>
            </w:pPr>
            <w:r>
              <w:rPr>
                <w:rFonts w:ascii="Arial" w:cs="Arial" w:eastAsia="Arial" w:hAnsi="Arial"/>
                <w:sz w:val="18"/>
                <w:szCs w:val="18"/>
                <w:color w:val="auto"/>
                <w:w w:val="86"/>
              </w:rPr>
              <w:t>$107.00</w:t>
            </w:r>
          </w:p>
        </w:tc>
        <w:tc>
          <w:tcPr>
            <w:tcW w:w="2180" w:type="dxa"/>
            <w:vAlign w:val="bottom"/>
          </w:tcPr>
          <w:p>
            <w:pPr>
              <w:jc w:val="center"/>
              <w:ind w:left="1057"/>
              <w:spacing w:after="0"/>
              <w:rPr>
                <w:sz w:val="20"/>
                <w:szCs w:val="20"/>
                <w:color w:val="auto"/>
              </w:rPr>
            </w:pPr>
            <w:r>
              <w:rPr>
                <w:rFonts w:ascii="Arial" w:cs="Arial" w:eastAsia="Arial" w:hAnsi="Arial"/>
                <w:sz w:val="18"/>
                <w:szCs w:val="18"/>
                <w:color w:val="auto"/>
                <w:w w:val="86"/>
              </w:rPr>
              <w:t>$111.00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471"/>
        <w:spacing w:after="0" w:line="332" w:lineRule="auto"/>
        <w:rPr>
          <w:sz w:val="20"/>
          <w:szCs w:val="20"/>
          <w:color w:val="auto"/>
        </w:rPr>
      </w:pPr>
      <w:r>
        <w:rPr>
          <w:rFonts w:ascii="Arial" w:cs="Arial" w:eastAsia="Arial" w:hAnsi="Arial"/>
          <w:sz w:val="16"/>
          <w:szCs w:val="16"/>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On November 4, 2013, we completed an initial public offering ("IPO") of our common stock. In connection with our IPO, we issued and sold 5,100,351 shares of common stock at a price to the public of $13.00 per share. As a result of the IPO, we received approximately $59.2 million in net proceeds, after deducting underwriting discounts and commissions of $4.6 million and offering expenses of $2.5 million payable by us. The offering was completed in November 2013 at which time an additional 649,649 registered shares were unsold.</w:t>
      </w:r>
    </w:p>
    <w:p>
      <w:pPr>
        <w:spacing w:after="0" w:line="19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registered the shares under the Securities Act on a Registration Statement on Form S-1 (Registration No. 333-191282), which was filed on September 20, 2013 and declared effective on October 29, 2013, and on a Registration Statement on Form S-1 (Registration No. 333-1919782), which was filed on October 30, 2013 and was immediately effective.</w:t>
      </w:r>
    </w:p>
    <w:p>
      <w:pPr>
        <w:spacing w:after="0" w:line="194" w:lineRule="exact"/>
        <w:rPr>
          <w:sz w:val="20"/>
          <w:szCs w:val="20"/>
          <w:color w:val="auto"/>
        </w:rPr>
      </w:pPr>
    </w:p>
    <w:p>
      <w:pPr>
        <w:jc w:val="both"/>
        <w:ind w:firstLine="357"/>
        <w:spacing w:after="0" w:line="268" w:lineRule="auto"/>
        <w:rPr>
          <w:sz w:val="20"/>
          <w:szCs w:val="20"/>
          <w:color w:val="auto"/>
        </w:rPr>
      </w:pPr>
      <w:r>
        <w:rPr>
          <w:rFonts w:ascii="Arial" w:cs="Arial" w:eastAsia="Arial" w:hAnsi="Arial"/>
          <w:sz w:val="18"/>
          <w:szCs w:val="18"/>
          <w:color w:val="auto"/>
        </w:rPr>
        <w:t>From the date of the initial closing of the IPO through March 1, 2014, we have used a portion of the net proceeds from the sale of these securities to fund our operations, to make capital expenditures, for working capital and for other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31"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From January 1, 2013 through November 4, 2013, we granted stock options under our 2008 Stock Plan to purchase 695,029 shares of our common stock at exercise prices ranging from $4.00 to $12.12 per share, and issued an aggregate of 185,445 shares of common stock pursuant to the exercise of stock options with aggregate proceeds of approximately $0.6 million. These issuances were undertaken in reliance upon an exemption from registration under Rule 701 of the Securities Act of 1933.</w:t>
      </w:r>
    </w:p>
    <w:p>
      <w:pPr>
        <w:spacing w:after="0" w:line="197"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In June 2013, we issued 6,904,761 shares of our Series C convertible preferred stock with aggregate proceeds of $13.0 million. Also in June 2013, we issued a warrant to purchase 99,206 shares of our Series C preferred stock, which became exercisable for 24,801 shares of our common stock upon completion of our IPO. These issuances were undertaken in reliance upon an exemption from registration under Section 4(2) of the Securities Act of 1933 or Regulation D promulgated thereunder.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the above transactions involved any underwriters, underwriting discounts or commissions.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financial statements and related notes included elsewhere in this annual report. The selected consolidated balance sheet data at December 31, 2013 and 2012 and the selected consolidated statements of operations data for each of the years ended December 31, 2013, 2012 and 2011 have been derived from our audited consolidated financial statements that are included elsewhere in this report. The financial data included in this report are historical and are not necessarily indicative of results to be expected in any future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10"/>
          </w:tcPr>
          <w:p>
            <w:pPr>
              <w:jc w:val="center"/>
              <w:ind w:right="68"/>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8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w w:val="90"/>
              </w:rPr>
              <w:t>except share and</w:t>
            </w:r>
          </w:p>
        </w:tc>
        <w:tc>
          <w:tcPr>
            <w:tcW w:w="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w:t>
            </w:r>
          </w:p>
        </w:tc>
        <w:tc>
          <w:tcPr>
            <w:tcW w:w="78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w w:val="74"/>
              </w:rPr>
              <w:t>share data)</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21,884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11,628</w:t>
            </w:r>
          </w:p>
        </w:tc>
        <w:tc>
          <w:tcPr>
            <w:tcW w:w="10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tcPr>
          <w:p>
            <w:pPr>
              <w:ind w:left="160"/>
              <w:spacing w:after="0"/>
              <w:rPr>
                <w:sz w:val="20"/>
                <w:szCs w:val="20"/>
                <w:color w:val="auto"/>
              </w:rPr>
            </w:pPr>
            <w:r>
              <w:rPr>
                <w:rFonts w:ascii="Arial" w:cs="Arial" w:eastAsia="Arial" w:hAnsi="Arial"/>
                <w:sz w:val="18"/>
                <w:szCs w:val="18"/>
                <w:color w:val="auto"/>
              </w:rPr>
              <w:t>Cost of revenue(1)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12,607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Research and development(1)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tcPr>
          <w:p>
            <w:pPr>
              <w:ind w:left="160"/>
              <w:spacing w:after="0"/>
              <w:rPr>
                <w:sz w:val="20"/>
                <w:szCs w:val="20"/>
                <w:color w:val="auto"/>
              </w:rPr>
            </w:pPr>
            <w:r>
              <w:rPr>
                <w:rFonts w:ascii="Arial" w:cs="Arial" w:eastAsia="Arial" w:hAnsi="Arial"/>
                <w:sz w:val="18"/>
                <w:szCs w:val="18"/>
                <w:color w:val="auto"/>
              </w:rPr>
              <w:t>Selling and marketing(1)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General and administrative(1)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5"/>
          </w:tcPr>
          <w:p>
            <w:pPr>
              <w:ind w:left="1140"/>
              <w:spacing w:after="0"/>
              <w:rPr>
                <w:sz w:val="20"/>
                <w:szCs w:val="20"/>
                <w:color w:val="auto"/>
              </w:rPr>
            </w:pPr>
            <w:r>
              <w:rPr>
                <w:rFonts w:ascii="Arial" w:cs="Arial" w:eastAsia="Arial" w:hAnsi="Arial"/>
                <w:sz w:val="18"/>
                <w:szCs w:val="18"/>
                <w:color w:val="auto"/>
              </w:rPr>
              <w:t>Total operating expenses(1)</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45,057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30,557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(23,173)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(18,929)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w w:val="92"/>
              </w:rPr>
              <w:t>(15,266)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132"/>
              <w:spacing w:after="0"/>
              <w:rPr>
                <w:sz w:val="20"/>
                <w:szCs w:val="20"/>
                <w:color w:val="auto"/>
              </w:rPr>
            </w:pPr>
            <w:r>
              <w:rPr>
                <w:rFonts w:ascii="Arial" w:cs="Arial" w:eastAsia="Arial" w:hAnsi="Arial"/>
                <w:sz w:val="18"/>
                <w:szCs w:val="18"/>
                <w:color w:val="auto"/>
              </w:rPr>
              <w:t>(2,179)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(25,580)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(18,649)</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w w:val="92"/>
              </w:rPr>
              <w:t>(14,445)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5"/>
            <w:vMerge w:val="restart"/>
          </w:tcPr>
          <w:p>
            <w:pPr>
              <w:ind w:left="1140"/>
              <w:spacing w:after="0"/>
              <w:rPr>
                <w:sz w:val="20"/>
                <w:szCs w:val="20"/>
                <w:color w:val="auto"/>
              </w:rPr>
            </w:pPr>
            <w:r>
              <w:rPr>
                <w:rFonts w:ascii="Arial" w:cs="Arial" w:eastAsia="Arial" w:hAnsi="Arial"/>
                <w:sz w:val="18"/>
                <w:szCs w:val="18"/>
                <w:color w:val="auto"/>
              </w:rPr>
              <w:t>Net loss per common share, basic and diluted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(6.15)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(28.68</w:t>
            </w:r>
          </w:p>
        </w:tc>
        <w:tc>
          <w:tcPr>
            <w:tcW w:w="1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(24.90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4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94"/>
              </w:rPr>
              <w:t>Shares used in computing net loss per common share, basic and diluted</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4,158,664</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650,333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580,061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5"/>
            <w:vMerge w:val="restart"/>
          </w:tcPr>
          <w:p>
            <w:pPr>
              <w:ind w:left="1140"/>
              <w:spacing w:after="0"/>
              <w:rPr>
                <w:sz w:val="20"/>
                <w:szCs w:val="20"/>
                <w:color w:val="auto"/>
              </w:rPr>
            </w:pPr>
            <w:r>
              <w:rPr>
                <w:rFonts w:ascii="Arial" w:cs="Arial" w:eastAsia="Arial" w:hAnsi="Arial"/>
                <w:sz w:val="18"/>
                <w:szCs w:val="18"/>
                <w:b w:val="1"/>
                <w:bCs w:val="1"/>
                <w:color w:val="auto"/>
              </w:rPr>
              <w:t>Other Operating Data:</w:t>
            </w: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FNAs received</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49,670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25,890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520" w:type="dxa"/>
            <w:vAlign w:val="bottom"/>
            <w:gridSpan w:val="2"/>
          </w:tcPr>
          <w:p>
            <w:pPr>
              <w:ind w:left="1140"/>
              <w:spacing w:after="0"/>
              <w:rPr>
                <w:sz w:val="20"/>
                <w:szCs w:val="20"/>
                <w:color w:val="auto"/>
              </w:rPr>
            </w:pPr>
            <w:r>
              <w:rPr>
                <w:rFonts w:ascii="Arial" w:cs="Arial" w:eastAsia="Arial" w:hAnsi="Arial"/>
                <w:sz w:val="18"/>
                <w:szCs w:val="18"/>
                <w:color w:val="auto"/>
              </w:rPr>
              <w:t>(1)</w:t>
            </w:r>
          </w:p>
        </w:tc>
        <w:tc>
          <w:tcPr>
            <w:tcW w:w="5080" w:type="dxa"/>
            <w:vAlign w:val="bottom"/>
            <w:gridSpan w:val="3"/>
          </w:tcPr>
          <w:p>
            <w:pPr>
              <w:jc w:val="right"/>
              <w:ind w:right="880"/>
              <w:spacing w:after="0"/>
              <w:rPr>
                <w:sz w:val="20"/>
                <w:szCs w:val="20"/>
                <w:color w:val="auto"/>
              </w:rPr>
            </w:pPr>
            <w:r>
              <w:rPr>
                <w:rFonts w:ascii="Arial" w:cs="Arial" w:eastAsia="Arial" w:hAnsi="Arial"/>
                <w:sz w:val="18"/>
                <w:szCs w:val="18"/>
                <w:color w:val="auto"/>
                <w:w w:val="91"/>
              </w:rPr>
              <w:t>Includes employee stock-based compensation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68"/>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6"/>
          </w:tcPr>
          <w:p>
            <w:pPr>
              <w:jc w:val="center"/>
              <w:ind w:left="7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80" w:type="dxa"/>
            <w:vAlign w:val="bottom"/>
            <w:gridSpan w:val="3"/>
            <w:vMerge w:val="restart"/>
          </w:tcPr>
          <w:p>
            <w:pPr>
              <w:jc w:val="right"/>
              <w:ind w:right="80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8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20" w:type="dxa"/>
            <w:vAlign w:val="bottom"/>
            <w:tcBorders>
              <w:bottom w:val="single" w:sz="8" w:color="auto"/>
            </w:tcBorders>
            <w:gridSpan w:val="7"/>
          </w:tcPr>
          <w:p>
            <w:pPr>
              <w:jc w:val="center"/>
              <w:ind w:left="546"/>
              <w:spacing w:after="0"/>
              <w:rPr>
                <w:sz w:val="20"/>
                <w:szCs w:val="20"/>
                <w:color w:val="auto"/>
              </w:rPr>
            </w:pPr>
            <w:r>
              <w:rPr>
                <w:rFonts w:ascii="Arial" w:cs="Arial" w:eastAsia="Arial" w:hAnsi="Arial"/>
                <w:sz w:val="14"/>
                <w:szCs w:val="14"/>
                <w:b w:val="1"/>
                <w:bCs w:val="1"/>
                <w:color w:val="auto"/>
                <w:w w:val="86"/>
              </w:rPr>
              <w:t>As of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80" w:type="dxa"/>
            <w:vAlign w:val="bottom"/>
          </w:tcPr>
          <w:p>
            <w:pPr>
              <w:jc w:val="right"/>
              <w:ind w:right="18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71,220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Working capital</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61,019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63,372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(85,649)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(41,420)</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56,443</w:t>
            </w:r>
          </w:p>
        </w:tc>
        <w:tc>
          <w:tcPr>
            <w:tcW w:w="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(58,471)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(40,766)</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61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related notes included elsewhere in this report. This discussion contains certain forward-looking statements that involve risk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We developed our first commercial solution, the Afirma Thyroid FNA Analysis, or Afirma, to address a significant unmet need in thyroid nodule diagnosis. In the United States alone, physicians perform over 525,000 fine needle aspiration, or FNA, biopsies annually on thyroid nodules suspicious for cancer, which in approximately 15% to 30% of patients, FNAs analyzed using cytopathology testing alone yield inconclusive, or indeterminate, results. Prior to Afirma, the standard of care for patients with indeterminate cytopathology results was to surgically remove a portion or all of the thyroid. The Afirma solution includes as its centerpiece our Gene Expression Classifier, which we refer to as the GEC. The GEC helps physicians reduce the number of unnecessary surgeries by approximately 50%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Since we commercially launched Afirma in January 2011, we have received over 80,000 FNA samples for evaluation using Afirma and performed approximately 16,000 GECs to resolve indeterminate cytopathology results. We estimate the global, addressable market opportunity for Afirma to be approximately $800 million, with the U.S. market comprising $500 million of the total.</w:t>
      </w:r>
    </w:p>
    <w:p>
      <w:pPr>
        <w:spacing w:after="0" w:line="182"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We market and sell Afirma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97"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auto"/>
        </w:rPr>
        <w:t>We increased the list price for the GEC from $4,275 to $4,875 per test in January 2014, while the list price for routine cytopathology remained at $490 per test. We obtained Medicare coverage for the GEC effective in January 2012 which provides reimbursement at an agreed upon rate. In addition, we received positive coverage decisions for the GEC from UnitedHealthcare in March 2013, Aetna in June 2013, Humana in July 2013, and Cigna in December 2013, and have also received positive coverage decisions from a number of other regional payers. Collectively, these payers represent more than 120 million covered lives. Reimbursement rates vary by payer.</w:t>
      </w:r>
    </w:p>
    <w:p>
      <w:pPr>
        <w:spacing w:after="0" w:line="197" w:lineRule="exact"/>
        <w:rPr>
          <w:sz w:val="20"/>
          <w:szCs w:val="20"/>
          <w:color w:val="auto"/>
        </w:rPr>
      </w:pPr>
    </w:p>
    <w:p>
      <w:pPr>
        <w:jc w:val="both"/>
        <w:ind w:firstLine="404"/>
        <w:spacing w:after="0" w:line="332" w:lineRule="auto"/>
        <w:rPr>
          <w:sz w:val="20"/>
          <w:szCs w:val="20"/>
          <w:color w:val="auto"/>
        </w:rPr>
      </w:pPr>
      <w:r>
        <w:rPr>
          <w:rFonts w:ascii="Arial" w:cs="Arial" w:eastAsia="Arial" w:hAnsi="Arial"/>
          <w:sz w:val="16"/>
          <w:szCs w:val="16"/>
          <w:color w:val="auto"/>
        </w:rPr>
        <w:t>Our revenue increased $10.4 million, or 89%, from $11.6 million for the year ended December 31, 2012 to $21.9 million for the year ended December 31, 2013, and $9.0 million, or 340%, from $2.6 million for the year ended December 31, 2011 to $11.6 million for the year ended December 31, 2012. We incurred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net loss of $25.6 million, $18.7 million and $14.4 million for the years ended December 31, 2013, 2012 and 2011, respectively. As of December 31, 2013, we had an accumulated deficit of $85.6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6"/>
          <w:szCs w:val="16"/>
          <w:color w:val="auto"/>
        </w:rPr>
        <w:t>The growth in our business is tied to the number of FNAs we receive. Approximately 95% of FNAs we receive are for the Afirma solution, which consists of cytopathology, and if the cytopathology finding is indeterminate, the GEC. The remaining approximate 5% of FNAs are received from centers performing cytopathology in their institution where the cytopathology result is indeterminate and we perform the GEC only. Generally 5%-10% of the FNA samples we receive for cytopathology have insufficient cellular material from which to render a cytopathology diagnosis. We only bill the technical component, including slide preparation, for these tests. For results that are benign or suspicious/malignant, we bill for the cytopathology test. If the sample is indeterminate, defined as atypia/follicular lesions of undetermined significance (AUS/FLUS) or suspicious for FN/HCN, we perform the GEC. Historically, approximately 14%-17% of samples we have received for the Afirma solution have yielded indeterminate results by cytopathology. Of the FNA samples sent for GEC testing, approximately 5%-10% have insufficient RNA from which to render a finding. We issue a patient report classifying the sample as GEC Benign, GEC Suspicious or GEC No Result. We bill for the GEC Benign and GEC Suspicious results only. After the GEC is completed, we issue the cytopathology report for the indeterminate samples, and bill for the cytopathology portion of the test at this time.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jc w:val="both"/>
        <w:ind w:firstLine="388"/>
        <w:spacing w:after="0" w:line="289" w:lineRule="auto"/>
        <w:rPr>
          <w:sz w:val="20"/>
          <w:szCs w:val="20"/>
          <w:color w:val="auto"/>
        </w:rPr>
      </w:pPr>
      <w:r>
        <w:rPr>
          <w:rFonts w:ascii="Arial" w:cs="Arial" w:eastAsia="Arial" w:hAnsi="Arial"/>
          <w:sz w:val="16"/>
          <w:szCs w:val="16"/>
          <w:color w:val="auto"/>
        </w:rPr>
        <w:t>We increased our list price for the GEC from $4,275 to $4,875 per test in January 2014, while our list price for routine cytopathology remained at $490 per test.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A significant portion of our revenue is recognized when cash is received. Medicare and three small commercial payers are the only payers with agreed upon reimbursement rates or expected payments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related to Afirma, when we introduce new products we do not expect we will be able to recognize revenue from new products on an accrual basis for some period of time. This may result in continued fluctuations in our revenue.</w:t>
      </w:r>
    </w:p>
    <w:p>
      <w:pPr>
        <w:spacing w:after="0" w:line="186"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As of December 31, 2012, amounts billed for tests processed which were not recognized as revenue upon delivery of a patient report because our accrual revenue recognition criteria were not met and for which we have not recognized either notification of payment or collected cash, totaled $17.0 million. Of this amount, we recognized revenue of $2.6 million in the year ended December 31, 2013.</w:t>
      </w:r>
    </w:p>
    <w:p>
      <w:pPr>
        <w:spacing w:after="0" w:line="194" w:lineRule="exact"/>
        <w:rPr>
          <w:sz w:val="20"/>
          <w:szCs w:val="20"/>
          <w:color w:val="auto"/>
        </w:rPr>
      </w:pPr>
    </w:p>
    <w:p>
      <w:pPr>
        <w:jc w:val="both"/>
        <w:ind w:firstLine="423"/>
        <w:spacing w:after="0" w:line="332" w:lineRule="auto"/>
        <w:rPr>
          <w:sz w:val="20"/>
          <w:szCs w:val="20"/>
          <w:color w:val="auto"/>
        </w:rPr>
      </w:pPr>
      <w:r>
        <w:rPr>
          <w:rFonts w:ascii="Arial" w:cs="Arial" w:eastAsia="Arial" w:hAnsi="Arial"/>
          <w:sz w:val="16"/>
          <w:szCs w:val="16"/>
          <w:color w:val="auto"/>
        </w:rPr>
        <w:t>As of December 31, 2013, amounts billed for tests processed which were not recognized as revenue upon delivery of a patient report because our accrual revenue recognition criteria were not met and for which we have not received either notification of payment or collected cash totaled $40.9 million.</w:t>
      </w:r>
    </w:p>
    <w:p>
      <w:pPr>
        <w:spacing w:after="0" w:line="139"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74"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Afirma tests will favorably impact our liquidity and results of operations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407"/>
        <w:spacing w:after="0" w:line="288" w:lineRule="auto"/>
        <w:rPr>
          <w:sz w:val="20"/>
          <w:szCs w:val="20"/>
          <w:color w:val="auto"/>
        </w:rPr>
      </w:pPr>
      <w:r>
        <w:rPr>
          <w:rFonts w:ascii="Arial" w:cs="Arial" w:eastAsia="Arial" w:hAnsi="Arial"/>
          <w:sz w:val="16"/>
          <w:szCs w:val="16"/>
          <w:color w:val="auto"/>
        </w:rPr>
        <w:t>The $10.0 million fee we received from Genzyme under our co-promotion agreement is being amortized over a four-year period beginning in 2012, and is recorded as a reduction of selling and marketing expenses. Under the agreement, we pay a portion of our cash receipts to Genzyme for co-promoting Afirma, and such amounts are recorded in selling and marketing expense. We incurred $8.6 million and $5.5 million in co-promotion fees in the years ended December 31, 2013 and 2012, respectively. The co-promotion agreement requires that we pay a certain percentage of our cash receipts to Genzyme, which percentage decreases over time. In January 2013, the percentage is 40%, but it will decrease to 32% on March 1, 2014 and remain at that level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7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1"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Our agreement with Genzyme expires in 2027 and either party may terminate the agreement at any time without cause and with six months' prior notice. If we terminate the agreement without cause between January 2014 and January 2015, we will be required to repay 40% of the $10.0 million fee we received. The percentage decreases to 30% of such fee if we were to terminate the agreement between January 2015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January 2016. Subsequent to January 2016, we are not required to repay any portion of the fee in the event we terminate the agreement without cause.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369"/>
        <w:spacing w:after="0" w:line="29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Afirma Malignancy Classifiers, which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488"/>
        <w:spacing w:after="0" w:line="312"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487"/>
        <w:spacing w:after="0" w:line="268" w:lineRule="auto"/>
        <w:rPr>
          <w:sz w:val="20"/>
          <w:szCs w:val="20"/>
          <w:color w:val="auto"/>
        </w:rPr>
      </w:pPr>
      <w:r>
        <w:rPr>
          <w:rFonts w:ascii="Arial" w:cs="Arial" w:eastAsia="Arial" w:hAnsi="Arial"/>
          <w:sz w:val="18"/>
          <w:szCs w:val="18"/>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86" w:lineRule="exact"/>
        <w:rPr>
          <w:sz w:val="20"/>
          <w:szCs w:val="20"/>
          <w:color w:val="auto"/>
        </w:rPr>
      </w:pPr>
    </w:p>
    <w:p>
      <w:pPr>
        <w:jc w:val="both"/>
        <w:ind w:firstLine="532"/>
        <w:spacing w:after="0" w:line="288" w:lineRule="auto"/>
        <w:rPr>
          <w:sz w:val="20"/>
          <w:szCs w:val="20"/>
          <w:color w:val="auto"/>
        </w:rPr>
      </w:pPr>
      <w:r>
        <w:rPr>
          <w:rFonts w:ascii="Arial" w:cs="Arial" w:eastAsia="Arial" w:hAnsi="Arial"/>
          <w:sz w:val="16"/>
          <w:szCs w:val="16"/>
          <w:color w:val="auto"/>
        </w:rPr>
        <w:t>For tests performed where an agreed upon reimbursement rate and/or a predictable history of collections exists, such as in the case of Medicare, we recognize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Upon ultimate collection, the amount received from Medicare and commercial payers with a predictable pattern of payment is compared to previous estimates and the contractual allowance is adjusted accordingly. Our ability to increase our revenue will depend on our ability to penetrate the market, obtain contracted reimbursement from additional third-party payers and increase our collection rate for tests performed.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00"/>
        <w:spacing w:after="0" w:line="290" w:lineRule="auto"/>
        <w:rPr>
          <w:sz w:val="20"/>
          <w:szCs w:val="20"/>
          <w:color w:val="auto"/>
        </w:rPr>
      </w:pPr>
      <w:r>
        <w:rPr>
          <w:rFonts w:ascii="Arial" w:cs="Arial" w:eastAsia="Arial" w:hAnsi="Arial"/>
          <w:sz w:val="16"/>
          <w:szCs w:val="16"/>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process efficiencies and other cost reductions.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21"/>
        <w:spacing w:after="0" w:line="288"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and evaluating various platforms. We expect that in the next 12 months the increase in research and development expenses will be for the continued development and support of Afirma and other new products and programs under development, including Afirma Malignancy Classifiers and our lung program. Specifically, we plan to increase the body of clinical and pharmacoeconomic evidence to support inclusion in additional clinical practice guidelines in order to expand our base of prescribing physicians and achieve broader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for Afirma. In our lung program, we expect to incur expenses related to the collection of prospective samples and advancing the program into product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which fees increase as cash receipts from Afirma increase (test volume is increasing at a greater rate than the contractual rate reduction), the costs of hiring additional internal sales and marketing personnel associated with further penetrating the domestic market and selectively launching in international markets, and marketing and education expenses to drive market penetration and reimbursement.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72"/>
        <w:spacing w:after="0" w:line="290"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group to support anticipated increased demand for our tests and begin to incur expenses related to the documentation of our internal controls in connection with Section 404 of the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from interest on our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is attributable to our borrowings under the loan agreement entered into in June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C convertible preferred stock. In November 2012, we entered into a tranched Series C convertible preferred stock purchase agreement. In connection with the initial closing, we agreed to issue to the purchasers, and the purchasers agreed to purchase, additional shares of the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w:t>
      </w:r>
    </w:p>
    <w:p>
      <w:pPr>
        <w:spacing w:after="0" w:line="172"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In addition, other income (expense), net includes changes in value of the preferred stock warrant liability. In June 2013, in conjunction with the execution of our loan and security agreement with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institution, we issued to the lender a warrant to purchase up to 49,602 shares of Series C convertible preferred stock with an exercise price of $7.56 per share. Upon the draw-down in June 2013 of a $5.0 million term loan, the warrant became exercisable for 24,801 shares. Accordingly, we recorded a liability related to this warrant at the time of the initial close in June 2013 and re-measured the liability at each reporting period with the corresponding gain or loss from the adjustment recorded as other income (expense), net through the conversion of the warrant into a warrant to purchase common stock effective upon the completion of our IPO.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31" w:lineRule="exact"/>
        <w:rPr>
          <w:sz w:val="20"/>
          <w:szCs w:val="20"/>
          <w:color w:val="auto"/>
        </w:rPr>
      </w:pPr>
    </w:p>
    <w:p>
      <w:pPr>
        <w:jc w:val="both"/>
        <w:ind w:firstLine="373"/>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there is a predictable pattern of collectability. These contractual adjustments represent the difference between the list price (the billing rate) and the reimbursement rate set by Medicare and commercial payers. Upon ultimate collection, the amount received from Medicare and commercial payers with a predictable pattern of payment is compared to previous estimates and the contractual allowance is adjusted accordingly.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7" w:lineRule="exact"/>
        <w:rPr>
          <w:sz w:val="20"/>
          <w:szCs w:val="20"/>
          <w:color w:val="auto"/>
        </w:rPr>
      </w:pPr>
    </w:p>
    <w:p>
      <w:pPr>
        <w:jc w:val="both"/>
        <w:ind w:firstLine="452"/>
        <w:spacing w:after="0" w:line="332" w:lineRule="auto"/>
        <w:rPr>
          <w:sz w:val="20"/>
          <w:szCs w:val="20"/>
          <w:color w:val="auto"/>
        </w:rPr>
      </w:pPr>
      <w:r>
        <w:rPr>
          <w:rFonts w:ascii="Arial" w:cs="Arial" w:eastAsia="Arial" w:hAnsi="Arial"/>
          <w:sz w:val="16"/>
          <w:szCs w:val="16"/>
          <w:color w:val="auto"/>
        </w:rPr>
        <w:t>For all services performed, we consider whether or not the following revenue recognition criteria are met: persuasive evidence of an arrangement exists; delivery has occurred or services have been rendered; the fee is fixed or determinable; and collectability is reasonably assured.</w:t>
      </w:r>
    </w:p>
    <w:p>
      <w:pPr>
        <w:spacing w:after="0" w:line="139" w:lineRule="exact"/>
        <w:rPr>
          <w:sz w:val="20"/>
          <w:szCs w:val="20"/>
          <w:color w:val="auto"/>
        </w:rPr>
      </w:pPr>
    </w:p>
    <w:p>
      <w:pPr>
        <w:jc w:val="both"/>
        <w:ind w:firstLine="435"/>
        <w:spacing w:after="0" w:line="254" w:lineRule="auto"/>
        <w:rPr>
          <w:sz w:val="20"/>
          <w:szCs w:val="20"/>
          <w:color w:val="auto"/>
        </w:rPr>
      </w:pPr>
      <w:r>
        <w:rPr>
          <w:rFonts w:ascii="Arial" w:cs="Arial" w:eastAsia="Arial" w:hAnsi="Arial"/>
          <w:sz w:val="18"/>
          <w:szCs w:val="18"/>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 accordingly,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health plans. Some payers may not cover the GEC as ordered by the prescribing physician under their reimbursement policies. We pursue reimbursement from such patients on a case-by-case basis. In the absence of contracted reimbursement coverage or a predictable pattern and history of collectability, we believe that the fee is fixed or determinable and collectability is reasonably assured only upon receipt of third-party payer notification of payment or when cash is received and accordingly, recognize revenue at that time.</w:t>
      </w:r>
    </w:p>
    <w:p>
      <w:pPr>
        <w:spacing w:after="0" w:line="197"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Historically, the amounts of uncollectible individual accounts receivable that have been written off have been consistent with management's expectations. Accounts receivable are written off against the allowance when the appeals process is exhausted or when there is other substantive evidence that the account will not be paid. If the financial conditions of our customers were to deteriorate resulting in an impairment of their ability to make payments, additional allowances may be required.</w:t>
      </w:r>
    </w:p>
    <w:p>
      <w:pPr>
        <w:spacing w:after="0" w:line="198"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If the financial conditions of our customers were to deteriorate, resulting in an impairment of their ability to make payments, additional allowances may be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 The preferred stock liability was extinguished in 2013 and the warrant to purchase Series C convertible preferred stock was converted into a warrant to purchase our common stock as of the close of the IPO.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file U.S. federal income tax returns and tax returns in California, Texas and other states. To date, we have not been audited by the Internal Revenue Service or any state income tax authority.</w:t>
      </w:r>
    </w:p>
    <w:p>
      <w:pPr>
        <w:spacing w:after="0" w:line="186" w:lineRule="exact"/>
        <w:rPr>
          <w:sz w:val="20"/>
          <w:szCs w:val="20"/>
          <w:color w:val="auto"/>
        </w:rPr>
      </w:pPr>
    </w:p>
    <w:p>
      <w:pPr>
        <w:jc w:val="both"/>
        <w:ind w:firstLine="423"/>
        <w:spacing w:after="0" w:line="298" w:lineRule="auto"/>
        <w:rPr>
          <w:sz w:val="20"/>
          <w:szCs w:val="20"/>
          <w:color w:val="auto"/>
        </w:rPr>
      </w:pPr>
      <w:r>
        <w:rPr>
          <w:rFonts w:ascii="Arial" w:cs="Arial" w:eastAsia="Arial" w:hAnsi="Arial"/>
          <w:sz w:val="16"/>
          <w:szCs w:val="16"/>
          <w:color w:val="auto"/>
        </w:rPr>
        <w:t>As of December 31, 2013, our gross deferred tax assets were $32.8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89"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2013. We will continue to maintain a full valuation allowance on our deferred tax assets until there is sufficient evidence to support the reversal of all or some portion of this allowance.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78"/>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Dollar</w:t>
            </w: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7,584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4,182</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30,557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ind w:left="1720"/>
              <w:spacing w:after="0"/>
              <w:rPr>
                <w:sz w:val="20"/>
                <w:szCs w:val="20"/>
                <w:color w:val="auto"/>
              </w:rPr>
            </w:pPr>
            <w:r>
              <w:rPr>
                <w:rFonts w:ascii="Arial" w:cs="Arial" w:eastAsia="Arial" w:hAnsi="Arial"/>
                <w:sz w:val="18"/>
                <w:szCs w:val="18"/>
                <w:color w:val="auto"/>
              </w:rPr>
              <w:t>Loss from operations</w:t>
            </w:r>
          </w:p>
        </w:tc>
        <w:tc>
          <w:tcPr>
            <w:tcW w:w="1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(18,929)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(4,244)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(233)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(2,457)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ind w:left="1720"/>
              <w:spacing w:after="0"/>
              <w:rPr>
                <w:sz w:val="20"/>
                <w:szCs w:val="20"/>
                <w:color w:val="auto"/>
              </w:rPr>
            </w:pPr>
            <w:r>
              <w:rPr>
                <w:rFonts w:ascii="Arial" w:cs="Arial" w:eastAsia="Arial" w:hAnsi="Arial"/>
                <w:sz w:val="18"/>
                <w:szCs w:val="18"/>
                <w:color w:val="auto"/>
              </w:rPr>
              <w:t>Net loss</w:t>
            </w:r>
          </w:p>
        </w:tc>
        <w:tc>
          <w:tcPr>
            <w:tcW w:w="1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(25,580</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(18,649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vMerge w:val="restart"/>
          </w:tcPr>
          <w:p>
            <w:pPr>
              <w:jc w:val="right"/>
              <w:ind w:right="332"/>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Revenue increased $10.3 million, or 88%, for the year ended December 31, 2013 compared to the same period in 2012 primarily as a result of a $7.2 million increase in commercial revenue from increased reimbursement and collections and a $3.1 million increase in Medicare revenue as a result of increased Afirma adoption.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Cost of revenue increased $5.0 million, or 66%, for the year ended December 31, 2013 compared to the same period in 2012. This increase was primarily due to a $4.7 million, or 77%, increase in variable costs that are directly related to the increase in the number of FNAs received, offset in part by continuing refinements in our testing process and economies of scale related to the increase in FNAs. FNAs received increased 23,780, or 92%, to 49,670 in the year ended December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Research and development expense increased $1.2 million, or 18%, for the year ended December 31, 2013 compared to the same period in 2012. This increase was primarily due to a $0.7 million increase in personnel expenses related to a 24% increase in headcount, and a $0.5 million increase in licensing expenses to secure intellectual property to augment our existing thyroid patent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Selling and marketing expense increased $4.1 million, or 48%, for the year ended December 31, 2013 compared to the same period in 2012. This increase was primarily due to a $3.0 million increase in net expense recognized under our co-promotion agreement with Genzyme, partially offset by amortization of the deferred fee, a $0.5 million increase in personnel expenses related to a 28% increase in headcount, a $0.5 million increase in marketing and promotional materials, and a $0.1 million increase in consulting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General and administrative expense increased $4.2 million, or 53%, for the year ended December 31, 2013 compared to the same period in 2012. This increase was primarily due to a $2.0 million increase in personnel expenses related to a 63% increase in headcount, a $1.4 million increase in professional fees primarily due to non-capitalizable IPO related audit and legal services, a $0.4 million increase in stock-based compensation expense primarily related to 2013 option grants, a $0.4 million increase in rent and other facilities expenses primarily due to the opening of the Austin, Texas facility, and a $0.2 million increase in insurance expenses related to higher premiums associated with being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412"/>
        <w:spacing w:after="0" w:line="259" w:lineRule="auto"/>
        <w:rPr>
          <w:sz w:val="20"/>
          <w:szCs w:val="20"/>
          <w:color w:val="auto"/>
        </w:rPr>
      </w:pPr>
      <w:r>
        <w:rPr>
          <w:rFonts w:ascii="Arial" w:cs="Arial" w:eastAsia="Arial" w:hAnsi="Arial"/>
          <w:sz w:val="18"/>
          <w:szCs w:val="18"/>
          <w:color w:val="auto"/>
        </w:rPr>
        <w:t>Interest income increased 150% for the year ended December 31, 2013 compared to the same period in 2012 due primarily to the increase in cash in 2013 from the $59.2 million in net proceeds from the IPO, $12.9 million in net proceeds received from the sale of convertible preferred stock and $4.9 million in net borrowings under our loan and security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8"/>
          <w:szCs w:val="18"/>
          <w:color w:val="auto"/>
        </w:rPr>
        <w:t>Interest expense increased $0.2 million for the year ended December 31, 2013 compared to the same period in 2012. Interest expense of $0.2 million for the year ended December 31, 2013 is interest incurred on the initial June 2013 drawdown of $5.0 million under our loan and security agreement. We did not have any debt in the same period in 2012.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Other income (expense), net, decreased $2.5 million in the year ended December 31, 2013 compared to the same period in 2012. The decrease was primarily related to a $2.4 million increase in the fair value of the preferred stock liability from a gain of $0.3 million in 2012 to a loss of $2.1 million in 2013, and a $0.1 million increase in the fair value of the preferred stock warrant liability. As the preferred stock liability was extinguished in 2013, and the preferred stock warrant liability was converted into a warrant to purchase our common stock upon the completion of the IPO in 2013, any related expenses will not carry forward to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2012 and 2011</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Dollar</w:t>
            </w: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2,546</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17,911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(18,929)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(15,266)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(3,663)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0"/>
        </w:trPr>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(18,649)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firstLine="476"/>
        <w:spacing w:after="0" w:line="332" w:lineRule="auto"/>
        <w:rPr>
          <w:sz w:val="20"/>
          <w:szCs w:val="20"/>
          <w:color w:val="auto"/>
        </w:rPr>
      </w:pPr>
      <w:r>
        <w:rPr>
          <w:rFonts w:ascii="Arial" w:cs="Arial" w:eastAsia="Arial" w:hAnsi="Arial"/>
          <w:sz w:val="16"/>
          <w:szCs w:val="16"/>
          <w:color w:val="auto"/>
        </w:rPr>
        <w:t>Revenue increased $9.0 million, or 340%, for the year ended December 31, 2012 compared to the same period in 2011 primarily due to a $6.4 million increase in revenue from increased Afirma adoption, resulting in increased collections, and a $2.6 million increase in revenue from Medicare.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Cost of revenue increased $4.7 million, or 159%, for the year ended December 31, 2012 compared to the same period in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20" w:firstLine="463"/>
        <w:spacing w:after="0" w:line="306" w:lineRule="auto"/>
        <w:rPr>
          <w:sz w:val="20"/>
          <w:szCs w:val="20"/>
          <w:color w:val="auto"/>
        </w:rPr>
      </w:pPr>
      <w:r>
        <w:rPr>
          <w:rFonts w:ascii="Arial" w:cs="Arial" w:eastAsia="Arial" w:hAnsi="Arial"/>
          <w:sz w:val="16"/>
          <w:szCs w:val="16"/>
          <w:color w:val="auto"/>
        </w:rPr>
        <w:t>Research and development expenses were essentially flat in the year ended December 31, 2012 compared to the same period in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Selling and marketing expenses increased $5.5 million, or 188%, in the year ended December 31, 2012 compared to the same period in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04"/>
        <w:spacing w:after="0" w:line="306" w:lineRule="auto"/>
        <w:rPr>
          <w:sz w:val="20"/>
          <w:szCs w:val="20"/>
          <w:color w:val="auto"/>
        </w:rPr>
      </w:pPr>
      <w:r>
        <w:rPr>
          <w:rFonts w:ascii="Arial" w:cs="Arial" w:eastAsia="Arial" w:hAnsi="Arial"/>
          <w:sz w:val="16"/>
          <w:szCs w:val="16"/>
          <w:color w:val="auto"/>
        </w:rPr>
        <w:t>The $2.5 million, or 47%, increase in general and administrative expenses in the year ended December 31, 2012 compared to the same period in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413"/>
        <w:spacing w:after="0" w:line="255" w:lineRule="auto"/>
        <w:rPr>
          <w:sz w:val="20"/>
          <w:szCs w:val="20"/>
          <w:color w:val="auto"/>
        </w:rPr>
      </w:pPr>
      <w:r>
        <w:rPr>
          <w:rFonts w:ascii="Arial" w:cs="Arial" w:eastAsia="Arial" w:hAnsi="Arial"/>
          <w:sz w:val="18"/>
          <w:szCs w:val="18"/>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We have incurred net losses since our inception. For the years ended December 31, 2013, 2012 and 2011, we had a net loss of $25.6 million, $18.6 million and $14.4 million, respectively, and we expect to incur additional losses in the foreseeable future. As of December 31, 2013, we had an accumulated deficit of $85.6 million. To date, we have generated only limited revenue, and we may never achieve revenue sufficient to offset our expenses.</w:t>
      </w:r>
    </w:p>
    <w:p>
      <w:pPr>
        <w:spacing w:after="0" w:line="161" w:lineRule="exact"/>
        <w:rPr>
          <w:sz w:val="20"/>
          <w:szCs w:val="20"/>
          <w:color w:val="auto"/>
        </w:rPr>
      </w:pPr>
    </w:p>
    <w:p>
      <w:pPr>
        <w:jc w:val="both"/>
        <w:ind w:firstLine="477"/>
        <w:spacing w:after="0" w:line="256" w:lineRule="auto"/>
        <w:rPr>
          <w:sz w:val="20"/>
          <w:szCs w:val="20"/>
          <w:color w:val="auto"/>
        </w:rPr>
      </w:pPr>
      <w:r>
        <w:rPr>
          <w:rFonts w:ascii="Arial" w:cs="Arial" w:eastAsia="Arial" w:hAnsi="Arial"/>
          <w:sz w:val="18"/>
          <w:szCs w:val="18"/>
          <w:color w:val="auto"/>
        </w:rPr>
        <w:t>Since inception, we have received $153.4 million in net proceeds from various sources with which to finance our operations, including net proceeds of $78.6 million from sales of our preferred stock, net proceeds of $59.2 million from our IPO, $10.0 million from the Genzyme co-promotion agreement, net borrowings of $4.9 million under our loan and security agreement, and $0.7 million from the exercise of stock options. As of December 31, 2013 and December 31, 2012, we had $71.2 million and $14.0 million of cash and cash equivalents, respectively.</w:t>
      </w:r>
    </w:p>
    <w:p>
      <w:pPr>
        <w:spacing w:after="0" w:line="19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w:t>
      </w:r>
    </w:p>
    <w:p>
      <w:pPr>
        <w:spacing w:after="0" w:line="38" w:lineRule="exact"/>
        <w:rPr>
          <w:sz w:val="20"/>
          <w:szCs w:val="20"/>
          <w:color w:val="auto"/>
        </w:rPr>
      </w:pPr>
    </w:p>
    <w:p>
      <w:pPr>
        <w:ind w:firstLine="8"/>
        <w:spacing w:after="0" w:line="261" w:lineRule="auto"/>
        <w:tabs>
          <w:tab w:leader="none" w:pos="2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5.88% or (b) the three-year U.S. Treasury note rate, plus 5.40%. We are required to repay any outstanding principal amounts of each loan in 30 equal monthly installments beginning 18 months after the date of each borrowing. In each case, on the date of our final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principal payment, we must also pay an end-of-term payment equal to 4.45% of the amount borrowed. We may, at our option, prepay the term loan borrowings by paying the lender a prepayment premium.</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97"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auto"/>
        </w:rPr>
        <w:t>In connection with the draw-down of the initial $5.0 million term loan under the loan and security agreement, we issued the lender a warrant to purchase 99,206 shares of our Series C preferred stock, which became exercisable for 24,801 shares of our common stock upon completion of the IPO. The warrant will expire on the seventh anniversary of the IPO. If we draw-down the second term loan under the loan and security agreement, the warrant will become exercisable for an additional 24,801 shares on identical terms.</w:t>
      </w:r>
    </w:p>
    <w:p>
      <w:pPr>
        <w:spacing w:after="0" w:line="197"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6"/>
          <w:szCs w:val="16"/>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Malignancy Classifiers, continue our research and development efforts with respect to our lung program and further develop our product pipeline, and manage increases in billing and cash collection transactional volumes, and the costs of being a public company. Cash used to fund operating expenses is impacted by the timing of when we pay expenses, as reflected in the change in our outstanding accounts payable and accrued expenses.</w:t>
      </w:r>
    </w:p>
    <w:p>
      <w:pPr>
        <w:spacing w:after="0" w:line="172" w:lineRule="exact"/>
        <w:rPr>
          <w:sz w:val="20"/>
          <w:szCs w:val="20"/>
          <w:color w:val="auto"/>
        </w:rPr>
      </w:pPr>
    </w:p>
    <w:p>
      <w:pPr>
        <w:jc w:val="both"/>
        <w:ind w:firstLine="502"/>
        <w:spacing w:after="0" w:line="285" w:lineRule="auto"/>
        <w:rPr>
          <w:sz w:val="20"/>
          <w:szCs w:val="20"/>
          <w:color w:val="auto"/>
        </w:rPr>
      </w:pPr>
      <w:r>
        <w:rPr>
          <w:rFonts w:ascii="Arial" w:cs="Arial" w:eastAsia="Arial" w:hAnsi="Arial"/>
          <w:sz w:val="16"/>
          <w:szCs w:val="16"/>
          <w:color w:val="auto"/>
        </w:rPr>
        <w:t>We expect that our near- and longer-term liquidity requirements will continue to consist of selling and marketing expenses, research and development expenses, working capital, and general corporate expenses associated with the growth of our business. Based on our current business plan, we believe our existing cash and cash equivalents as of December 31, 2013 and our revenue from the sale of Afirma will be sufficient to meet our anticipated cash requirements for at least the next 12 months.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years ended December 31, 2013 and 2012:</w:t>
      </w:r>
    </w:p>
    <w:p>
      <w:pPr>
        <w:spacing w:after="0" w:line="275"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16294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7220"/>
        <w:spacing w:after="0"/>
        <w:tabs>
          <w:tab w:leader="none" w:pos="8100" w:val="left"/>
          <w:tab w:leader="none" w:pos="90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-6985</wp:posOffset>
            </wp:positionV>
            <wp:extent cx="16294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78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(19,159)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(13,524)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0" w:type="dxa"/>
            <w:vAlign w:val="bottom"/>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77,659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15,065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18,646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31"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Cash used in operating activities for the year ended December 31, 2013 was $19.2 million. The net loss of $25.6 million was offset by non-cash charges of $2.1 million for the change in the value of the preferred stock liability, $2.5 million in amortization of the deferred fee received from Genzyme, $1.2 million of stock based compensation, $1.0 million of depreciation and amortization, $0.1 million of bad debt expense, a $0.1 million charge for the change in value of the preferred stock warrant liability, and $0.1 million for non-cash interest on the outstanding debt. The increase in net changes in assets and liabilities of $4.3 million was primarily due to a $7.2 million increase in accounts payable and accrued liabilities due to timing of payments offset by a $2.9 million increase in assets, including a $0.7 million increase in prepaid expenses due primarily to increased public company related prepaid insurance premiums, a $1.5 million increase in supply inventory due to the increase in volume of testing performed, and a $0.7 million increase in accounts receivable due to increased revenues from Medicare.</w:t>
      </w:r>
    </w:p>
    <w:p>
      <w:pPr>
        <w:spacing w:after="0" w:line="172"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 $0.8 million increase in supplies inventory related to increased test demand.</w:t>
      </w:r>
    </w:p>
    <w:p>
      <w:pPr>
        <w:spacing w:after="0" w:line="174"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3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Cash used in investing activities is primarily related to the acquisition of property and equipment of $1.3 million, $1.5 million and $0.3 million for the years ended December 31, 2013, 2012 and 2011, respectively. Purchases of property and equipment were primarily for leasehold improvements and laboratory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31" w:lineRule="exact"/>
        <w:rPr>
          <w:sz w:val="20"/>
          <w:szCs w:val="20"/>
          <w:color w:val="auto"/>
        </w:rPr>
      </w:pPr>
    </w:p>
    <w:p>
      <w:pPr>
        <w:jc w:val="both"/>
        <w:ind w:right="20" w:firstLine="361"/>
        <w:spacing w:after="0" w:line="332" w:lineRule="auto"/>
        <w:rPr>
          <w:sz w:val="20"/>
          <w:szCs w:val="20"/>
          <w:color w:val="auto"/>
        </w:rPr>
      </w:pPr>
      <w:r>
        <w:rPr>
          <w:rFonts w:ascii="Arial" w:cs="Arial" w:eastAsia="Arial" w:hAnsi="Arial"/>
          <w:sz w:val="16"/>
          <w:szCs w:val="16"/>
          <w:color w:val="auto"/>
        </w:rPr>
        <w:t>Cash provided by financing activities for the year ended December 31, 2013 of $77.7 million was primarily from the receipt of $59.9 million in net proceeds from the issuance of common stock in connection with our IPO and from the exercise of options to purchase our common stock, the receipt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$12.9 million in net proceeds from the sale of our convertible preferred stock, and net borrowings of $4.9 million under the loan and security agreement.</w:t>
      </w:r>
    </w:p>
    <w:p>
      <w:pPr>
        <w:spacing w:after="0" w:line="248"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Cash provided by financing activities for the years ended December 31, 2012 and 2011 of $15.1 million and $18.6 million, respectively, were primarily due to the net proceeds from the sale of our convertible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contractual obligations as of December 31, 2013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66"/>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w w:val="87"/>
              </w:rPr>
              <w:t>3 to 5</w:t>
            </w:r>
          </w:p>
        </w:tc>
        <w:tc>
          <w:tcPr>
            <w:tcW w:w="1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Years</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6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Volume purchase commitment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r>
      <w:tr>
        <w:trPr>
          <w:trHeight w:val="20"/>
        </w:trPr>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6"/>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8,879</w:t>
            </w:r>
          </w:p>
        </w:tc>
      </w:tr>
      <w:tr>
        <w:trPr>
          <w:trHeight w:val="20"/>
        </w:trPr>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In February 2010, we entered into a non-cancelable lease agreement for our headquarters and laboratory space in South San Francisco, California. The lease expires in March 2016.</w:t>
      </w:r>
    </w:p>
    <w:p>
      <w:pPr>
        <w:spacing w:after="0" w:line="186"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86"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39"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In February 2013, we entered into a non-cancelable volume purchase agreement with a supplier to purchase a minimum quantity of supplies inventory at a fixed price. The total amount of the arrangement was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3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649"/>
        <w:spacing w:after="0" w:line="256" w:lineRule="auto"/>
        <w:rPr>
          <w:sz w:val="20"/>
          <w:szCs w:val="20"/>
          <w:color w:val="auto"/>
        </w:rPr>
      </w:pPr>
      <w:r>
        <w:rPr>
          <w:rFonts w:ascii="Arial" w:cs="Arial" w:eastAsia="Arial" w:hAnsi="Arial"/>
          <w:sz w:val="18"/>
          <w:szCs w:val="18"/>
          <w:color w:val="auto"/>
        </w:rPr>
        <w:t xml:space="preserve">In July 2013, Financial Accounting Standards Board, or FASB, issued Accounting Standards Update, or ASU, No. 2013-11, </w:t>
      </w:r>
      <w:r>
        <w:rPr>
          <w:rFonts w:ascii="Arial" w:cs="Arial" w:eastAsia="Arial" w:hAnsi="Arial"/>
          <w:sz w:val="18"/>
          <w:szCs w:val="18"/>
          <w:i w:val="1"/>
          <w:iCs w:val="1"/>
          <w:color w:val="auto"/>
        </w:rPr>
        <w:t>Presentation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Unrecognized Tax Benefit when a Net Operating Loss Carryforward, a Similar Tax Loss, or a Tax Credit Carryforward Exists (a consensus of the FASB Emerging Issues Task Force). </w:t>
      </w:r>
      <w:r>
        <w:rPr>
          <w:rFonts w:ascii="Arial" w:cs="Arial" w:eastAsia="Arial" w:hAnsi="Arial"/>
          <w:sz w:val="18"/>
          <w:szCs w:val="18"/>
          <w:color w:val="auto"/>
        </w:rPr>
        <w:t>The amendments in this ASU provide guidance on the financial statements presentation of an unrecognized tax benefit when a net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loss carryforward, a similar tax loss, or a tax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are currently assessing the impact of this ASU on our financial statements.</w:t>
      </w:r>
    </w:p>
    <w:p>
      <w:pPr>
        <w:spacing w:after="0" w:line="167"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Reporting of Amounts Reclassified Out of Accumulated Other Comprehensive Income</w:t>
      </w:r>
      <w:r>
        <w:rPr>
          <w:rFonts w:ascii="Arial" w:cs="Arial" w:eastAsia="Arial" w:hAnsi="Arial"/>
          <w:sz w:val="18"/>
          <w:szCs w:val="18"/>
          <w:color w:val="auto"/>
        </w:rPr>
        <w:t>. This ASU requires reporting and disclosure about changes in accumulated other comprehensive income balances and reclassifications out of accumulated other comprehensive income. We adopted this guidance as of January 1, 2013 on a prospective basis and the adoption did not have a material effect on our financial statements as we do not have comprehensive income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$71.2 million and $14.0 million as of December 31, 2013 and December 31, 2012,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audited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320" w:type="dxa"/>
            <w:vAlign w:val="bottom"/>
            <w:gridSpan w:val="10"/>
            <w:vMerge w:val="restart"/>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320" w:type="dxa"/>
            <w:vAlign w:val="bottom"/>
            <w:gridSpan w:val="10"/>
            <w:vMerge w:val="continue"/>
          </w:tcPr>
          <w:p>
            <w:pPr>
              <w:spacing w:after="0"/>
              <w:rPr>
                <w:sz w:val="14"/>
                <w:szCs w:val="14"/>
                <w:color w:val="auto"/>
              </w:rPr>
            </w:pPr>
          </w:p>
        </w:tc>
        <w:tc>
          <w:tcPr>
            <w:tcW w:w="66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Balance Sheets as of December 31, 2013 and 2012</w:t>
              </w:r>
            </w:hyperlink>
          </w:p>
        </w:tc>
        <w:tc>
          <w:tcPr>
            <w:tcW w:w="47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0"/>
          </w:tcPr>
          <w:p>
            <w:pPr>
              <w:spacing w:after="0" w:line="19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Statements of Operations and Comprehensive Loss for the Years Ended December 31, 2013, 2012 and 2011</w:t>
              </w:r>
            </w:hyperlink>
          </w:p>
        </w:tc>
        <w:tc>
          <w:tcPr>
            <w:tcW w:w="660" w:type="dxa"/>
            <w:vAlign w:val="bottom"/>
            <w:gridSpan w:val="2"/>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0"/>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Statements of Convertible Preferred Stock and Stockholders' Equity (Deficit) for the Years Ended December 31,</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2013, 2012 and 2011</w:t>
              </w:r>
            </w:hyperlink>
          </w:p>
        </w:tc>
        <w:tc>
          <w:tcPr>
            <w:tcW w:w="420" w:type="dxa"/>
            <w:vAlign w:val="bottom"/>
          </w:tcPr>
          <w:p>
            <w:pPr>
              <w:spacing w:after="0"/>
              <w:rPr>
                <w:sz w:val="17"/>
                <w:szCs w:val="17"/>
                <w:color w:val="auto"/>
              </w:rPr>
            </w:pPr>
          </w:p>
        </w:tc>
        <w:tc>
          <w:tcPr>
            <w:tcW w:w="660" w:type="dxa"/>
            <w:vAlign w:val="bottom"/>
            <w:gridSpan w:val="2"/>
          </w:tcPr>
          <w:p>
            <w:pPr>
              <w:jc w:val="right"/>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Statements of Cash Flows for the Years Ended December 31, 2013, 2012 and 2011</w:t>
              </w:r>
            </w:hyperlink>
          </w:p>
        </w:tc>
        <w:tc>
          <w:tcPr>
            <w:tcW w:w="660" w:type="dxa"/>
            <w:vAlign w:val="bottom"/>
            <w:gridSpan w:val="2"/>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Notes to the Financial Statements</w:t>
              </w:r>
            </w:hyperlink>
          </w:p>
        </w:tc>
        <w:tc>
          <w:tcPr>
            <w:tcW w:w="25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60" w:type="dxa"/>
            <w:vAlign w:val="bottom"/>
            <w:gridSpan w:val="2"/>
          </w:tcPr>
          <w:p>
            <w:pPr>
              <w:spacing w:after="0"/>
              <w:rPr>
                <w:sz w:val="24"/>
                <w:szCs w:val="24"/>
                <w:color w:val="auto"/>
              </w:rPr>
            </w:pPr>
          </w:p>
        </w:tc>
        <w:tc>
          <w:tcPr>
            <w:tcW w:w="2340" w:type="dxa"/>
            <w:vAlign w:val="bottom"/>
            <w:tcBorders>
              <w:top w:val="single" w:sz="8" w:color="0000EE"/>
            </w:tcBorders>
            <w:gridSpan w:val="3"/>
          </w:tcPr>
          <w:p>
            <w:pPr>
              <w:spacing w:after="0"/>
              <w:rPr>
                <w:sz w:val="24"/>
                <w:szCs w:val="24"/>
                <w:color w:val="auto"/>
              </w:rPr>
            </w:pPr>
          </w:p>
        </w:tc>
        <w:tc>
          <w:tcPr>
            <w:tcW w:w="3460" w:type="dxa"/>
            <w:vAlign w:val="bottom"/>
            <w:gridSpan w:val="3"/>
          </w:tcPr>
          <w:p>
            <w:pPr>
              <w:jc w:val="right"/>
              <w:ind w:right="1160"/>
              <w:spacing w:after="0"/>
              <w:rPr>
                <w:sz w:val="20"/>
                <w:szCs w:val="20"/>
                <w:color w:val="auto"/>
              </w:rPr>
            </w:pPr>
            <w:r>
              <w:rPr>
                <w:rFonts w:ascii="Arial" w:cs="Arial" w:eastAsia="Arial" w:hAnsi="Arial"/>
                <w:sz w:val="18"/>
                <w:szCs w:val="18"/>
                <w:color w:val="auto"/>
              </w:rPr>
              <w:t>79</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9" w:lineRule="exact"/>
        <w:rPr>
          <w:sz w:val="20"/>
          <w:szCs w:val="20"/>
          <w:color w:val="auto"/>
        </w:rPr>
      </w:pPr>
    </w:p>
    <w:p>
      <w:pPr>
        <w:jc w:val="both"/>
        <w:ind w:firstLine="525"/>
        <w:spacing w:after="0" w:line="28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of convertible preferred stock and stockholders' deficit, and of cash flows present fairly, in all material respects, the financial position of Veracyte, Inc. at December 31, 2013 and 2012, and the results of its operations and its cash flows for each of the three years in the period ended December 31, 2013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6"/>
              </w:rPr>
              <w:t>Accounts receivable, net of allowance of $107 and $222 as of December 31, 2013 and 2012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Supplies 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Genzyme co-promotion fee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Preferred stock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89"/>
              </w:rPr>
              <w:t>Convertible preferred stock, $0.001 par value; 0 and 59,147,999 shares authorized, 0 and 53,084,507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shares issued and outstanding as of December 31, 2013 and December 31, 2012; aggregate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liquidation value of $0 and $65,835 as of December 31, 2013 and 2012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$0.001 par value; 125,000,000 and 77,000,000 shares authorized, 21,143,313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667,684 shares issued and outstanding as of December 31, 2013 and 2012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142,071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Preferred stock, $0.001 par value; 5,000,000 and 0 shares authorized, 0 shares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2013 and 2012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(85,649)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(60,069)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(58,471)</w:t>
            </w:r>
          </w:p>
        </w:tc>
        <w:tc>
          <w:tcPr>
            <w:tcW w:w="0" w:type="dxa"/>
            <w:vAlign w:val="bottom"/>
          </w:tcPr>
          <w:p>
            <w:pPr>
              <w:spacing w:after="0"/>
              <w:rPr>
                <w:sz w:val="1"/>
                <w:szCs w:val="1"/>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(18,929)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80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(18,649</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4,158,664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650,333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580,061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Convertible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5"/>
                <w:szCs w:val="5"/>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1"/>
              </w:rPr>
              <w:t>Equity (Deficit)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30,249,334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30,674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556,844</w:t>
            </w:r>
          </w:p>
        </w:tc>
        <w:tc>
          <w:tcPr>
            <w:tcW w:w="540" w:type="dxa"/>
            <w:vAlign w:val="bottom"/>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(26,975)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(26,811)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8"/>
              </w:rPr>
              <w:t>Issuance of Series B convertible preferred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40"/>
              <w:spacing w:after="0" w:line="149" w:lineRule="exact"/>
              <w:rPr>
                <w:sz w:val="20"/>
                <w:szCs w:val="20"/>
                <w:color w:val="auto"/>
              </w:rPr>
            </w:pPr>
            <w:r>
              <w:rPr>
                <w:rFonts w:ascii="Arial" w:cs="Arial" w:eastAsia="Arial" w:hAnsi="Arial"/>
                <w:sz w:val="14"/>
                <w:szCs w:val="14"/>
                <w:color w:val="auto"/>
                <w:w w:val="91"/>
              </w:rPr>
              <w:t>stock in February 2011 at $1.25 per share,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net of issuance costs of $1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7,449,335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9,311</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Series B convertible preferred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stock in July 2011 at $1.25 per share, net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of issuance costs of $1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7,449,330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9,311</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6"/>
              </w:rPr>
              <w:t>Common stock issued on exercise of stock</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options</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38,097</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378</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7"/>
              </w:rPr>
              <w:t>Stock-based compensation expense (non-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(14,445)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(14,445)</w:t>
            </w:r>
          </w:p>
        </w:tc>
        <w:tc>
          <w:tcPr>
            <w:tcW w:w="0" w:type="dxa"/>
            <w:vAlign w:val="bottom"/>
          </w:tcPr>
          <w:p>
            <w:pPr>
              <w:spacing w:after="0"/>
              <w:rPr>
                <w:sz w:val="1"/>
                <w:szCs w:val="1"/>
                <w:color w:val="auto"/>
              </w:rPr>
            </w:pPr>
          </w:p>
        </w:tc>
      </w:tr>
      <w:tr>
        <w:trPr>
          <w:trHeight w:val="142"/>
        </w:trPr>
        <w:tc>
          <w:tcPr>
            <w:tcW w:w="2600" w:type="dxa"/>
            <w:vAlign w:val="bottom"/>
            <w:gridSpan w:val="2"/>
          </w:tcPr>
          <w:p>
            <w:pPr>
              <w:spacing w:after="0" w:line="142" w:lineRule="exact"/>
              <w:rPr>
                <w:sz w:val="20"/>
                <w:szCs w:val="20"/>
                <w:color w:val="auto"/>
              </w:rPr>
            </w:pPr>
            <w:r>
              <w:rPr>
                <w:rFonts w:ascii="Arial" w:cs="Arial" w:eastAsia="Arial" w:hAnsi="Arial"/>
                <w:sz w:val="14"/>
                <w:szCs w:val="14"/>
                <w:color w:val="auto"/>
              </w:rPr>
              <w:t>Balance—December 31, 2011</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45,147,999</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49,296</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594,941</w:t>
            </w:r>
          </w:p>
        </w:tc>
        <w:tc>
          <w:tcPr>
            <w:tcW w:w="160" w:type="dxa"/>
            <w:vAlign w:val="bottom"/>
          </w:tcPr>
          <w:p>
            <w:pPr>
              <w:spacing w:after="0"/>
              <w:rPr>
                <w:sz w:val="12"/>
                <w:szCs w:val="12"/>
                <w:color w:val="auto"/>
              </w:rPr>
            </w:pPr>
          </w:p>
        </w:tc>
        <w:tc>
          <w:tcPr>
            <w:tcW w:w="38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653</w:t>
            </w:r>
          </w:p>
        </w:tc>
        <w:tc>
          <w:tcPr>
            <w:tcW w:w="18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(41,420)</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(40,766)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Series C convertible preferred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stock in November and December 2012</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at $1.89 per share, net of issuance costs</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9"/>
              </w:rPr>
              <w:t>of $63 and $861 preferred stock liability</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7,936,508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14,076</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6"/>
              </w:rPr>
              <w:t>Common stock issued on exercise of stock</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options</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72,743</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7"/>
              </w:rPr>
              <w:t>Stock-based compensation expense (non-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(18,649)</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2012</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53,084,507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63,372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667,684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(60,069)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(58,471)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7"/>
              </w:rPr>
              <w:t>Issuance of Series C convertible preferred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40"/>
              <w:spacing w:after="0" w:line="149" w:lineRule="exact"/>
              <w:rPr>
                <w:sz w:val="20"/>
                <w:szCs w:val="20"/>
                <w:color w:val="auto"/>
              </w:rPr>
            </w:pPr>
            <w:r>
              <w:rPr>
                <w:rFonts w:ascii="Arial" w:cs="Arial" w:eastAsia="Arial" w:hAnsi="Arial"/>
                <w:sz w:val="14"/>
                <w:szCs w:val="14"/>
                <w:color w:val="auto"/>
                <w:w w:val="92"/>
              </w:rPr>
              <w:t>stock in June 2013 at $1.89 per share, net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of issuance costs of $53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6,904,761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12,997</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Extinguishment of preferred stock liability</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9"/>
              </w:rPr>
              <w:t>Issuance of common stock on exercise of</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stock options</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377,966</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552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552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Issuance of common stock in initial public</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offering, net of discounts and</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commissions of $4,642 and issuance</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costs of $2,507</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5,100,351</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59,151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59,156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5"/>
              </w:rPr>
              <w:t>Conversion of preferred stock into common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stock upon initial public offering</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(59,989,268)</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(79,022)</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14,997,312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79,007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79,022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Reclassification of preferred stock warrant</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liability into additional paid-in capital</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upon initial public offering</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rPr>
              <w:t>Stock-based compensation expense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1,041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1,041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Stock-based compensation expense (non-</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employee)</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subject to repurchase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(25,580)</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2013</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21,143,313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142,071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(85,649)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56,443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(18,649)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(14,445)</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Loss on write-off of property and equipment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Genzyme co-promotion fee amortization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Change in value of preferred stock liability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value of preferred stock warrant liability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debt balloon payment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Supplies inventory</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current 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Accrued liabilities and deferred 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Genzyme co-promotion fee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(19,159)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(7,167)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(13,524)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in initial public offering, gross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the exercise of common stock options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77,659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18,646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71,220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14,002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Supplementary cash flow information of non-cash investing and financing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Purchases of property and equipment included in 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purchases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Preferred stock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Transfer of preferred stock liability to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Convertible preferred stock issuance costs included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Conversion of preferred stock warrant liability to 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IPO costs included in 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on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Transfer of equity-based compensation from liabilities to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1" w:lineRule="exact"/>
        <w:rPr>
          <w:sz w:val="20"/>
          <w:szCs w:val="20"/>
          <w:color w:val="auto"/>
        </w:rPr>
      </w:pPr>
    </w:p>
    <w:p>
      <w:pPr>
        <w:jc w:val="both"/>
        <w:ind w:firstLine="390"/>
        <w:spacing w:after="0" w:line="288" w:lineRule="auto"/>
        <w:rPr>
          <w:sz w:val="20"/>
          <w:szCs w:val="20"/>
          <w:color w:val="auto"/>
        </w:rPr>
      </w:pPr>
      <w:r>
        <w:rPr>
          <w:rFonts w:ascii="Arial" w:cs="Arial" w:eastAsia="Arial" w:hAnsi="Arial"/>
          <w:sz w:val="16"/>
          <w:szCs w:val="16"/>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firstLine="369"/>
        <w:spacing w:after="0" w:line="253" w:lineRule="auto"/>
        <w:rPr>
          <w:sz w:val="20"/>
          <w:szCs w:val="20"/>
          <w:color w:val="auto"/>
        </w:rPr>
      </w:pPr>
      <w:r>
        <w:rPr>
          <w:rFonts w:ascii="Arial" w:cs="Arial" w:eastAsia="Arial" w:hAnsi="Arial"/>
          <w:sz w:val="18"/>
          <w:szCs w:val="18"/>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convertible preferred stock was also effected in connection with the reverse stock split. The financial statements have not been retroactively adjusted to give effect to the conversion of the preferred stock into 0.25 of a share of common stock upon the closing of the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8"/>
          <w:szCs w:val="18"/>
          <w:color w:val="auto"/>
        </w:rPr>
        <w:t>On November 4, 2013, the Company completed an initial public offering ("IPO") of its common stock. In connection with its IPO, the Company issued and sold 5,000,000 shares of its common stock at a price to the public of $13.00 per share. Another 100,351 shares were issued on December 2, 2013. As a result of the IPO, the Company received approximately $59.2 million in net proceeds, after deducting underwriting discounts and commissions of $4.6 million and offering expenses of $2.5 million payable by the Company. In connection with the IPO, the Company's outstanding shares of convertible preferred stock were automatically converted into 14,997,312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39"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9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94"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Through December 31, 2013, all of the Company's revenues are derived from the sale of Afirma. The Company's solution to date has been delivered primarily to physicians in the United States. The Company's significant third-party payers and their related revenue as a percentage of total revenue are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Aetna</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UnitedHealthcare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6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6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89"/>
        <w:spacing w:after="0" w:line="268" w:lineRule="auto"/>
        <w:rPr>
          <w:sz w:val="20"/>
          <w:szCs w:val="20"/>
          <w:color w:val="auto"/>
        </w:rPr>
      </w:pPr>
      <w:r>
        <w:rPr>
          <w:rFonts w:ascii="Arial" w:cs="Arial" w:eastAsia="Arial" w:hAnsi="Arial"/>
          <w:sz w:val="18"/>
          <w:szCs w:val="18"/>
          <w:color w:val="auto"/>
        </w:rPr>
        <w:t>Accounts receivable from Medicare amounted to 78% and 87% of accounts receivable as of December 31, 2013 and 2012. No other third-party payer represented more than 10% of the Company's accounts receivable balances for these periods.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Deposits of $118,000 and $168,000 as of December 31, 2013 and 2012, respectively, were restricted from withdrawal and held by a bank in the form of certificates of deposit and collateral for letters of credit. The balance as of December 31, 2013 and 2012 consists of a letter of credit totaling $118,000 held as security for the lease of the Company's office space in South San Francisco, California, and in 2012 the Company also had a certificate of deposit of $50,000 held as collateral for payment of the Company's credit cards.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other substantive evidence that the account will not be paid. If the financial condition of our customers deteriorates, resulting in an impairment of their ability to make payment, additional allowances may be required.</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6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gridSpan w:val="4"/>
          </w:tcPr>
          <w:p>
            <w:pPr>
              <w:jc w:val="right"/>
              <w:ind w:right="13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and any resulting gain or loss is reflected in the statements of operations and comprehensive loss in the period realized.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right="20" w:firstLine="478"/>
        <w:spacing w:after="0" w:line="332"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39"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During the years ended December 31, 2013 and 2012, the Company capitalized $212,000 and $173,000 of software development costs. Amortization expense totaled $108,000 and $47,000, for the years ended December 31, 2013 and 2012, respectively. The total cost, accumulated depreciation and net book value was $482,000, $195,000 and $287,000 at December 31, 2013, and was $271,000, $87,000 and $184,000 at December 31, 2012 and are included in property and equipment in the Company's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2013 and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2013 and 2012, the Company accrued $1.1 million and $0.7 million, respectively, for liabilities associated with these employee and executive bonus plans. As more fully discussed in Note 13 to the financial statements, a portion of the 2012 bonus accruals was settled with equity awards issued subsequent to the 2012 fiscal year 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carriers on an accrual basis, net of contractual adjustments, when there is a predictable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pattern of collectability. These contractual adjustments represent the difference between the list price (the billing rate) and the reimbursement rate set by Medicare or commercial payers. Upon ultimate collection, the amount received from Medicare and commercial payers with a predictable pattern of payment is compared to previous estimates and the contractual allowance is adjusted accordingly. Until a contract has been negotiated with a commercial carrier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the related revenue is only recognized upon the earlier of payment notification, if applicable, or cash receipt.</w:t>
      </w:r>
    </w:p>
    <w:p>
      <w:pPr>
        <w:spacing w:after="0" w:line="172" w:lineRule="exact"/>
        <w:rPr>
          <w:sz w:val="20"/>
          <w:szCs w:val="20"/>
          <w:color w:val="auto"/>
        </w:rPr>
      </w:pPr>
    </w:p>
    <w:p>
      <w:pPr>
        <w:jc w:val="both"/>
        <w:ind w:right="20" w:firstLine="362"/>
        <w:spacing w:after="0" w:line="332" w:lineRule="auto"/>
        <w:rPr>
          <w:sz w:val="20"/>
          <w:szCs w:val="20"/>
          <w:color w:val="auto"/>
        </w:rPr>
      </w:pPr>
      <w:r>
        <w:rPr>
          <w:rFonts w:ascii="Arial" w:cs="Arial" w:eastAsia="Arial" w:hAnsi="Arial"/>
          <w:sz w:val="16"/>
          <w:szCs w:val="16"/>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39"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560"/>
        <w:spacing w:after="0" w:line="256"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1"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97"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Equity instruments issued to non-employees are valued using the Black-Scholes option-pricing valuation model and are subject to remeasurement as the underlying equity instruments vest.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6"/>
          <w:szCs w:val="16"/>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57"/>
        <w:spacing w:after="0" w:line="306" w:lineRule="auto"/>
        <w:rPr>
          <w:sz w:val="20"/>
          <w:szCs w:val="20"/>
          <w:color w:val="auto"/>
        </w:rPr>
      </w:pPr>
      <w:r>
        <w:rPr>
          <w:rFonts w:ascii="Arial" w:cs="Arial" w:eastAsia="Arial" w:hAnsi="Arial"/>
          <w:sz w:val="16"/>
          <w:szCs w:val="16"/>
          <w:color w:val="auto"/>
        </w:rPr>
        <w:t xml:space="preserve">In July 2013, Financial Accounting Standards Board ("FASB"), issued Accounting Standards Update ("ASU"), No. 2013-11, </w:t>
      </w:r>
      <w:r>
        <w:rPr>
          <w:rFonts w:ascii="Arial" w:cs="Arial" w:eastAsia="Arial" w:hAnsi="Arial"/>
          <w:sz w:val="16"/>
          <w:szCs w:val="16"/>
          <w:i w:val="1"/>
          <w:iCs w:val="1"/>
          <w:color w:val="auto"/>
        </w:rPr>
        <w:t>Presentation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Unrecognized Tax Benefit when a Net Operating Loss Carryforward, a Similar Tax Loss, or a Tax Credit Carryforward Exists (a consensus of the FASB Emerging Issues Task Force). </w:t>
      </w:r>
      <w:r>
        <w:rPr>
          <w:rFonts w:ascii="Arial" w:cs="Arial" w:eastAsia="Arial" w:hAnsi="Arial"/>
          <w:sz w:val="16"/>
          <w:szCs w:val="16"/>
          <w:color w:val="auto"/>
        </w:rPr>
        <w:t>The amendments in this ASU provide guidance on the financial statements presentation of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The Company is currently assessing the impact of this ASU on its financial statements.</w:t>
      </w:r>
    </w:p>
    <w:p>
      <w:pPr>
        <w:spacing w:after="0" w:line="170"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Reporting of Amounts Reclassified Out of Accumulated Other Comprehensive Income</w:t>
      </w:r>
      <w:r>
        <w:rPr>
          <w:rFonts w:ascii="Arial" w:cs="Arial" w:eastAsia="Arial" w:hAnsi="Arial"/>
          <w:sz w:val="18"/>
          <w:szCs w:val="18"/>
          <w:color w:val="auto"/>
        </w:rPr>
        <w:t>. This ASU requires reporting and disclosure about changes in accumulated other comprehensive income balances and reclassifications out of accumulated other comprehensive income. The Company adopted this guidance as of January 1, 2013 on a prospective basis and its adoption did not have a material effect on its financial statements as the Company does not have comprehensive income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231"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years ended December 31, 2013, 2012 and 2011 (in thousands, except share and per share amounts):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(14,445)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w w:val="99"/>
              </w:rPr>
              <w:t>Shares used to compute net loss per common share,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4,158,664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650,333</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580,061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(6.15)</w:t>
            </w:r>
          </w:p>
        </w:tc>
        <w:tc>
          <w:tcPr>
            <w:tcW w:w="24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outstanding shares of common stock equivalents have been excluded from diluted net loss per common share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because their inclusion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80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80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2,359,287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2,227,669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13,271,122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exercise of warrants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ind w:left="1720"/>
              <w:spacing w:after="0"/>
              <w:rPr>
                <w:sz w:val="20"/>
                <w:szCs w:val="20"/>
                <w:color w:val="auto"/>
              </w:rPr>
            </w:pPr>
            <w:r>
              <w:rPr>
                <w:rFonts w:ascii="Arial" w:cs="Arial" w:eastAsia="Arial" w:hAnsi="Arial"/>
                <w:sz w:val="18"/>
                <w:szCs w:val="18"/>
                <w:color w:val="auto"/>
              </w:rPr>
              <w:t>Total shares of common stock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2,384,088</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15,498,791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91</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2,061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Software, including software developed for internal use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Construction-in-process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2,446</w:t>
            </w: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62"/>
        <w:spacing w:after="0" w:line="268" w:lineRule="auto"/>
        <w:rPr>
          <w:sz w:val="20"/>
          <w:szCs w:val="20"/>
          <w:color w:val="auto"/>
        </w:rPr>
      </w:pPr>
      <w:r>
        <w:rPr>
          <w:rFonts w:ascii="Arial" w:cs="Arial" w:eastAsia="Arial" w:hAnsi="Arial"/>
          <w:sz w:val="18"/>
          <w:szCs w:val="18"/>
          <w:color w:val="auto"/>
        </w:rPr>
        <w:t>Depreciation and amortization expense was $999,000, $706,000 and $611,000 for the years ended December 31, 2013, 2012 and 2011, respectively, and was recorded in the statements of operations and comprehensive loss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61"/>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Total depreciation and amortization expense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2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jc w:val="center"/>
              <w:ind w:right="22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9"/>
          </w:tcPr>
          <w:p>
            <w:pPr>
              <w:jc w:val="center"/>
              <w:ind w:right="2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other</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Genzyme co-promotion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2,175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Deferred rent—short-term</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4,020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0" w:type="dxa"/>
            <w:vAlign w:val="bottom"/>
            <w:vMerge w:val="restart"/>
          </w:tcPr>
          <w:p>
            <w:pPr>
              <w:jc w:val="right"/>
              <w:ind w:right="18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31"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6"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20" w:firstLine="430"/>
        <w:spacing w:after="0" w:line="268"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as of December 31, 2013 and 2012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As of December 31, 2013</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Level I</w:t>
            </w:r>
          </w:p>
        </w:tc>
        <w:tc>
          <w:tcPr>
            <w:tcW w:w="160" w:type="dxa"/>
            <w:vAlign w:val="bottom"/>
          </w:tcPr>
          <w:p>
            <w:pPr>
              <w:spacing w:after="0"/>
              <w:rPr>
                <w:sz w:val="12"/>
                <w:szCs w:val="12"/>
                <w:color w:val="auto"/>
              </w:rPr>
            </w:pPr>
          </w:p>
        </w:tc>
        <w:tc>
          <w:tcPr>
            <w:tcW w:w="7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II</w:t>
            </w: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III</w:t>
            </w:r>
          </w:p>
        </w:tc>
        <w:tc>
          <w:tcPr>
            <w:tcW w:w="14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69,972</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69,972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69,972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As of December 31, 2012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Level I</w:t>
            </w:r>
          </w:p>
        </w:tc>
        <w:tc>
          <w:tcPr>
            <w:tcW w:w="160" w:type="dxa"/>
            <w:vAlign w:val="bottom"/>
          </w:tcPr>
          <w:p>
            <w:pPr>
              <w:spacing w:after="0"/>
              <w:rPr>
                <w:sz w:val="12"/>
                <w:szCs w:val="12"/>
                <w:color w:val="auto"/>
              </w:rPr>
            </w:pPr>
          </w:p>
        </w:tc>
        <w:tc>
          <w:tcPr>
            <w:tcW w:w="7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II</w:t>
            </w: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III</w:t>
            </w:r>
          </w:p>
        </w:tc>
        <w:tc>
          <w:tcPr>
            <w:tcW w:w="14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12,830</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12,830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12,830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1720"/>
              <w:spacing w:after="0"/>
              <w:rPr>
                <w:sz w:val="20"/>
                <w:szCs w:val="20"/>
                <w:color w:val="auto"/>
              </w:rPr>
            </w:pPr>
            <w:r>
              <w:rPr>
                <w:rFonts w:ascii="Arial" w:cs="Arial" w:eastAsia="Arial" w:hAnsi="Arial"/>
                <w:sz w:val="18"/>
                <w:szCs w:val="18"/>
                <w:color w:val="auto"/>
              </w:rPr>
              <w:t>Financial Liabilities:</w:t>
            </w: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liability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ind w:left="1720"/>
              <w:spacing w:after="0"/>
              <w:rPr>
                <w:sz w:val="20"/>
                <w:szCs w:val="20"/>
                <w:color w:val="auto"/>
              </w:rPr>
            </w:pPr>
            <w:r>
              <w:rPr>
                <w:rFonts w:ascii="Arial" w:cs="Arial" w:eastAsia="Arial" w:hAnsi="Arial"/>
                <w:sz w:val="18"/>
                <w:szCs w:val="18"/>
                <w:color w:val="auto"/>
              </w:rPr>
              <w:t>Total financial liabilities</w:t>
            </w:r>
          </w:p>
        </w:tc>
        <w:tc>
          <w:tcPr>
            <w:tcW w:w="1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60" w:type="dxa"/>
            <w:vAlign w:val="bottom"/>
            <w:vMerge w:val="restart"/>
          </w:tcPr>
          <w:p>
            <w:pPr>
              <w:jc w:val="right"/>
              <w:ind w:right="472"/>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(Continued)</w:t>
      </w:r>
    </w:p>
    <w:p>
      <w:pPr>
        <w:spacing w:after="0" w:line="23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The Company's Level 3 liabilities consist of a preferred stock liability (see Note 11). The following table sets forth a summary of the changes in the fair value of the Company's Level 3 financial liabilities, which are measured on a recurring basis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Fair value of preferred stock liability</w:t>
            </w:r>
          </w:p>
        </w:tc>
        <w:tc>
          <w:tcPr>
            <w:tcW w:w="1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stock liability recorded as other expense, net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Settlement of preferred stock liability</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(2,653)</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preferred stock warrant liability</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w w:val="91"/>
              </w:rPr>
              <w:t>Change in fair value of preferred stock warrant liability recorded as other expense, net</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preferred stock warrant liability</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held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Genzyme Co-promotion Agreement</w:t>
      </w:r>
    </w:p>
    <w:p>
      <w:pPr>
        <w:spacing w:after="0" w:line="23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In May 2011, the Company received $100,000 from Genzyme Corporation ("Genzyme") in connection with an extension of an exclusive right to negotiate a co-promotion agreement.</w:t>
      </w:r>
    </w:p>
    <w:p>
      <w:pPr>
        <w:spacing w:after="0" w:line="186" w:lineRule="exact"/>
        <w:rPr>
          <w:sz w:val="20"/>
          <w:szCs w:val="20"/>
          <w:color w:val="auto"/>
        </w:rPr>
      </w:pPr>
    </w:p>
    <w:p>
      <w:pPr>
        <w:jc w:val="both"/>
        <w:ind w:firstLine="545"/>
        <w:spacing w:after="0" w:line="289"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40% beginning in January 2013 and will be reduced to 32% beginning on March 1, 2014 and thereafter. Genzyme will also spend up to $500,000 for qualifying clinical development activities in countries that require additional testing for approval. This obligation expires in July 2014. The agreement expires in January 2027 and either party may terminate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Genzyme Co-promotion Agreement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incurred $8.6 million and $5.5 million in co-promotion expense in the years ended December 31, 2013 and 2012, respectively, which is included in the statements of operations and comprehensive loss. The Company amortized $2.5 million and $2.4 million of the $10.0 million up-front co-promotion fee in the years ended December 31, 2013 and 2012, which is reflected as a reduction to selling and marketing expenses in the statements of operations and comprehensive loss.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unamortized balance of the co-promotion fee is reflected on the Company's balance sheet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Deferred Genzyme co-promotion fee, net of current portion</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5,114</w:t>
            </w:r>
          </w:p>
        </w:tc>
      </w:tr>
      <w:tr>
        <w:trPr>
          <w:trHeight w:val="20"/>
        </w:trPr>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7,614</w:t>
            </w:r>
          </w:p>
        </w:tc>
      </w:tr>
      <w:tr>
        <w:trPr>
          <w:trHeight w:val="20"/>
        </w:trPr>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Thyroid Cytopathology Partners</w:t>
      </w:r>
    </w:p>
    <w:p>
      <w:pPr>
        <w:spacing w:after="0" w:line="231"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with the specialized pathology practice, Thyroid Cytopathology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Beginning in May 2013, TCP reimburses the Company for a proportionate share of the Company's rent and related operating expense costs for the leased facility. The Company does not have an ownership interest in or provide any form of financial or other support to TCP. 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statements of operations and comprehensive loss. All amounts to be received from TCP will be recorded in the same period as the corresponding lease costs. The Company incurred $3.2 million, $1.8 million and $434,000 in cytopathology testing and evaluation services expenses with TCP in the years ended December 31, 2013, 2012 and 2011, respectively. The Company also reimbursed TCP for licensure fees of $137,000 and $83,000 in the years ended December 31, 2012 and 2011, respectively. Beginning in 2013, the Company is no longer obligated to reimburse TCP for licensure fees. Expenses for testing and evaluation services and reimbursed professional licensure fees are included in cost of revenue in the statements of operations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Thyroid Cytopathology Partners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loss. The Company's outstanding obligations to TCP for cytopathology testing services were $588,000 and $458,000 as of December 31, 2013 and 2012, respectively, and are included in accounts payable in the Company's balance sheets.</w:t>
      </w:r>
    </w:p>
    <w:p>
      <w:pPr>
        <w:spacing w:after="0" w:line="186" w:lineRule="exact"/>
        <w:rPr>
          <w:sz w:val="20"/>
          <w:szCs w:val="20"/>
          <w:color w:val="auto"/>
        </w:rPr>
      </w:pPr>
    </w:p>
    <w:p>
      <w:pPr>
        <w:jc w:val="both"/>
        <w:ind w:firstLine="433"/>
        <w:spacing w:after="0" w:line="306" w:lineRule="auto"/>
        <w:rPr>
          <w:sz w:val="20"/>
          <w:szCs w:val="20"/>
          <w:color w:val="auto"/>
        </w:rPr>
      </w:pPr>
      <w:r>
        <w:rPr>
          <w:rFonts w:ascii="Arial" w:cs="Arial" w:eastAsia="Arial" w:hAnsi="Arial"/>
          <w:sz w:val="16"/>
          <w:szCs w:val="16"/>
          <w:color w:val="auto"/>
        </w:rPr>
        <w:t>TCP's portion of rent and related operating expense costs for the shared space at the Austin, Texas facility was $49,000 for the year ended December 31, 2013. The reduction to rent expense is included in the Company's cost of revenue in the statements of operations and comprehensive loss. TCP reimbursed the Company $59,000 in 2013 and the resulting excess payment of $10,000 is included in accounts payable in the Company's balance sheet at December 31,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2013 and 2012.</w:t>
      </w:r>
    </w:p>
    <w:p>
      <w:pPr>
        <w:spacing w:after="0" w:line="197"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2013 and 2012.</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non-cancelable operating leases as of December 31, 2013 are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Amounts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2017</w:t>
            </w: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60"/>
        <w:spacing w:after="0" w:line="268"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$840,000, $711,000 and $570,000 for the years ended December 31, 2013,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 Purchase Agreement</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Company had non-cancelable purchase obligations to contract manufacturers and suppliers for approximately $250,000 at December 31, 2013, of which $125,000 and $125,000 are estimated to be payable in the years ended December 31, 2014 and 2015,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31" w:lineRule="exact"/>
        <w:rPr>
          <w:sz w:val="20"/>
          <w:szCs w:val="20"/>
          <w:color w:val="auto"/>
        </w:rPr>
      </w:pPr>
    </w:p>
    <w:p>
      <w:pPr>
        <w:jc w:val="both"/>
        <w:ind w:firstLine="436"/>
        <w:spacing w:after="0" w:line="289" w:lineRule="auto"/>
        <w:rPr>
          <w:sz w:val="20"/>
          <w:szCs w:val="20"/>
          <w:color w:val="auto"/>
        </w:rPr>
      </w:pPr>
      <w:r>
        <w:rPr>
          <w:rFonts w:ascii="Arial" w:cs="Arial" w:eastAsia="Arial" w:hAnsi="Arial"/>
          <w:sz w:val="16"/>
          <w:szCs w:val="16"/>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carrying value of the debt approximates its fair value because the interest rate approximates market rates that the Company could obtain for debt with similar terms. The debt is a level 3 liability, and as more fully discussed in Note 5 to the financial statements, level 3 inputs include unobservable inputs that are supported by little or no market activity and that are significant to the fair value of the underlying asset or liability.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 The Company may request a second term loan of up to $5.0 million on or prior to March 31, 2014.</w:t>
      </w:r>
    </w:p>
    <w:p>
      <w:pPr>
        <w:spacing w:after="0" w:line="172"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6"/>
          <w:szCs w:val="16"/>
          <w:color w:val="auto"/>
        </w:rPr>
        <w:t>As more fully discussed in Note 10 of the financial statements, upon execution of the loan and security agreement, the Company issued the financial institution a warrant to purchase shares of Series C convertible preferred stock at $7.56 per share. At the time of issuance, the aggregate fair value of the warrant for the 24,801 shares exercisable under the warrant was $175,000. The fair value of the warrant was deducted from total proceeds, resulting in a debt discount to be amortized to interest expense over 48 months, through the maturity date of the initial loan, using the effective interest rate method, and was recorded as a preferred stock warrant liability. As more fully discussed in Note 10 to the Financial Statements, the warrant was converted to a warrant to purchase the Company's common stock upon the completion of the IPO.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Total interest on the debt was $233,000 for the year ended December 31, 2013, including $75,000 in interest expense related to the amortization of the debt discount and accretion of the end of term payment, and $158,000 of nominal interest.</w:t>
      </w:r>
    </w:p>
    <w:p>
      <w:pPr>
        <w:spacing w:after="0" w:line="174" w:lineRule="exact"/>
        <w:rPr>
          <w:sz w:val="20"/>
          <w:szCs w:val="20"/>
          <w:color w:val="auto"/>
        </w:rPr>
      </w:pPr>
    </w:p>
    <w:p>
      <w:pPr>
        <w:jc w:val="both"/>
        <w:ind w:firstLine="369"/>
        <w:spacing w:after="0" w:line="291" w:lineRule="auto"/>
        <w:rPr>
          <w:sz w:val="20"/>
          <w:szCs w:val="20"/>
          <w:color w:val="auto"/>
        </w:rPr>
      </w:pPr>
      <w:r>
        <w:rPr>
          <w:rFonts w:ascii="Arial" w:cs="Arial" w:eastAsia="Arial" w:hAnsi="Arial"/>
          <w:sz w:val="16"/>
          <w:szCs w:val="16"/>
          <w:color w:val="auto"/>
        </w:rPr>
        <w:t>The Company's obligations under the loan and security agreement are secured by a security interest in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 Warrants</w:t>
      </w:r>
    </w:p>
    <w:p>
      <w:pPr>
        <w:spacing w:after="0" w:line="231" w:lineRule="exact"/>
        <w:rPr>
          <w:sz w:val="20"/>
          <w:szCs w:val="20"/>
          <w:color w:val="auto"/>
        </w:rPr>
      </w:pPr>
    </w:p>
    <w:p>
      <w:pPr>
        <w:jc w:val="both"/>
        <w:ind w:firstLine="404"/>
        <w:spacing w:after="0" w:line="290" w:lineRule="auto"/>
        <w:rPr>
          <w:sz w:val="20"/>
          <w:szCs w:val="20"/>
          <w:color w:val="auto"/>
        </w:rPr>
      </w:pPr>
      <w:r>
        <w:rPr>
          <w:rFonts w:ascii="Arial" w:cs="Arial" w:eastAsia="Arial" w:hAnsi="Arial"/>
          <w:sz w:val="16"/>
          <w:szCs w:val="16"/>
          <w:color w:val="auto"/>
        </w:rPr>
        <w:t>In June 2013, in conjunction with the execution of the loan and security agreement (Note 9), the Company issued to the lender a warrant to purchase up to 49,602 shares of Series C convertible preferred stock with an exercise price of $7.56 per share. Upon the draw down of the $5.0 million term loan, the warrant became exercisable for 24,801 shares. If the Company draws the second term loan, the remaining 24,801 shares will become exercisable under the warrant. The warrant expires at the earlier of (i) June 26, 2023 or (ii) the seventh anniversary of the Company's initial public offering. The warrant is exercisable in cash or through a cashless exercise provision. In connection with the IPO, as more fully described in Note 11, all of the Company's outstanding shares of convertible preferred stock were automatically converted into common stock and as a result, the warrant became exercisable for 24,801 shares of common stock (or 49,602 shares in the aggregate if the Company draws down the second term loan), at an exercise price of $7.56 per share.</w:t>
      </w:r>
    </w:p>
    <w:p>
      <w:pPr>
        <w:spacing w:after="0" w:line="172"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The fair value of the then currently exercisable portion of the warrant in the amount of $175,000 was recorded as a preferred stock warrant liability upon issuance and is subject to remeasurement at each reporting period up to the closing date of the IPO when the Series C preferred stock converted into common stock.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Just prior to the closing of the IPO, the fair value of the warrant was approximately $261,000, and was calculated using the Black-Scholes option-pricing valuation model with the following assumptions: Series C preferred stock value of $13.14 per share, contractual term of 7.0 years, risk-free interest rate of 2.0%, expected volatility of 81.4%, and expected dividend yield of 0%. The change in the fair value of approximately $86,000 was reported as an expense for the year ended December 31, 2013 and is included in other income (expense), net in the statements of operations. The warrant was converted into a warrant to purchase common stock upon the completion of the IPO in 2013, and was reclassified to additional paid-in-capital in the Company's balance sheet. As a result, the warrant is no longer subject to fair value remeasurement.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warrant was exercised through a cashless exercise on March 17, 2014 resulting in the issuance of a net 13,739 shares of the Company's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Convertible Preferred Stock</w:t>
      </w:r>
    </w:p>
    <w:p>
      <w:pPr>
        <w:spacing w:after="0" w:line="231"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8"/>
          <w:szCs w:val="18"/>
          <w:color w:val="auto"/>
        </w:rPr>
        <w:t>On November 4, 2013, the Company completed its IPO. In connection with the IPO, the Company's 59,989,268 outstanding shares of convertible preferred stock were automatically converted into 14,997,312 shares of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Convertible Preferred Stock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Convertible preferred stock as of December 31, 2012 consists of the following (in thousands, except for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Proceeds Net of</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Original</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Issuance Costs</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Issue</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and</w:t>
            </w: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Preferred</w:t>
            </w: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Stock Liability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22,399,999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22,399,999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Series B</w:t>
            </w:r>
          </w:p>
        </w:tc>
        <w:tc>
          <w:tcPr>
            <w:tcW w:w="920" w:type="dxa"/>
            <w:vAlign w:val="bottom"/>
          </w:tcPr>
          <w:p>
            <w:pPr>
              <w:ind w:left="120"/>
              <w:spacing w:after="0"/>
              <w:rPr>
                <w:sz w:val="20"/>
                <w:szCs w:val="20"/>
                <w:color w:val="auto"/>
              </w:rPr>
            </w:pPr>
            <w:r>
              <w:rPr>
                <w:rFonts w:ascii="Arial" w:cs="Arial" w:eastAsia="Arial" w:hAnsi="Arial"/>
                <w:sz w:val="18"/>
                <w:szCs w:val="18"/>
                <w:color w:val="auto"/>
                <w:w w:val="86"/>
              </w:rPr>
              <w:t>22,748,000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22,748,000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14,000,000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7,936,508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60" w:type="dxa"/>
            <w:vAlign w:val="bottom"/>
            <w:shd w:val="clear" w:color="auto" w:fill="CCEEFF"/>
          </w:tcPr>
          <w:p>
            <w:pPr>
              <w:spacing w:after="0"/>
              <w:rPr>
                <w:sz w:val="18"/>
                <w:szCs w:val="18"/>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59,147,999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53,084,507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65,835</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 closings: 7,910,053 shares in the initial purchase (the "Initial Closing"), 5,291,005 shares in the second closing ("the Second Closing"), and 26,455 shares in an additional closing (the "First Additional Closing").</w:t>
      </w:r>
    </w:p>
    <w:p>
      <w:pPr>
        <w:spacing w:after="0" w:line="197"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94" w:lineRule="exact"/>
        <w:rPr>
          <w:sz w:val="20"/>
          <w:szCs w:val="20"/>
          <w:color w:val="auto"/>
        </w:rPr>
      </w:pPr>
    </w:p>
    <w:p>
      <w:pPr>
        <w:jc w:val="both"/>
        <w:ind w:firstLine="528"/>
        <w:spacing w:after="0" w:line="256" w:lineRule="auto"/>
        <w:rPr>
          <w:sz w:val="20"/>
          <w:szCs w:val="20"/>
          <w:color w:val="auto"/>
        </w:rPr>
      </w:pPr>
      <w:r>
        <w:rPr>
          <w:rFonts w:ascii="Arial" w:cs="Arial" w:eastAsia="Arial" w:hAnsi="Arial"/>
          <w:sz w:val="18"/>
          <w:szCs w:val="18"/>
          <w:color w:val="auto"/>
        </w:rPr>
        <w:t>In June 2013, the Company amended its Amended and Restated Certificate of Incorporation to increase the number of authorized shares of Series C convertible preferred stock from 14,000,000 to 14,852,001 and amended the Series C Agreement to increase the number of shares that could be sold in additional closings from 26,455 to a total of 1,640,212. The Company completed the Second Closing and two additional closings under the Series C Agreement and received gross proceeds of $13.0 million for the issuance of 6,904,761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Liability</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the $0.3 million valuation decrease to other income (expense), net in the Company's statements of operations and comprehensive loss. In June 2013, the Company revalued the preferred stock liability to $2.7 million and recorded the $2.1 million valuation increase to other income (expense), net in the Company's statements of operations and comprehensive loss. In June 2013, the $2.7 million liability was settled upon the issuance of the second tranche of Series C convertible preferred stock and was reclassified to additional paid-in-capital in the Company's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(Deficit)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2013.</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and 2012, the Company had reserved shares of common stock for issuance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5,599,999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Conversion of Series B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5,686,999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1,984,124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Conversion of Series C convertible preferred stock reserved for issuance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1,322,751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2,227,669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840" w:type="dxa"/>
            <w:vAlign w:val="bottom"/>
          </w:tcPr>
          <w:p>
            <w:pPr>
              <w:jc w:val="right"/>
              <w:spacing w:after="0"/>
              <w:rPr>
                <w:sz w:val="20"/>
                <w:szCs w:val="20"/>
                <w:color w:val="auto"/>
              </w:rPr>
            </w:pPr>
            <w:r>
              <w:rPr>
                <w:rFonts w:ascii="Arial" w:cs="Arial" w:eastAsia="Arial" w:hAnsi="Arial"/>
                <w:sz w:val="18"/>
                <w:szCs w:val="18"/>
                <w:color w:val="auto"/>
              </w:rPr>
              <w:t>1,787,802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347,386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issued and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17,168,928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right="20" w:firstLine="410"/>
        <w:spacing w:after="0" w:line="268" w:lineRule="auto"/>
        <w:rPr>
          <w:sz w:val="20"/>
          <w:szCs w:val="20"/>
          <w:color w:val="auto"/>
        </w:rPr>
      </w:pPr>
      <w:r>
        <w:rPr>
          <w:rFonts w:ascii="Arial" w:cs="Arial" w:eastAsia="Arial" w:hAnsi="Arial"/>
          <w:sz w:val="18"/>
          <w:szCs w:val="18"/>
          <w:color w:val="auto"/>
        </w:rPr>
        <w:t>The Company's Restated Certificate of Incorporation, which became effective on November 4, 2013, authorizes the Company to issue 5,000,000 shares of preferred stock with a par value of $0.001 per share. No shares were issued and outstanding at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 Options granted to newly hired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employees generally vest over four years (generally 25% after one year and monthly thereafter). Options granted to employees as part of annual bonus compensation are generally fully vested at the grant date.</w:t>
      </w:r>
    </w:p>
    <w:p>
      <w:pPr>
        <w:spacing w:after="0" w:line="186" w:lineRule="exact"/>
        <w:rPr>
          <w:sz w:val="20"/>
          <w:szCs w:val="20"/>
          <w:color w:val="auto"/>
        </w:rPr>
      </w:pPr>
    </w:p>
    <w:p>
      <w:pPr>
        <w:jc w:val="both"/>
        <w:ind w:firstLine="407"/>
        <w:spacing w:after="0" w:line="288" w:lineRule="auto"/>
        <w:rPr>
          <w:sz w:val="20"/>
          <w:szCs w:val="20"/>
          <w:color w:val="auto"/>
        </w:rPr>
      </w:pPr>
      <w:r>
        <w:rPr>
          <w:rFonts w:ascii="Arial" w:cs="Arial" w:eastAsia="Arial" w:hAnsi="Arial"/>
          <w:sz w:val="16"/>
          <w:szCs w:val="16"/>
          <w:color w:val="auto"/>
        </w:rPr>
        <w:t>On October 2, 2013, the Company adopted the 2013 Stock Incentive Plan (the "2013 Plan"). The 2013 Plan was subsequently approved by the Company's stockholders and became effective on November 4, 2013, immediately before the closing of the IPO. Following the effectiveness of the 2013 Plan, no additional options will be granted under the 2008 Plan. An aggregate of 1,700,000 additional shares are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2013, 1,787,802 shares were available for future issuance under the 2013 Plan.</w:t>
      </w:r>
    </w:p>
    <w:p>
      <w:pPr>
        <w:spacing w:after="0" w:line="174"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86"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97"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Twenty-five percent of the shares subject to the initial option will vest and become exercisable on the first anniversary of the date of grant. The balance (</w:t>
      </w:r>
      <w:r>
        <w:rPr>
          <w:rFonts w:ascii="Arial" w:cs="Arial" w:eastAsia="Arial" w:hAnsi="Arial"/>
          <w:sz w:val="16"/>
          <w:szCs w:val="16"/>
          <w:i w:val="1"/>
          <w:iCs w:val="1"/>
          <w:color w:val="auto"/>
        </w:rPr>
        <w:t>i.e.</w:t>
      </w:r>
      <w:r>
        <w:rPr>
          <w:rFonts w:ascii="Arial" w:cs="Arial" w:eastAsia="Arial" w:hAnsi="Arial"/>
          <w:sz w:val="16"/>
          <w:szCs w:val="16"/>
          <w:color w:val="auto"/>
        </w:rPr>
        <w:t xml:space="preserve"> remaining 75%) will vest and become exercisable over three years in equal monthly installments.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termination of service for any reason.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under the Company's stock option plans is set forth below (intrinsic value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Available</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Additional options authorized</w:t>
            </w:r>
          </w:p>
        </w:tc>
        <w:tc>
          <w:tcPr>
            <w:tcW w:w="840" w:type="dxa"/>
            <w:vAlign w:val="bottom"/>
          </w:tcPr>
          <w:p>
            <w:pPr>
              <w:jc w:val="right"/>
              <w:spacing w:after="0"/>
              <w:rPr>
                <w:sz w:val="20"/>
                <w:szCs w:val="20"/>
                <w:color w:val="auto"/>
              </w:rPr>
            </w:pPr>
            <w:r>
              <w:rPr>
                <w:rFonts w:ascii="Arial" w:cs="Arial" w:eastAsia="Arial" w:hAnsi="Arial"/>
                <w:sz w:val="18"/>
                <w:szCs w:val="18"/>
                <w:color w:val="auto"/>
              </w:rPr>
              <w:t>743,100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(931,944)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Canceled</w:t>
            </w:r>
          </w:p>
        </w:tc>
        <w:tc>
          <w:tcPr>
            <w:tcW w:w="840" w:type="dxa"/>
            <w:vAlign w:val="bottom"/>
          </w:tcPr>
          <w:p>
            <w:pPr>
              <w:jc w:val="right"/>
              <w:spacing w:after="0"/>
              <w:rPr>
                <w:sz w:val="20"/>
                <w:szCs w:val="20"/>
                <w:color w:val="auto"/>
              </w:rPr>
            </w:pPr>
            <w:r>
              <w:rPr>
                <w:rFonts w:ascii="Arial" w:cs="Arial" w:eastAsia="Arial" w:hAnsi="Arial"/>
                <w:sz w:val="18"/>
                <w:szCs w:val="18"/>
                <w:color w:val="auto"/>
              </w:rPr>
              <w:t>61,269</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(61,269)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Balance—December 31, 2012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347,386</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2,227,669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Additional options authorized</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1,950,000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(695,029)</w:t>
            </w:r>
          </w:p>
        </w:tc>
        <w:tc>
          <w:tcPr>
            <w:tcW w:w="1000" w:type="dxa"/>
            <w:vAlign w:val="bottom"/>
          </w:tcPr>
          <w:p>
            <w:pPr>
              <w:jc w:val="right"/>
              <w:spacing w:after="0"/>
              <w:rPr>
                <w:sz w:val="20"/>
                <w:szCs w:val="20"/>
                <w:color w:val="auto"/>
              </w:rPr>
            </w:pPr>
            <w:r>
              <w:rPr>
                <w:rFonts w:ascii="Arial" w:cs="Arial" w:eastAsia="Arial" w:hAnsi="Arial"/>
                <w:sz w:val="18"/>
                <w:szCs w:val="18"/>
                <w:color w:val="auto"/>
              </w:rPr>
              <w:t>695,029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(185,445)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(377,966)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1,787,802</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exercisable—December 31, 2013</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7.12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15,788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1,273,335</w:t>
            </w: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Options vested and expected to vest—</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2,250,293</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Outstanding and exercisable stock options as of December 31, 2013 are summarized as follows (intrinsic value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Options 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7"/>
          </w:tcPr>
          <w:p>
            <w:pPr>
              <w:ind w:left="60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Intrinsic</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$0.08</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$0.80</w:t>
            </w:r>
          </w:p>
        </w:tc>
        <w:tc>
          <w:tcPr>
            <w:tcW w:w="1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165,569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158,458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$2.36</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$2.40</w:t>
            </w:r>
          </w:p>
        </w:tc>
        <w:tc>
          <w:tcPr>
            <w:tcW w:w="1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208,593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147,299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653,952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$4.00</w:t>
            </w:r>
          </w:p>
        </w:tc>
        <w:tc>
          <w:tcPr>
            <w:tcW w:w="1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473,299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130,800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$7.92</w:t>
            </w:r>
          </w:p>
        </w:tc>
        <w:tc>
          <w:tcPr>
            <w:tcW w:w="1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color w:val="auto"/>
              </w:rPr>
              <w:t>$0.08 - $12.12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2,359,287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1,273,335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fair value of the Company's common stock for stock options that were in-the-money.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 (Continued)</w:t>
      </w:r>
    </w:p>
    <w:p>
      <w:pPr>
        <w:spacing w:after="0" w:line="231"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The weighted average fair value of options to purchase common stock granted was $4.19 and $1.95 in the years ended December 31, 2013 and 2012, respectively.</w:t>
      </w:r>
    </w:p>
    <w:p>
      <w:pPr>
        <w:spacing w:after="0" w:line="18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weighted average fair value of options to purchase common stock vested was $2.12 and $1.40 per share in the years ended December 31, 2013 and 2012. The total estimated grant date fair value of employee options to purchase common stock vested during the years ended December 31, 2013 and 2012 was $1.3 million and $0.6 million, respectively.</w:t>
      </w:r>
    </w:p>
    <w:p>
      <w:pPr>
        <w:spacing w:after="0" w:line="194" w:lineRule="exact"/>
        <w:rPr>
          <w:sz w:val="20"/>
          <w:szCs w:val="20"/>
          <w:color w:val="auto"/>
        </w:rPr>
      </w:pPr>
    </w:p>
    <w:p>
      <w:pPr>
        <w:jc w:val="both"/>
        <w:ind w:firstLine="459"/>
        <w:spacing w:after="0" w:line="306" w:lineRule="auto"/>
        <w:rPr>
          <w:sz w:val="20"/>
          <w:szCs w:val="20"/>
          <w:color w:val="auto"/>
        </w:rPr>
      </w:pPr>
      <w:r>
        <w:rPr>
          <w:rFonts w:ascii="Arial" w:cs="Arial" w:eastAsia="Arial" w:hAnsi="Arial"/>
          <w:sz w:val="16"/>
          <w:szCs w:val="16"/>
          <w:color w:val="auto"/>
        </w:rPr>
        <w:t>The weighted average fair value of options to purchase common stock exercised was $0.97 and $0.88 in the years ended December 31, 2013 and 2012, respectively. The intrinsic value of options to purchase common stock exercised was $4.9 million and $0.2 million in the years ended December 31, 2013 and 2012, respectively. The fair market value of the Company's common stock as of December 31, 2013 and 2012 was $14.50 and $4.00 per share,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The fair value of the underlying common stock was determined by the Board of Directors until the IPO, when the Company's common stock started trading on The NASDAQ Global Select Market. Because there was no public market for the Company's common stock, the Board of Directors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w:t>
      </w:r>
    </w:p>
    <w:p>
      <w:pPr>
        <w:spacing w:after="0" w:line="198" w:lineRule="exact"/>
        <w:rPr>
          <w:sz w:val="20"/>
          <w:szCs w:val="20"/>
          <w:color w:val="auto"/>
        </w:rPr>
      </w:pPr>
    </w:p>
    <w:p>
      <w:pPr>
        <w:jc w:val="both"/>
        <w:ind w:firstLine="386"/>
        <w:spacing w:after="0" w:line="306" w:lineRule="auto"/>
        <w:rPr>
          <w:sz w:val="20"/>
          <w:szCs w:val="20"/>
          <w:color w:val="auto"/>
        </w:rPr>
      </w:pPr>
      <w:r>
        <w:rPr>
          <w:rFonts w:ascii="Arial" w:cs="Arial" w:eastAsia="Arial" w:hAnsi="Arial"/>
          <w:sz w:val="16"/>
          <w:szCs w:val="16"/>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61"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Assumptions</w:t>
      </w:r>
    </w:p>
    <w:p>
      <w:pPr>
        <w:spacing w:after="0" w:line="225" w:lineRule="exact"/>
        <w:rPr>
          <w:sz w:val="20"/>
          <w:szCs w:val="20"/>
          <w:color w:val="auto"/>
        </w:rPr>
      </w:pPr>
    </w:p>
    <w:p>
      <w:pPr>
        <w:jc w:val="both"/>
        <w:ind w:right="20" w:firstLine="428"/>
        <w:spacing w:after="0" w:line="268" w:lineRule="auto"/>
        <w:rPr>
          <w:sz w:val="20"/>
          <w:szCs w:val="20"/>
          <w:color w:val="auto"/>
        </w:rPr>
      </w:pPr>
      <w:r>
        <w:rPr>
          <w:rFonts w:ascii="Arial" w:cs="Arial" w:eastAsia="Arial" w:hAnsi="Arial"/>
          <w:sz w:val="18"/>
          <w:szCs w:val="18"/>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5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5.00 - 6.08</w:t>
            </w:r>
          </w:p>
        </w:tc>
        <w:tc>
          <w:tcPr>
            <w:tcW w:w="13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8"/>
              </w:rPr>
              <w:t>5.00 - 6.08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80.42</w:t>
            </w:r>
          </w:p>
        </w:tc>
        <w:tc>
          <w:tcPr>
            <w:tcW w:w="720" w:type="dxa"/>
            <w:vAlign w:val="bottom"/>
          </w:tcPr>
          <w:p>
            <w:pPr>
              <w:ind w:left="40"/>
              <w:spacing w:after="0"/>
              <w:rPr>
                <w:sz w:val="20"/>
                <w:szCs w:val="20"/>
                <w:color w:val="auto"/>
              </w:rPr>
            </w:pPr>
            <w:r>
              <w:rPr>
                <w:rFonts w:ascii="Arial" w:cs="Arial" w:eastAsia="Arial" w:hAnsi="Arial"/>
                <w:sz w:val="18"/>
                <w:szCs w:val="18"/>
                <w:color w:val="auto"/>
                <w:w w:val="91"/>
              </w:rPr>
              <w:t>- 81.41%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82.07</w:t>
            </w:r>
          </w:p>
        </w:tc>
        <w:tc>
          <w:tcPr>
            <w:tcW w:w="720" w:type="dxa"/>
            <w:vAlign w:val="bottom"/>
          </w:tcPr>
          <w:p>
            <w:pPr>
              <w:ind w:left="40"/>
              <w:spacing w:after="0"/>
              <w:rPr>
                <w:sz w:val="20"/>
                <w:szCs w:val="20"/>
                <w:color w:val="auto"/>
              </w:rPr>
            </w:pPr>
            <w:r>
              <w:rPr>
                <w:rFonts w:ascii="Arial" w:cs="Arial" w:eastAsia="Arial" w:hAnsi="Arial"/>
                <w:sz w:val="18"/>
                <w:szCs w:val="18"/>
                <w:color w:val="auto"/>
                <w:w w:val="91"/>
              </w:rPr>
              <w:t>- 84.33%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- 1.19%</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Dividend yield</w:t>
            </w:r>
          </w:p>
        </w:tc>
        <w:tc>
          <w:tcPr>
            <w:tcW w:w="440" w:type="dxa"/>
            <w:vAlign w:val="bottom"/>
          </w:tcPr>
          <w:p>
            <w:pPr>
              <w:spacing w:after="0"/>
              <w:rPr>
                <w:sz w:val="19"/>
                <w:szCs w:val="19"/>
                <w:color w:val="auto"/>
              </w:rPr>
            </w:pPr>
          </w:p>
        </w:tc>
        <w:tc>
          <w:tcPr>
            <w:tcW w:w="720" w:type="dxa"/>
            <w:vAlign w:val="bottom"/>
          </w:tcPr>
          <w:p>
            <w:pPr>
              <w:jc w:val="center"/>
              <w:ind w:righ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5"/>
          <w:szCs w:val="15"/>
          <w:color w:val="auto"/>
        </w:rPr>
        <w:t>Stock-based compensation related to stock options granted to non-employees is recognized as the stock options are earned, generally through the provision of services. The Company believes the fair value of the stock-based awards is more reliably measureable than the fair value of services received. The fair value of the stock options granted is calculated at each reporting date using the Black-Scholes option-pricing model with the following assumptions: expected life is equal to the remaining contractual term of the award as of the measurement date ranging from 7.72 years to 9.75 years as of December 31, 2013 and 8.23 years to 9.93 years as of December 31, 2012; risk free rate is 2.59% to 2.99% for the year ended December 31, 2013 and 1.43% to 1.77% for the year ended December 31, 2012; expected dividend yield of 0%; and volatility ranging from 77.86% to 78.14% as of December 31, 2013 and 81.14% to 82.11% as of December 31, 2012.</w:t>
      </w:r>
    </w:p>
    <w:p>
      <w:pPr>
        <w:spacing w:after="0" w:line="159"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8"/>
          <w:szCs w:val="18"/>
          <w:color w:val="auto"/>
        </w:rPr>
        <w:t>The following table summarizes stock-based compensation expense related to stock options for the years ended December 31, 2013, 2012 and 2011, included in the statements of operations and comprehensive loss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0"/>
              </w:rPr>
              <w:t>Year Ended December 31,</w:t>
            </w:r>
          </w:p>
        </w:tc>
      </w:tr>
      <w:tr>
        <w:trPr>
          <w:trHeight w:val="142"/>
        </w:trPr>
        <w:tc>
          <w:tcPr>
            <w:tcW w:w="5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44"/>
        <w:spacing w:after="0" w:line="259" w:lineRule="auto"/>
        <w:rPr>
          <w:sz w:val="20"/>
          <w:szCs w:val="20"/>
          <w:color w:val="auto"/>
        </w:rPr>
      </w:pPr>
      <w:r>
        <w:rPr>
          <w:rFonts w:ascii="Arial" w:cs="Arial" w:eastAsia="Arial" w:hAnsi="Arial"/>
          <w:sz w:val="18"/>
          <w:szCs w:val="18"/>
          <w:color w:val="auto"/>
        </w:rPr>
        <w:t>If all of the remaining non-vested and outstanding stock option awards that have been granted vested, the Company would recognize approximately $2.7 million in compensation expense over a weighted average remaining period of 2.9 years. No compensation expense will be recognized for any stock options that do not vest.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2013, the Company will pay executive bonuses only in the form of cash.</w:t>
      </w:r>
    </w:p>
    <w:p>
      <w:pPr>
        <w:spacing w:after="0" w:line="225" w:lineRule="exact"/>
        <w:rPr>
          <w:sz w:val="20"/>
          <w:szCs w:val="20"/>
          <w:color w:val="auto"/>
        </w:rPr>
      </w:pPr>
    </w:p>
    <w:p>
      <w:pPr>
        <w:jc w:val="both"/>
        <w:ind w:firstLine="479"/>
        <w:spacing w:after="0" w:line="335" w:lineRule="auto"/>
        <w:rPr>
          <w:sz w:val="20"/>
          <w:szCs w:val="20"/>
          <w:color w:val="auto"/>
        </w:rPr>
      </w:pPr>
      <w:r>
        <w:rPr>
          <w:rFonts w:ascii="Arial" w:cs="Arial" w:eastAsia="Arial" w:hAnsi="Arial"/>
          <w:sz w:val="15"/>
          <w:szCs w:val="15"/>
          <w:color w:val="auto"/>
        </w:rPr>
        <w:t>For the years ended December 31, 2012 and 2011, the Company paid a portion of its executive bonuses through the grant of stock options. The equity transaction associated with these bonuses is classified as equity-based compensation expense. Accruals for the anticipated grants were $259,000 and $193,000 in the years ended December 31, 2012 and 2011, respectively, and are included in accrued liabilities in the balance sheets. The expenses were determined as follows:</w:t>
      </w:r>
    </w:p>
    <w:p>
      <w:pPr>
        <w:spacing w:after="0" w:line="156" w:lineRule="exact"/>
        <w:rPr>
          <w:sz w:val="20"/>
          <w:szCs w:val="20"/>
          <w:color w:val="auto"/>
        </w:rPr>
      </w:pPr>
    </w:p>
    <w:p>
      <w:pPr>
        <w:jc w:val="both"/>
        <w:ind w:left="1080" w:hanging="532"/>
        <w:spacing w:after="0" w:line="294"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March 2012, the Company's Board of Directors authorized the grant of 109,653 fully vested stock options at a fair value of $1.76 resulting in $193,000 in expense in the year ended December 31, 2011. The fair value of the options was determined using the Black-Scholes option-pricing valuation model with the following assumptions: the option exercise strike price was $2.68 equal to the fair market value of the Company's common stock at grant date, risk free rate of 0.88%, expected term of 5.0 years, volatility rate of 83.52% and expected dividend yield of 0%. Upon issuance of the fully vested options, the liability was reclassified into additional paid-in capital.</w:t>
      </w:r>
    </w:p>
    <w:p>
      <w:pPr>
        <w:spacing w:after="0" w:line="196"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February 2013, the Company's Board of Directors authorized the grant of 100,498 fully vested stock options at a fair value of $2.59 resulting in $259,000 in expense in the year ended December 31, 2012. The fair value of the options was determined using the Black-Scholes option-pricing valuation model with the following assumptions: the option exercise strike price was $4.00 equal to the fair market value of the Company's common stock at grant date, risk-free rate of 0.88%, expected term of 5.0 years, volatility rate of 81.41% and expected dividend yield of 0%. Upon issuance of the fully vested options, the liability was reclassified into additional paid-in capital.</w:t>
      </w:r>
    </w:p>
    <w:p>
      <w:pPr>
        <w:spacing w:after="0" w:line="170"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The following table summarizes equity-based compensation expense for the years ended December 31, 2013, 2012 and 2011, which were included in the statements of operations and comprehensive loss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equity-based compensation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The Company generated a pretax loss of $25.6 million, $18.6 million and $14.4 million in the United States for the years ended December 31, 2013, 2012 and 2011, respectively. Since inception, the Company has not generated any pretax income or loss outside of the United States. The Company did not record a provision or benefit for income taxes during the years ended December 31, 2013, 2012 and 2011.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Company follows FASB ASC No. 740, </w:t>
      </w:r>
      <w:r>
        <w:rPr>
          <w:rFonts w:ascii="Arial" w:cs="Arial" w:eastAsia="Arial" w:hAnsi="Arial"/>
          <w:sz w:val="16"/>
          <w:szCs w:val="16"/>
          <w:i w:val="1"/>
          <w:iCs w:val="1"/>
          <w:color w:val="auto"/>
        </w:rPr>
        <w:t>Income Taxes for the Computation and Presentation of its Tax Provision.</w:t>
      </w:r>
      <w:r>
        <w:rPr>
          <w:rFonts w:ascii="Arial" w:cs="Arial" w:eastAsia="Arial" w:hAnsi="Arial"/>
          <w:sz w:val="16"/>
          <w:szCs w:val="16"/>
          <w:color w:val="auto"/>
        </w:rPr>
        <w:t xml:space="preserve"> The following table presents a reconciliation of the tax expense computed at the statutory federal rate and the Company's tax expense for the period presented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Tax credits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20" w:type="dxa"/>
            <w:vAlign w:val="bottom"/>
            <w:vMerge w:val="restart"/>
          </w:tcPr>
          <w:p>
            <w:pPr>
              <w:jc w:val="right"/>
              <w:ind w:right="1232"/>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Genzyme co-promotion agreement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Accruals and deferred rent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360"/>
              <w:spacing w:after="0"/>
              <w:rPr>
                <w:sz w:val="20"/>
                <w:szCs w:val="20"/>
                <w:color w:val="auto"/>
              </w:rPr>
            </w:pPr>
            <w:r>
              <w:rPr>
                <w:rFonts w:ascii="Arial" w:cs="Arial" w:eastAsia="Arial" w:hAnsi="Arial"/>
                <w:sz w:val="18"/>
                <w:szCs w:val="18"/>
                <w:color w:val="auto"/>
              </w:rPr>
              <w:t>Gross deferred tax liabilities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liabilities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Research and development credit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Genzyme co-promotion agreement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depreciation and deferred rent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518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31,230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(31,216)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(23,622)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(17,469)</w:t>
            </w:r>
          </w:p>
        </w:tc>
        <w:tc>
          <w:tcPr>
            <w:tcW w:w="0" w:type="dxa"/>
            <w:vAlign w:val="bottom"/>
          </w:tcPr>
          <w:p>
            <w:pPr>
              <w:spacing w:after="0"/>
              <w:rPr>
                <w:sz w:val="1"/>
                <w:szCs w:val="1"/>
                <w:color w:val="auto"/>
              </w:rPr>
            </w:pPr>
          </w:p>
        </w:tc>
      </w:tr>
      <w:tr>
        <w:trPr>
          <w:trHeight w:val="210"/>
        </w:trPr>
        <w:tc>
          <w:tcPr>
            <w:tcW w:w="518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non-current deferred tax liabilities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2"/>
        <w:spacing w:after="0" w:line="332" w:lineRule="auto"/>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such assets. The valuation allowance increased $8.1 million and $7.3 million during the years ended December 31, 2013 and 2012, respectively.</w:t>
      </w:r>
    </w:p>
    <w:p>
      <w:pPr>
        <w:spacing w:after="0" w:line="139"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Company had $0.3 million of cumulative excess tax benefits from stock option deductions generated subsequent to the adoption of the authoritative guidance regarding stock-based compensation, which are not included in the net operating loss carryforward amounts above since they have not met the required realization criteria. The Company considers stock option deduction benefits in excess of book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charges realized when it obtains an incremental benefit determined by the "with and without" calculation method, under which excess tax benefits related to stock-based compensation are not deemed to be realized until after the utilization of all other tax benefits available to the Company. When realized, these benefits will increase additional paid-in capital.</w:t>
      </w:r>
    </w:p>
    <w:p>
      <w:pPr>
        <w:spacing w:after="0" w:line="194"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As of December 31, 2013, the Company had net operating loss carryforwards of approximately $75.1 million and $54.0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94"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As of December 31, 2013, the Company had credit carryforwards of approximately $1.4 million and $1.0 million available to reduce future taxable income, if any, for Federal and California state income tax purposes, respectively. The Federal credit carryforwards begin to expire in 2028. California credits have no expiration date.</w:t>
      </w:r>
    </w:p>
    <w:p>
      <w:pPr>
        <w:spacing w:after="0" w:line="19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01"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6"/>
          <w:szCs w:val="16"/>
          <w:color w:val="auto"/>
        </w:rPr>
        <w:t>As of December 31, 2013, the Company had unrecognized tax benefits of $0.7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2013 will significantly increase or decrease within the next twelve months.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6"/>
              </w:rPr>
              <w:t>Unrecognized tax benefits, beginning of period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Gross increases—tax position in prior period</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decrease—tax position in prior period</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8"/>
              </w:rPr>
              <w:t>Gross increases—current period tax positions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Unrecognized tax benefits, end of period</w:t>
            </w:r>
          </w:p>
        </w:tc>
        <w:tc>
          <w:tcPr>
            <w:tcW w:w="2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0" w:type="dxa"/>
            <w:vAlign w:val="bottom"/>
            <w:vMerge w:val="restart"/>
          </w:tcPr>
          <w:p>
            <w:pPr>
              <w:jc w:val="right"/>
              <w:ind w:right="179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Audited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jc w:val="both"/>
        <w:ind w:firstLine="564"/>
        <w:spacing w:after="0" w:line="332"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2013.</w:t>
      </w:r>
    </w:p>
    <w:p>
      <w:pPr>
        <w:spacing w:after="0" w:line="139"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Company sponsors a 401(k) defined contribution plan covering all employees. There were no employer contributions to the plan in the years ended December 31, 2013 and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31"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The following table presents selected unaudited consolidated financial data for each of the eight quarters in the two-year period ended December 31, 2013. The Company believes this information reflects all recurring adjustments necessary to fairly present this information when read in conjunction with the Company's financial statements and the related notes. Net loss per share-basic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ind w:left="11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June 30</w:t>
            </w:r>
          </w:p>
        </w:tc>
        <w:tc>
          <w:tcPr>
            <w:tcW w:w="4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2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gridSpan w:val="2"/>
            <w:vMerge w:val="continue"/>
          </w:tcPr>
          <w:p>
            <w:pPr>
              <w:spacing w:after="0"/>
              <w:rPr>
                <w:sz w:val="12"/>
                <w:szCs w:val="12"/>
                <w:color w:val="auto"/>
              </w:rPr>
            </w:pPr>
          </w:p>
        </w:tc>
        <w:tc>
          <w:tcPr>
            <w:tcW w:w="438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rPr>
              <w:t>thousands, except share and per share data)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2"/>
              </w:rPr>
              <w:t>2013:</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8"/>
                <w:szCs w:val="18"/>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5,594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6,838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(7.53)</w:t>
            </w: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Shares used in calculation of net loss per share, basic and 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861,839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13,944,239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1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2012:</w:t>
            </w: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(4,248)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(4,626)</w:t>
            </w: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1"/>
              </w:rPr>
              <w:t>Shares used in calculation of net loss per share, basic and diluted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623,515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653,121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659,129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665,306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980" w:type="dxa"/>
            <w:vAlign w:val="bottom"/>
            <w:gridSpan w:val="3"/>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both"/>
        <w:ind w:firstLine="380"/>
        <w:spacing w:after="0" w:line="332" w:lineRule="auto"/>
        <w:rPr>
          <w:sz w:val="20"/>
          <w:szCs w:val="20"/>
          <w:color w:val="auto"/>
        </w:rPr>
      </w:pPr>
      <w:r>
        <w:rPr>
          <w:rFonts w:ascii="Arial" w:cs="Arial" w:eastAsia="Arial" w:hAnsi="Arial"/>
          <w:sz w:val="16"/>
          <w:szCs w:val="16"/>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39"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1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2014 Annual Meeting of Stockholders to be held on May 19, 2014, or Proxy Statement. Certain information required by this item concerning executive officers is set forth in Part I of this Report under the caption "Executive Officers of the Registrant" and is incorporated herein by reference.</w:t>
      </w:r>
    </w:p>
    <w:p>
      <w:pPr>
        <w:spacing w:after="0" w:line="167"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194"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President and Chief Executive Officer, our Chief Financial Officer, and key management employees. Stockholders may request a free copy of our Code of Business Conduct and Ethics and our Senior Financial Officers' Code of Ethics by contacting Veracyte, Inc., Attention: Chief Financial Officer, 7000 Shoreline Court, Suite 250, South San Francisco, California 94080.</w:t>
      </w:r>
    </w:p>
    <w:p>
      <w:pPr>
        <w:spacing w:after="0" w:line="198"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w:t>
      </w:r>
      <w:r>
        <w:rPr>
          <w:rFonts w:ascii="Arial" w:cs="Arial" w:eastAsia="Arial" w:hAnsi="Arial"/>
          <w:sz w:val="16"/>
          <w:szCs w:val="16"/>
          <w:i w:val="1"/>
          <w:iCs w:val="1"/>
          <w:color w:val="auto"/>
        </w:rPr>
        <w:t>http://www.veracyte.com</w:t>
      </w:r>
      <w:r>
        <w:rPr>
          <w:rFonts w:ascii="Arial" w:cs="Arial" w:eastAsia="Arial" w:hAnsi="Arial"/>
          <w:sz w:val="16"/>
          <w:szCs w:val="16"/>
          <w:color w:val="auto"/>
        </w:rPr>
        <w:t xml:space="preserve"> within four business days following the date of such amendment or waiver.</w:t>
      </w:r>
    </w:p>
    <w:p>
      <w:pPr>
        <w:spacing w:after="0" w:line="161"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Our Board of Directors has appointed an Audit Committee, comprised of Ms. Karin Eastham, as Chairwoman, Brian G. Atwood and Dr. Fred E. Cohen. The Board of Directors has determined that Ms. Eastham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jc w:val="both"/>
        <w:ind w:firstLine="372"/>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"Election of Directors—Director Compensation" and "Executive Compensation" contained in the Proxy Statement.</w:t>
      </w:r>
    </w:p>
    <w:p>
      <w:pPr>
        <w:spacing w:after="0" w:line="18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jc w:val="both"/>
        <w:ind w:firstLine="498"/>
        <w:spacing w:after="0" w:line="332" w:lineRule="auto"/>
        <w:rPr>
          <w:sz w:val="20"/>
          <w:szCs w:val="20"/>
          <w:color w:val="auto"/>
        </w:rPr>
      </w:pPr>
      <w:r>
        <w:rPr>
          <w:rFonts w:ascii="Arial" w:cs="Arial" w:eastAsia="Arial" w:hAnsi="Arial"/>
          <w:sz w:val="16"/>
          <w:szCs w:val="16"/>
          <w:color w:val="auto"/>
        </w:rPr>
        <w:t>The information required by this item is incorporated by reference from the information under the captions "Security Ownership of Certain Beneficial Owners and Management" and "Executive Compensation—Equity Compensation Plan Information" contained in the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"Election of Directors—Certain Relationships and Related Transactions" and "—Director Independence" contained in the Proxy Statement.</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firstLine="393"/>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the Appointment of Independent Registered Public Accounting Firm—Principal Accountant Fees and Services" contained in the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22"/>
        <w:spacing w:after="0" w:line="268"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86" w:lineRule="exact"/>
        <w:rPr>
          <w:sz w:val="20"/>
          <w:szCs w:val="20"/>
          <w:color w:val="auto"/>
        </w:rPr>
      </w:pPr>
    </w:p>
    <w:p>
      <w:pPr>
        <w:ind w:left="720" w:hanging="36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5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9120" w:type="dxa"/>
            <w:vAlign w:val="bottom"/>
            <w:gridSpan w:val="2"/>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center"/>
              <w:ind w:left="506"/>
              <w:spacing w:after="0" w:line="201"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Restated Certificate of Incorporation of the Registrant (incorporated by reference to Exhibit 3.1 to the</w:t>
            </w:r>
          </w:p>
        </w:tc>
        <w:tc>
          <w:tcPr>
            <w:tcW w:w="114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Current Report on Form 8-K filed November 8,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of the Registrant (incorporated by reference to Exhibit 3.2 to the Registrant's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November 8,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of Common Stock Certificate (incorporated by reference to Exhibit 4.1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Second Amended and Restated Investors Rights Agreement, dated November 6, 2012, between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certain investors (incorporated by reference to Exhibit 4.2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Second Amended and Restated Investors Rights Agreement, dated June 14, 2013, between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and certain investors (incorporated by reference to Exhibit 4.3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w w:val="99"/>
              </w:rPr>
              <w:t>Warrant to Purchase Series C Preferred Stock dated June 26, 2013 (incorporated by reference to Exhibit 4.4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jc w:val="center"/>
              <w:ind w:left="1452"/>
              <w:spacing w:after="0"/>
              <w:rPr>
                <w:sz w:val="20"/>
                <w:szCs w:val="20"/>
                <w:color w:val="auto"/>
              </w:rPr>
            </w:pPr>
            <w:r>
              <w:rPr>
                <w:rFonts w:ascii="Arial" w:cs="Arial" w:eastAsia="Arial" w:hAnsi="Arial"/>
                <w:sz w:val="18"/>
                <w:szCs w:val="18"/>
                <w:color w:val="auto"/>
                <w:w w:val="84"/>
              </w:rPr>
              <w:t>10.1#</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of Indemnification Agreement between the Registrant and its officers and directors (incorporated by</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 to the Registrant's Registration Statement on Form S-1 (File No. 333-191282) , as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declared effective on October 29, 2013).</w:t>
            </w:r>
          </w:p>
        </w:tc>
      </w:tr>
      <w:tr>
        <w:trPr>
          <w:trHeight w:val="426"/>
        </w:trPr>
        <w:tc>
          <w:tcPr>
            <w:tcW w:w="2160" w:type="dxa"/>
            <w:vAlign w:val="bottom"/>
            <w:gridSpan w:val="3"/>
          </w:tcPr>
          <w:p>
            <w:pPr>
              <w:jc w:val="center"/>
              <w:ind w:left="1452"/>
              <w:spacing w:after="0"/>
              <w:rPr>
                <w:sz w:val="20"/>
                <w:szCs w:val="20"/>
                <w:color w:val="auto"/>
              </w:rPr>
            </w:pPr>
            <w:r>
              <w:rPr>
                <w:rFonts w:ascii="Arial" w:cs="Arial" w:eastAsia="Arial" w:hAnsi="Arial"/>
                <w:sz w:val="18"/>
                <w:szCs w:val="18"/>
                <w:color w:val="auto"/>
                <w:w w:val="84"/>
              </w:rPr>
              <w:t>10.2#</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2008 Stock Plan and forms of agreements thereunder (incorporated by reference to Exhibit 10.2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64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113</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00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89"/>
              </w:rPr>
              <w:t>2013 Stock Incentive Plan and forms of agreements thereunder (incorporated by reference to Exhibit 10.3 to the</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10.4</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dated as of February 10, 2010 between ARE-San Francisco No 17, LLC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10.4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10.5</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entered into as of July 11, 2012 between ARE-San Francisco No 17, LLC</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the Registrant (incorporated by reference to Exhibit 10.5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10.6</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between Riata Holdings, L.P., as landlord, and the Registrant, as tenant, dated November 28,</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2012 (incorporated by reference to Exhibit 10.6 to the Registrant's Registration Statement on Form S-1 (File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2160" w:type="dxa"/>
            <w:vAlign w:val="bottom"/>
            <w:gridSpan w:val="3"/>
          </w:tcPr>
          <w:p>
            <w:pPr>
              <w:ind w:left="1660"/>
              <w:spacing w:after="0"/>
              <w:rPr>
                <w:sz w:val="20"/>
                <w:szCs w:val="20"/>
                <w:color w:val="auto"/>
              </w:rPr>
            </w:pPr>
            <w:r>
              <w:rPr>
                <w:rFonts w:ascii="Arial" w:cs="Arial" w:eastAsia="Arial" w:hAnsi="Arial"/>
                <w:sz w:val="18"/>
                <w:szCs w:val="18"/>
                <w:color w:val="auto"/>
              </w:rPr>
              <w:t>10.7*</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dated as of January 7, 2014 by and between Riata Holdings, L.P. and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w:t>
            </w:r>
          </w:p>
        </w:tc>
      </w:tr>
      <w:tr>
        <w:trPr>
          <w:trHeight w:val="426"/>
        </w:trPr>
        <w:tc>
          <w:tcPr>
            <w:tcW w:w="116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10.8†</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Co-promotion Agreement dated as of January 18, 2012 between Genzyme Corporation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10.7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10.9</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Co-promotion Agreement, effective April 9, 2013, between Genzyme Corporation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10.8 to the Registrant's Registration Statement on Form S-1 (File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10.10</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Loan and Security Agreement dated as of June 26, 2013 between Silicon Valley Bank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10.9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2160" w:type="dxa"/>
            <w:vAlign w:val="bottom"/>
            <w:gridSpan w:val="3"/>
          </w:tcPr>
          <w:p>
            <w:pPr>
              <w:ind w:left="1580"/>
              <w:spacing w:after="0"/>
              <w:rPr>
                <w:sz w:val="20"/>
                <w:szCs w:val="20"/>
                <w:color w:val="auto"/>
              </w:rPr>
            </w:pPr>
            <w:r>
              <w:rPr>
                <w:rFonts w:ascii="Arial" w:cs="Arial" w:eastAsia="Arial" w:hAnsi="Arial"/>
                <w:sz w:val="18"/>
                <w:szCs w:val="18"/>
                <w:color w:val="auto"/>
              </w:rPr>
              <w:t>10.11#</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Employment Agreement, dated as of February 15, 2008, between Bonnie Anderson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10.10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10.12#</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Bonnie Anderson Employment Agreement, dated as of December 22, 2008, between Bonnie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10.13#</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No. 2 to Bonnie Anderson Employment Agreement, effective as of March 11, 2009, between Bonnie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10.12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114</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87"/>
              </w:rPr>
              <w:t>Change of Control and Severance Agreement, effective as of August 24, 2012, between Bonnie Anderson and the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1"/>
              </w:rPr>
              <w:t>Registrant (incorporated by reference to Exhibit 10.13 to the Registrant's Registration Statement on Form S-1</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88"/>
              </w:rPr>
              <w:t>Change of Control and Severance Agreement, effective as of August 24, 2012, between Christopher Hall and the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1"/>
              </w:rPr>
              <w:t>Registrant (incorporated by reference to Exhibit 10.14 to the Registrant's Registration Statement on Form S-1</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4"/>
              </w:rPr>
              <w:t>Change of Control and Severance Agreement, effective as of April 8, 2013, between Shelly Guyer and the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1"/>
              </w:rPr>
              <w:t>Registrant (incorporated by reference to Exhibit 10.15 to the Registrant's Registration Statement on Form S-1</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0"/>
              </w:rPr>
              <w:t>Executive Bonus Plan (incorporated by reference to Exhibit 10.16 to the Registrant's Registration Statement on</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3"/>
              </w:rPr>
              <w:t>Offer Letter dated as of April 8, 2013 with Shelly D. Guyer (incorporated by reference to Exhibit 10.17 to the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3"/>
              </w:rPr>
              <w:t>Registrant's Registration Statement on Form S-1 (File No. 333-191282), as amended, declared effective on</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89"/>
              </w:rPr>
              <w:t>Offer Letter dated as of January 28, 2010 with Christopher M. Hall (incorporated by reference to Exhibit 10.18 to</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0"/>
              </w:rPr>
              <w:t>the Registrant's Registration Statement on Form S-1 (File No. 333-191282), as amended, declared effective on</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1"/>
              </w:rPr>
              <w:t>Pathology Services Agreement dated as of November 12, 2010 between Brazos Valley Pathology, P.A. D/B/A</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88"/>
              </w:rPr>
              <w:t>Reitpath and the Registrant (incorporated by reference to Exhibit 10.19 to the Registrant's Registration Statement</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8"/>
              </w:rPr>
              <w:t>Approval of the Registrant to the Assignment of the Pathology Services Agreement with Brazos Valley</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Pathology to Thyroid Cytopathology Partners, P.A. as of May 18, 2011 (incorporated by reference to</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4"/>
              </w:rPr>
              <w:t>Exhibit 10.20 to the Registrant's Registration Statement on Form S-1 (File No. 333-191282), as amended,</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9"/>
              </w:rPr>
              <w:t>First Amendment to Pathology Services Agreement dated as of December 19, 2012 between Thyroid</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0"/>
              </w:rPr>
              <w:t>Cytopathology Partners, P.A. and the Registrant (incorporated by reference to Exhibit 10.21 to the Registrant's</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3"/>
              </w:rPr>
              <w:t>Registration Statement on Form S-1 (File No. 333-191282), as amended, declared effective on October 29,</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2013).</w:t>
            </w:r>
          </w:p>
        </w:tc>
      </w:tr>
      <w:tr>
        <w:trPr>
          <w:trHeight w:val="426"/>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87"/>
              </w:rPr>
              <w:t>Second Amendment to Pathology Services Agreement dated as of January 1, 2014 by and between the Registrant</w:t>
            </w:r>
          </w:p>
        </w:tc>
      </w:tr>
      <w:tr>
        <w:trPr>
          <w:trHeight w:val="222"/>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and Thyroid Cytopathology Partners, P.A.</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Power of Attorney (see page 117 of this Annual Report on Form 10-K).</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8"/>
              </w:rPr>
              <w:t>Principal Executive Officer's Certifications Pursuant to Section 302 of the Sarbanes-Oxley Act of 2002.</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w w:val="98"/>
              </w:rPr>
              <w:t>Principal Financial Officer's Certifications Pursuant to Section 302 of the Sarbanes-Oxley Act of 2002.</w:t>
            </w:r>
          </w:p>
        </w:tc>
      </w:tr>
    </w:tbl>
    <w:p>
      <w:pPr>
        <w:spacing w:after="0" w:line="210" w:lineRule="exact"/>
        <w:rPr>
          <w:sz w:val="20"/>
          <w:szCs w:val="20"/>
          <w:color w:val="auto"/>
        </w:rPr>
      </w:pPr>
    </w:p>
    <w:p>
      <w:pPr>
        <w:jc w:val="center"/>
        <w:ind w:right="80"/>
        <w:spacing w:after="0"/>
        <w:tabs>
          <w:tab w:leader="none" w:pos="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 1350 (Section 906 of Sarbanes-Oxley Act of 2002).</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424"/>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101.INS##</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101.SCH##</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101.CAL##</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101.DEF##</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101.LAB##</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101.PRE##</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right="3620" w:hanging="531"/>
        <w:spacing w:after="0" w:line="563"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#Indicates management contract or compensatory plan or arrangement.</w:t>
      </w:r>
    </w:p>
    <w:p>
      <w:pPr>
        <w:spacing w:after="0" w:line="28"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jc w:val="both"/>
        <w:ind w:left="1680" w:hanging="531"/>
        <w:spacing w:after="0" w:line="298"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396" w:lineRule="exact"/>
        <w:rPr>
          <w:sz w:val="20"/>
          <w:szCs w:val="20"/>
          <w:color w:val="auto"/>
        </w:rPr>
      </w:pPr>
    </w:p>
    <w:p>
      <w:pPr>
        <w:jc w:val="both"/>
        <w:ind w:left="1680" w:hanging="531"/>
        <w:spacing w:after="0" w:line="306"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7000 Shoreline Court, Suite 250, South San Francisco, California 94080.</w:t>
      </w:r>
    </w:p>
    <w:p>
      <w:pPr>
        <w:spacing w:after="0" w:line="213" w:lineRule="exact"/>
        <w:rPr>
          <w:sz w:val="20"/>
          <w:szCs w:val="20"/>
          <w:color w:val="auto"/>
        </w:rPr>
      </w:pPr>
    </w:p>
    <w:p>
      <w:pPr>
        <w:ind w:left="360" w:right="8160" w:hanging="352"/>
        <w:spacing w:after="0" w:line="601" w:lineRule="auto"/>
        <w:tabs>
          <w:tab w:leader="none" w:pos="549" w:val="left"/>
        </w:tabs>
        <w:numPr>
          <w:ilvl w:val="0"/>
          <w:numId w:val="43"/>
        </w:numPr>
        <w:rPr>
          <w:rFonts w:ascii="Arial" w:cs="Arial" w:eastAsia="Arial" w:hAnsi="Arial"/>
          <w:sz w:val="15"/>
          <w:szCs w:val="15"/>
          <w:color w:val="auto"/>
        </w:rPr>
      </w:pPr>
      <w:r>
        <w:rPr>
          <w:rFonts w:ascii="Arial" w:cs="Arial" w:eastAsia="Arial" w:hAnsi="Arial"/>
          <w:sz w:val="15"/>
          <w:szCs w:val="15"/>
          <w:color w:val="auto"/>
        </w:rPr>
        <w:t>Financial Statement Schedules Reference is made to Item 15(a) 2 above.</w:t>
      </w: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VERACYTE, INC.</w:t>
      </w:r>
    </w:p>
    <w:p>
      <w:pPr>
        <w:spacing w:after="0" w:line="252" w:lineRule="exact"/>
        <w:rPr>
          <w:sz w:val="20"/>
          <w:szCs w:val="20"/>
          <w:color w:val="auto"/>
        </w:rPr>
      </w:pPr>
    </w:p>
    <w:p>
      <w:pPr>
        <w:ind w:left="570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2014</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Bonnie H. Anderson and Shelly D. Guyer,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97"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BONNIE H. ANDERSON</w:t>
            </w:r>
          </w:p>
        </w:tc>
        <w:tc>
          <w:tcPr>
            <w:tcW w:w="3860" w:type="dxa"/>
            <w:vAlign w:val="bottom"/>
          </w:tcPr>
          <w:p>
            <w:pPr>
              <w:ind w:left="160"/>
              <w:spacing w:after="0"/>
              <w:rPr>
                <w:sz w:val="20"/>
                <w:szCs w:val="20"/>
                <w:color w:val="auto"/>
              </w:rPr>
            </w:pPr>
            <w:r>
              <w:rPr>
                <w:rFonts w:ascii="Arial" w:cs="Arial" w:eastAsia="Arial" w:hAnsi="Arial"/>
                <w:sz w:val="18"/>
                <w:szCs w:val="18"/>
                <w:color w:val="auto"/>
              </w:rPr>
              <w:t>President, Chief Executive Officer (Principal</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20,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Executive Officer) and Director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Bonnie H. Anderson</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SHELLY D. GUYER</w:t>
            </w:r>
          </w:p>
        </w:tc>
        <w:tc>
          <w:tcPr>
            <w:tcW w:w="3860" w:type="dxa"/>
            <w:vAlign w:val="bottom"/>
          </w:tcPr>
          <w:p>
            <w:pPr>
              <w:ind w:left="160"/>
              <w:spacing w:after="0"/>
              <w:rPr>
                <w:sz w:val="20"/>
                <w:szCs w:val="20"/>
                <w:color w:val="auto"/>
              </w:rPr>
            </w:pPr>
            <w:r>
              <w:rPr>
                <w:rFonts w:ascii="Arial" w:cs="Arial" w:eastAsia="Arial" w:hAnsi="Arial"/>
                <w:sz w:val="18"/>
                <w:szCs w:val="18"/>
                <w:color w:val="auto"/>
                <w:w w:val="99"/>
              </w:rPr>
              <w:t>Chief Financial Officer (Principal Financial and</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20,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Shelly D. Guyer</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BRIAN G. ATWOOD</w:t>
            </w:r>
          </w:p>
        </w:tc>
        <w:tc>
          <w:tcPr>
            <w:tcW w:w="3860" w:type="dxa"/>
            <w:vAlign w:val="bottom"/>
          </w:tcPr>
          <w:p>
            <w:pPr>
              <w:ind w:left="160"/>
              <w:spacing w:after="0"/>
              <w:rPr>
                <w:sz w:val="20"/>
                <w:szCs w:val="20"/>
                <w:color w:val="auto"/>
              </w:rPr>
            </w:pPr>
            <w:r>
              <w:rPr>
                <w:rFonts w:ascii="Arial" w:cs="Arial" w:eastAsia="Arial" w:hAnsi="Arial"/>
                <w:sz w:val="18"/>
                <w:szCs w:val="18"/>
                <w:color w:val="auto"/>
              </w:rPr>
              <w:t>Chairman of Board of Directors</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20,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Brian G. Atwood</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BROOK H. BYERS</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20,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Brook H. Byers</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FRED E. COHEN, M.D., D.PHIL.</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20,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Fred E. Cohen, M.D., D.Phil.</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60" w:type="dxa"/>
            <w:vAlign w:val="bottom"/>
          </w:tcPr>
          <w:p>
            <w:pPr>
              <w:ind w:left="840"/>
              <w:spacing w:after="0"/>
              <w:rPr>
                <w:sz w:val="20"/>
                <w:szCs w:val="20"/>
                <w:color w:val="auto"/>
              </w:rPr>
            </w:pPr>
            <w:r>
              <w:rPr>
                <w:rFonts w:ascii="Arial" w:cs="Arial" w:eastAsia="Arial" w:hAnsi="Arial"/>
                <w:sz w:val="18"/>
                <w:szCs w:val="18"/>
                <w:color w:val="auto"/>
              </w:rPr>
              <w:t>117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SAMUEL D. COLELLA</w:t>
            </w:r>
          </w:p>
        </w:tc>
        <w:tc>
          <w:tcPr>
            <w:tcW w:w="8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Samuel D. Colella</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7"/>
              </w:rPr>
              <w:t>/s/ KARIN EASTHAM</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Karin Eastham</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EVAN JONES</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Evan Jones</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JESSE I. TREU, PH.D.</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Jesse I. Treu, Ph.D.</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20, 2014</w:t>
            </w: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118</w:t>
            </w: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THIS FIRST AMENDMENT TO LEASE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xml:space="preserve">”) is made and entered into as of January 7, 2014, by and between </w:t>
      </w:r>
      <w:r>
        <w:rPr>
          <w:rFonts w:ascii="Arial" w:cs="Arial" w:eastAsia="Arial" w:hAnsi="Arial"/>
          <w:sz w:val="18"/>
          <w:szCs w:val="18"/>
          <w:b w:val="1"/>
          <w:bCs w:val="1"/>
          <w:color w:val="auto"/>
        </w:rPr>
        <w:t>RIATA</w:t>
      </w:r>
      <w:r>
        <w:rPr>
          <w:rFonts w:ascii="Arial" w:cs="Arial" w:eastAsia="Arial" w:hAnsi="Arial"/>
          <w:sz w:val="18"/>
          <w:szCs w:val="18"/>
          <w:color w:val="auto"/>
        </w:rPr>
        <w:t xml:space="preserve"> </w:t>
      </w:r>
      <w:r>
        <w:rPr>
          <w:rFonts w:ascii="Arial" w:cs="Arial" w:eastAsia="Arial" w:hAnsi="Arial"/>
          <w:sz w:val="18"/>
          <w:szCs w:val="18"/>
          <w:b w:val="1"/>
          <w:bCs w:val="1"/>
          <w:color w:val="auto"/>
        </w:rPr>
        <w:t>HOLDINGS, L.P.</w:t>
      </w:r>
      <w:r>
        <w:rPr>
          <w:rFonts w:ascii="Arial" w:cs="Arial" w:eastAsia="Arial" w:hAnsi="Arial"/>
          <w:sz w:val="18"/>
          <w:szCs w:val="18"/>
          <w:color w:val="auto"/>
        </w:rPr>
        <w:t>, Delaware limited partnership doing business in Texas as Riata Austin Holdings, L.P.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VERACYTE,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56"/>
        <w:spacing w:after="0" w:line="261" w:lineRule="auto"/>
        <w:tabs>
          <w:tab w:leader="none" w:pos="13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Agreement dated November 28, 2012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pursuant to which Tenant leases from Landlord certain premises consisting of approximately 10,364 rentable square feet (the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 located in the building commonly known as 12357 A Riata Trace Parkway, Building 5, Austin, Texas 78727 (the “</w:t>
      </w:r>
      <w:r>
        <w:rPr>
          <w:rFonts w:ascii="Arial" w:cs="Arial" w:eastAsia="Arial" w:hAnsi="Arial"/>
          <w:sz w:val="18"/>
          <w:szCs w:val="18"/>
          <w:b w:val="1"/>
          <w:bCs w:val="1"/>
          <w:u w:val="single" w:color="auto"/>
          <w:color w:val="auto"/>
        </w:rPr>
        <w:t>Building</w:t>
      </w:r>
      <w:r>
        <w:rPr>
          <w:rFonts w:ascii="Arial" w:cs="Arial" w:eastAsia="Arial" w:hAnsi="Arial"/>
          <w:sz w:val="18"/>
          <w:szCs w:val="18"/>
          <w:color w:val="auto"/>
        </w:rPr>
        <w:t>”). Capitalized terms used but not defined in this Amendment shall have the meanings given them in the Lease.</w:t>
      </w:r>
    </w:p>
    <w:p>
      <w:pPr>
        <w:spacing w:after="0" w:line="184" w:lineRule="exact"/>
        <w:rPr>
          <w:rFonts w:ascii="Arial" w:cs="Arial" w:eastAsia="Arial" w:hAnsi="Arial"/>
          <w:sz w:val="18"/>
          <w:szCs w:val="18"/>
          <w:color w:val="auto"/>
        </w:rPr>
      </w:pPr>
    </w:p>
    <w:p>
      <w:pPr>
        <w:ind w:right="80" w:firstLine="656"/>
        <w:spacing w:after="0" w:line="277" w:lineRule="auto"/>
        <w:tabs>
          <w:tab w:leader="none" w:pos="12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 and Tenant desire to amend the Lease to set forth the terms and conditions on which Tenant may allow certain other parties to use and occupy portions of the Premises.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mutual receipt and legal sufficiency of which are hereby 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Permitted Occupants</w:t>
      </w:r>
      <w:r>
        <w:rPr>
          <w:rFonts w:ascii="Arial" w:cs="Arial" w:eastAsia="Arial" w:hAnsi="Arial"/>
          <w:sz w:val="18"/>
          <w:szCs w:val="18"/>
          <w:color w:val="auto"/>
        </w:rPr>
        <w:t>. Effective as of March 1, 2013, the Lease is hereby amended to add a new Section 10.9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10.9</w:t>
      </w:r>
      <w:r>
        <w:rPr>
          <w:rFonts w:ascii="Arial" w:cs="Arial" w:eastAsia="Arial" w:hAnsi="Arial"/>
          <w:sz w:val="16"/>
          <w:szCs w:val="16"/>
          <w:b w:val="1"/>
          <w:bCs w:val="1"/>
          <w:u w:val="single" w:color="auto"/>
          <w:color w:val="auto"/>
        </w:rPr>
        <w:t>Permitted Occupants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ind w:left="1300" w:right="20" w:firstLine="653"/>
        <w:spacing w:after="0" w:line="289" w:lineRule="auto"/>
        <w:tabs>
          <w:tab w:leader="none" w:pos="2593"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Notwithstanding Section 10.1, Tenant may permit up to fifty percent (50%) of the rentable square footage of the Premises to be used and occupied by </w:t>
      </w:r>
      <w:r>
        <w:rPr>
          <w:rFonts w:ascii="Arial" w:cs="Arial" w:eastAsia="Arial" w:hAnsi="Arial"/>
          <w:sz w:val="16"/>
          <w:szCs w:val="16"/>
          <w:b w:val="1"/>
          <w:bCs w:val="1"/>
          <w:color w:val="auto"/>
        </w:rPr>
        <w:t>THYROID CYTOPATHOLOGY PARTNERS, P.A.</w:t>
      </w:r>
      <w:r>
        <w:rPr>
          <w:rFonts w:ascii="Arial" w:cs="Arial" w:eastAsia="Arial" w:hAnsi="Arial"/>
          <w:sz w:val="16"/>
          <w:szCs w:val="16"/>
          <w:color w:val="auto"/>
        </w:rPr>
        <w:t>, a Texas professional association and/or, with Landlord’s prior written consent, other entities unaffiliated with Tenant with which Tenant engages in collaborative business activities which Tenant believes would be enhanced by co-location (each, a “</w:t>
      </w:r>
      <w:r>
        <w:rPr>
          <w:rFonts w:ascii="Arial" w:cs="Arial" w:eastAsia="Arial" w:hAnsi="Arial"/>
          <w:sz w:val="16"/>
          <w:szCs w:val="16"/>
          <w:b w:val="1"/>
          <w:bCs w:val="1"/>
          <w:u w:val="single" w:color="auto"/>
          <w:color w:val="auto"/>
        </w:rPr>
        <w:t>Permitted Occupant</w:t>
      </w:r>
      <w:r>
        <w:rPr>
          <w:rFonts w:ascii="Arial" w:cs="Arial" w:eastAsia="Arial" w:hAnsi="Arial"/>
          <w:sz w:val="16"/>
          <w:szCs w:val="16"/>
          <w:color w:val="auto"/>
        </w:rPr>
        <w:t>”), subject to the following conditions: (a) the Permitted Occupant is of a character, is engaged in a business, uses the Premises only for the Permitted Use, and otherwise meets Landlord’s reasonable standards for tenants of the Building, (b) the use of the Premises by the Permitted Occupant does not violate any other agreements affecting the Premises, the Building, the Project, or Landlord (including any exclusive use agreements between Landlord and other Building tenants or occupants), (c) the use and occupancy by the Permitted Occupant is subject to, and the Permitted Occupant must comply with, all of the terms, covenants, conditions and obligations on Tenant’s part to be observed and performed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right="60"/>
        <w:spacing w:after="0" w:line="285" w:lineRule="auto"/>
        <w:rPr>
          <w:sz w:val="20"/>
          <w:szCs w:val="20"/>
          <w:color w:val="auto"/>
        </w:rPr>
      </w:pPr>
      <w:r>
        <w:rPr>
          <w:rFonts w:ascii="Arial" w:cs="Arial" w:eastAsia="Arial" w:hAnsi="Arial"/>
          <w:sz w:val="16"/>
          <w:szCs w:val="16"/>
          <w:color w:val="auto"/>
        </w:rPr>
        <w:t>Lease (other than Tenant’s obligation to pay Basic Rent or Additional Rent under this Lease); however, a Permitted Occupant shall only be required to maintain the following insurance coverages: commercial general liability insurance (including property damage, bodily injury and personal injury coverage) in amounts of $1,000,000 per occurrence, $2,000,000 annual aggregate; with an additional $1,000,000 in umbrella coverage; commercial auto liability insurance covering automobiles owned, hired or used by a Permitted Occupant in carrying on its business at the Premises with limits not less than $1,000,000 combined single limit for each accident; and workers’ compensation insurance as required by Law, (d) any violation of any provision of this Lease by the Permitted Occupant shall be deemed to be a default by Tenant under such provision, (e) the space occupied by the Permitted Occupant shall not be separately demised from the Premises, (f) the Permitted Occupant shall have no recourse against Landlord whatsoever on account of any failure by Landlord to perform any of its obligations under this Lease or on account of any other matter, (g) all notices required of Landlord under this Lease shall be forwarded only to Tenant in accordance with the terms of this Lease and in no event shall Landlord be required to send any notices to any Permitted Occupant, (h) in no event shall any use or occupancy of any portion of the Premises by any Permitted Occupant release or relieve Tenant from any of its obligations under this Lease, (i) each such Permitted Occupant shall be deemed an invitee of Tenant (and therefore a Tenant Party), and Tenant shall be fully and primarily liable for all acts and omissions of such Permitted Occupant as fully and completely as if such Permitted Occupant was an employee of Tenant, (j) in no event shall the occupancy of any portion of the Premises by any Permitted Occupant be deemed to create a landlord/tenant relationship between Landlord and such Permitted Occupant or be deemed to vest in Permitted Occupant any right or interest in the Premises or this Lease, and, in all instances, Tenant shall be considered the sole tenant under the Lease notwithstanding the occupancy of any portion of the Premises by any Permitted Occupant, and (k) Tenant shall receive no rent, payment or other consideration in connection with such occupancy and use other than payments which shall not exceed, per rentable square foot occupied and used by such Permitted Occupant, the Basic Rent and Additional Rent amounts (per rentable square foot in the Premises) payable by Tenant for such space hereunder.</w:t>
      </w:r>
    </w:p>
    <w:p>
      <w:pPr>
        <w:spacing w:after="0" w:line="387" w:lineRule="exact"/>
        <w:rPr>
          <w:sz w:val="20"/>
          <w:szCs w:val="20"/>
          <w:color w:val="auto"/>
        </w:rPr>
      </w:pPr>
    </w:p>
    <w:p>
      <w:pPr>
        <w:ind w:left="1300" w:right="140" w:firstLine="653"/>
        <w:spacing w:after="0" w:line="264" w:lineRule="auto"/>
        <w:tabs>
          <w:tab w:leader="none" w:pos="26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Landlord approves any future Permitted Occupant, Landlord and Tenant shall execute a letter agreement confirming such approval. Tenant shall provide to Landlord promptly after request a written list of the names and contact information of all Permitted Occupants then being allowed access to the Premises by Tenant.</w:t>
      </w:r>
    </w:p>
    <w:p>
      <w:pPr>
        <w:spacing w:after="0" w:line="181" w:lineRule="exact"/>
        <w:rPr>
          <w:rFonts w:ascii="Arial" w:cs="Arial" w:eastAsia="Arial" w:hAnsi="Arial"/>
          <w:sz w:val="18"/>
          <w:szCs w:val="18"/>
          <w:color w:val="auto"/>
        </w:rPr>
      </w:pPr>
    </w:p>
    <w:p>
      <w:pPr>
        <w:ind w:left="1300" w:right="80" w:firstLine="653"/>
        <w:spacing w:after="0" w:line="277" w:lineRule="auto"/>
        <w:tabs>
          <w:tab w:leader="none" w:pos="26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equipment or other property of a Permitted Occupant in the Project shall be subject to Section 16 (Personal Property Taxes), Section 20 (Landlord’s Lien) and Section 21 (Surrender of Premises)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spacing w:after="0" w:line="342" w:lineRule="auto"/>
        <w:rPr>
          <w:sz w:val="20"/>
          <w:szCs w:val="20"/>
          <w:color w:val="auto"/>
        </w:rPr>
      </w:pPr>
      <w:r>
        <w:rPr>
          <w:rFonts w:ascii="Arial" w:cs="Arial" w:eastAsia="Arial" w:hAnsi="Arial"/>
          <w:sz w:val="16"/>
          <w:szCs w:val="16"/>
          <w:color w:val="auto"/>
        </w:rPr>
        <w:t>this Lease. However, nothing in this Section 10.9 shall diminish Landlord’s rights elsewhere in this Lease or imply that Landlord has any duties to any Permitted Occupant. Tenant acknowledges that Landlord shall have no responsibility or liability for the allocation or use of</w:t>
      </w:r>
    </w:p>
    <w:p>
      <w:pPr>
        <w:sectPr>
          <w:pgSz w:w="11900" w:h="16838" w:orient="portrait"/>
          <w:cols w:equalWidth="0" w:num="1">
            <w:col w:w="11420"/>
          </w:cols>
          <w:pgMar w:left="240" w:top="364" w:right="239" w:bottom="0" w:gutter="0" w:footer="0" w:header="0"/>
        </w:sectPr>
      </w:pPr>
    </w:p>
    <w:bookmarkStart w:id="123" w:name="page124"/>
    <w:bookmarkEnd w:id="123"/>
    <w:p>
      <w:pPr>
        <w:ind w:left="1300" w:right="120"/>
        <w:spacing w:after="0" w:line="277" w:lineRule="auto"/>
        <w:rPr>
          <w:sz w:val="20"/>
          <w:szCs w:val="20"/>
          <w:color w:val="auto"/>
        </w:rPr>
      </w:pPr>
      <w:r>
        <w:rPr>
          <w:rFonts w:ascii="Arial" w:cs="Arial" w:eastAsia="Arial" w:hAnsi="Arial"/>
          <w:sz w:val="18"/>
          <w:szCs w:val="18"/>
          <w:color w:val="auto"/>
        </w:rPr>
        <w:t>the Premises between Tenant and any Permitted Occupant. No disputes among Tenant and any Permitted Occupant shall in any way affect the obligations of Tenant hereunder.</w:t>
      </w:r>
    </w:p>
    <w:p>
      <w:pPr>
        <w:spacing w:after="0" w:line="170" w:lineRule="exact"/>
        <w:rPr>
          <w:sz w:val="20"/>
          <w:szCs w:val="20"/>
          <w:color w:val="auto"/>
        </w:rPr>
      </w:pPr>
    </w:p>
    <w:p>
      <w:pPr>
        <w:ind w:left="1300" w:firstLine="653"/>
        <w:spacing w:after="0" w:line="264" w:lineRule="auto"/>
        <w:tabs>
          <w:tab w:leader="none" w:pos="26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addition to all other indemnity obligations of Tenant under this Lease, Tenant shall defend, indemnify and hold harmless Landlord, Landlord’s Mortgagee and their respective representatives and agents from and against all Losses arising from all claims made by, attributable to, or otherwise relating to, any Permitted Occupant.</w:t>
      </w:r>
    </w:p>
    <w:p>
      <w:pPr>
        <w:spacing w:after="0" w:line="177" w:lineRule="exact"/>
        <w:rPr>
          <w:rFonts w:ascii="Arial" w:cs="Arial" w:eastAsia="Arial" w:hAnsi="Arial"/>
          <w:sz w:val="18"/>
          <w:szCs w:val="18"/>
          <w:color w:val="auto"/>
        </w:rPr>
      </w:pPr>
    </w:p>
    <w:p>
      <w:pPr>
        <w:jc w:val="both"/>
        <w:ind w:right="340" w:firstLine="656"/>
        <w:spacing w:after="0" w:line="347" w:lineRule="auto"/>
        <w:tabs>
          <w:tab w:leader="none" w:pos="1296"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Business Interruption Insurance Requirements</w:t>
      </w:r>
      <w:r>
        <w:rPr>
          <w:rFonts w:ascii="Arial" w:cs="Arial" w:eastAsia="Arial" w:hAnsi="Arial"/>
          <w:sz w:val="16"/>
          <w:szCs w:val="16"/>
          <w:color w:val="auto"/>
        </w:rPr>
        <w:t>. Section 11.1 of the Lease is hereby amended to require that Tenant</w:t>
      </w:r>
      <w:r>
        <w:rPr>
          <w:rFonts w:ascii="Arial" w:cs="Arial" w:eastAsia="Arial" w:hAnsi="Arial"/>
          <w:sz w:val="16"/>
          <w:szCs w:val="16"/>
          <w:b w:val="1"/>
          <w:bCs w:val="1"/>
          <w:color w:val="auto"/>
        </w:rPr>
        <w:t xml:space="preserve"> </w:t>
      </w:r>
      <w:r>
        <w:rPr>
          <w:rFonts w:ascii="Arial" w:cs="Arial" w:eastAsia="Arial" w:hAnsi="Arial"/>
          <w:sz w:val="16"/>
          <w:szCs w:val="16"/>
          <w:color w:val="auto"/>
        </w:rPr>
        <w:t>obtain business interruption insurance in an amount equal to or greater than 6 months (rather than 12 months) of Tenant’s actual, sustained probable loss.</w:t>
      </w:r>
    </w:p>
    <w:p>
      <w:pPr>
        <w:spacing w:after="0" w:line="116" w:lineRule="exact"/>
        <w:rPr>
          <w:rFonts w:ascii="Arial" w:cs="Arial" w:eastAsia="Arial" w:hAnsi="Arial"/>
          <w:sz w:val="16"/>
          <w:szCs w:val="16"/>
          <w:color w:val="auto"/>
        </w:rPr>
      </w:pPr>
    </w:p>
    <w:p>
      <w:pPr>
        <w:ind w:left="1300" w:hanging="64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 Precedent</w:t>
      </w:r>
      <w:r>
        <w:rPr>
          <w:rFonts w:ascii="Arial" w:cs="Arial" w:eastAsia="Arial" w:hAnsi="Arial"/>
          <w:sz w:val="17"/>
          <w:szCs w:val="17"/>
          <w:color w:val="auto"/>
        </w:rPr>
        <w:t>. Tenant’s delivery to Landlord of the following items shall be conditions precedent to the effectiveness of this</w:t>
      </w:r>
    </w:p>
    <w:p>
      <w:pPr>
        <w:spacing w:after="0" w:line="38" w:lineRule="exact"/>
        <w:rPr>
          <w:rFonts w:ascii="Arial" w:cs="Arial" w:eastAsia="Arial" w:hAnsi="Arial"/>
          <w:sz w:val="17"/>
          <w:szCs w:val="17"/>
          <w:color w:val="auto"/>
        </w:rPr>
      </w:pPr>
    </w:p>
    <w:p>
      <w:pPr>
        <w:ind w:right="20"/>
        <w:spacing w:after="0" w:line="254" w:lineRule="auto"/>
        <w:rPr>
          <w:rFonts w:ascii="Arial" w:cs="Arial" w:eastAsia="Arial" w:hAnsi="Arial"/>
          <w:sz w:val="17"/>
          <w:szCs w:val="17"/>
          <w:color w:val="auto"/>
        </w:rPr>
      </w:pPr>
      <w:r>
        <w:rPr>
          <w:rFonts w:ascii="Arial" w:cs="Arial" w:eastAsia="Arial" w:hAnsi="Arial"/>
          <w:sz w:val="18"/>
          <w:szCs w:val="18"/>
          <w:color w:val="auto"/>
        </w:rPr>
        <w:t>Agreement: (a) $1,500 from Tenant, representing Landlord’s attorneys’ fees incurred in connection with this Amendment (it being understood that pursuant to Section 25.20 of the Lease, Tenant shall reimburse Landlord within 30 days following Landlord’s delivery to Tenant of a statement for any actual, out-of-pocket fees incurred by Landlord in excess of such amount), and (b) certificates of insurance from the Permitted Occupant satisfying all the requirements Section 1(a) above.</w:t>
      </w:r>
    </w:p>
    <w:p>
      <w:pPr>
        <w:spacing w:after="0" w:line="185" w:lineRule="exact"/>
        <w:rPr>
          <w:rFonts w:ascii="Arial" w:cs="Arial" w:eastAsia="Arial" w:hAnsi="Arial"/>
          <w:sz w:val="17"/>
          <w:szCs w:val="17"/>
          <w:color w:val="auto"/>
        </w:rPr>
      </w:pPr>
    </w:p>
    <w:p>
      <w:pPr>
        <w:ind w:right="60" w:firstLine="656"/>
        <w:spacing w:after="0" w:line="298" w:lineRule="auto"/>
        <w:tabs>
          <w:tab w:leader="none" w:pos="1296"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Landlord and Tenant each represents and warrants to the other that neither party has authorized or employed, or acted by</w:t>
      </w:r>
      <w:r>
        <w:rPr>
          <w:rFonts w:ascii="Arial" w:cs="Arial" w:eastAsia="Arial" w:hAnsi="Arial"/>
          <w:sz w:val="16"/>
          <w:szCs w:val="16"/>
          <w:b w:val="1"/>
          <w:bCs w:val="1"/>
          <w:color w:val="auto"/>
        </w:rPr>
        <w:t xml:space="preserve"> </w:t>
      </w:r>
      <w:r>
        <w:rPr>
          <w:rFonts w:ascii="Arial" w:cs="Arial" w:eastAsia="Arial" w:hAnsi="Arial"/>
          <w:sz w:val="16"/>
          <w:szCs w:val="16"/>
          <w:color w:val="auto"/>
        </w:rPr>
        <w:t>implication to authorize or to employ, any real estate broker or salesman to act for such party in connection with this Amendment. Tenant shall hold Landlord harmless from and indemnify and defend Landlord against any and all claims by any real estate broker or salesman for a commission, finder’s fee or other compensation as a result of Tenant entering this Amendment. Landlord shall hold Tenant harmless from and indemnify and defend Tenant against any and all claims by any real estate broker or salesman for a commission, finder’s fee or other compensation as a result of Landlord entering this Amendment.</w:t>
      </w:r>
    </w:p>
    <w:p>
      <w:pPr>
        <w:spacing w:after="0" w:line="154" w:lineRule="exact"/>
        <w:rPr>
          <w:rFonts w:ascii="Arial" w:cs="Arial" w:eastAsia="Arial" w:hAnsi="Arial"/>
          <w:sz w:val="16"/>
          <w:szCs w:val="16"/>
          <w:color w:val="auto"/>
        </w:rPr>
      </w:pPr>
    </w:p>
    <w:p>
      <w:pPr>
        <w:ind w:right="160" w:firstLine="656"/>
        <w:spacing w:after="0" w:line="282" w:lineRule="auto"/>
        <w:tabs>
          <w:tab w:leader="none" w:pos="1296"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Tenant acknowledges the terms and conditions of the Lease (as amended hereby) are to remain confidential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25.22 of the Lease.</w:t>
      </w:r>
    </w:p>
    <w:p>
      <w:pPr>
        <w:spacing w:after="0" w:line="161" w:lineRule="exact"/>
        <w:rPr>
          <w:rFonts w:ascii="Arial" w:cs="Arial" w:eastAsia="Arial" w:hAnsi="Arial"/>
          <w:sz w:val="18"/>
          <w:szCs w:val="18"/>
          <w:color w:val="auto"/>
        </w:rPr>
      </w:pPr>
    </w:p>
    <w:p>
      <w:pPr>
        <w:ind w:right="60" w:firstLine="656"/>
        <w:spacing w:after="0" w:line="282" w:lineRule="auto"/>
        <w:tabs>
          <w:tab w:leader="none" w:pos="1296"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Prohibited Persons and Transactions</w:t>
      </w:r>
      <w:r>
        <w:rPr>
          <w:rFonts w:ascii="Arial" w:cs="Arial" w:eastAsia="Arial" w:hAnsi="Arial"/>
          <w:sz w:val="18"/>
          <w:szCs w:val="18"/>
          <w:color w:val="auto"/>
        </w:rPr>
        <w:t>. Tenant acknowledges that the representations and warranties made in Section 25.27 of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Lease (pertaining to OFAC) remain valid and are remade as of the date of this Amendment.</w:t>
      </w:r>
    </w:p>
    <w:p>
      <w:pPr>
        <w:spacing w:after="0" w:line="161" w:lineRule="exact"/>
        <w:rPr>
          <w:rFonts w:ascii="Arial" w:cs="Arial" w:eastAsia="Arial" w:hAnsi="Arial"/>
          <w:sz w:val="18"/>
          <w:szCs w:val="18"/>
          <w:color w:val="auto"/>
        </w:rPr>
      </w:pPr>
    </w:p>
    <w:p>
      <w:pPr>
        <w:ind w:right="320" w:firstLine="656"/>
        <w:spacing w:after="0" w:line="313" w:lineRule="auto"/>
        <w:tabs>
          <w:tab w:leader="none" w:pos="1296"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Ratification</w:t>
      </w:r>
      <w:r>
        <w:rPr>
          <w:rFonts w:ascii="Arial" w:cs="Arial" w:eastAsia="Arial" w:hAnsi="Arial"/>
          <w:sz w:val="17"/>
          <w:szCs w:val="17"/>
          <w:color w:val="auto"/>
        </w:rPr>
        <w:t>. Tenant hereby ratifies and confirms its obligations under the Lease, and represents and warrants to Landlord that it has no</w:t>
      </w:r>
      <w:r>
        <w:rPr>
          <w:rFonts w:ascii="Arial" w:cs="Arial" w:eastAsia="Arial" w:hAnsi="Arial"/>
          <w:sz w:val="17"/>
          <w:szCs w:val="17"/>
          <w:b w:val="1"/>
          <w:bCs w:val="1"/>
          <w:color w:val="auto"/>
        </w:rPr>
        <w:t xml:space="preserve"> </w:t>
      </w:r>
      <w:r>
        <w:rPr>
          <w:rFonts w:ascii="Arial" w:cs="Arial" w:eastAsia="Arial" w:hAnsi="Arial"/>
          <w:sz w:val="17"/>
          <w:szCs w:val="17"/>
          <w:color w:val="auto"/>
        </w:rPr>
        <w:t>defenses thereto. Additionally, Tenant further confirms and ratifies that, as of the date hereof, (a) the Lease is and remains in good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standing and in full force and effect, (b) Tenant has no claims, counterclaims, set-offs or defenses against Landlord arising out of the Lease or in any way relating thereto or arising out of any other transaction between Landlord and Tenant, and (c) all tenant finish-work allowances provided to Tenant under the Lease or otherwise, if any, have been paid in full by Landlord to Tenant, and Landlord has no further obligations with respect thereto.</w:t>
      </w:r>
    </w:p>
    <w:p>
      <w:pPr>
        <w:spacing w:after="0" w:line="143" w:lineRule="exact"/>
        <w:rPr>
          <w:sz w:val="20"/>
          <w:szCs w:val="20"/>
          <w:color w:val="auto"/>
        </w:rPr>
      </w:pPr>
    </w:p>
    <w:p>
      <w:pPr>
        <w:ind w:right="200" w:firstLine="656"/>
        <w:spacing w:after="0" w:line="289" w:lineRule="auto"/>
        <w:tabs>
          <w:tab w:leader="none" w:pos="1296"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color w:val="auto"/>
        </w:rPr>
        <w:t>. Except as modified hereby, the Lease shall remain in full effect and this Amendment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Landlord and Tenant and their respective successors and assigns. If any inconsistency exists or arises between the terms of the Lease and the terms of this Amendment, the terms of this Amendment shall prevail. This Amendment shall be governed by the laws of the State of Texas.</w:t>
      </w:r>
    </w:p>
    <w:p>
      <w:pPr>
        <w:spacing w:after="0" w:line="158" w:lineRule="exact"/>
        <w:rPr>
          <w:rFonts w:ascii="Arial" w:cs="Arial" w:eastAsia="Arial" w:hAnsi="Arial"/>
          <w:sz w:val="17"/>
          <w:szCs w:val="17"/>
          <w:color w:val="auto"/>
        </w:rPr>
      </w:pPr>
    </w:p>
    <w:p>
      <w:pPr>
        <w:ind w:right="40" w:firstLine="656"/>
        <w:spacing w:after="0" w:line="266" w:lineRule="auto"/>
        <w:tabs>
          <w:tab w:leader="none" w:pos="1296"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counterparts, each of which when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and all such counterparts together shall constitute one and the same instrument. The execution of facsimiles and/or PDF (i.e., email) versions of this Amendment shall be binding on the parties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Landlord and Tenant respectively have executed this Amendment as of the day and year first above written.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[SIGNATURE PAGE TO FIRST AMENDMENT TO LEASE AGREEMENT]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Executed as of the date first written above.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67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TENANT:</w:t>
            </w: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b w:val="1"/>
                <w:bCs w:val="1"/>
                <w:color w:val="auto"/>
              </w:rPr>
              <w:t>RIATA HOLDINGS, L.P.</w:t>
            </w:r>
            <w:r>
              <w:rPr>
                <w:rFonts w:ascii="Arial" w:cs="Arial" w:eastAsia="Arial" w:hAnsi="Arial"/>
                <w:sz w:val="18"/>
                <w:szCs w:val="18"/>
                <w:color w:val="auto"/>
              </w:rPr>
              <w:t>, a Delaware</w:t>
            </w:r>
          </w:p>
        </w:tc>
        <w:tc>
          <w:tcPr>
            <w:tcW w:w="6740" w:type="dxa"/>
            <w:vAlign w:val="bottom"/>
            <w:gridSpan w:val="2"/>
          </w:tcPr>
          <w:p>
            <w:pPr>
              <w:ind w:left="1140"/>
              <w:spacing w:after="0"/>
              <w:rPr>
                <w:sz w:val="20"/>
                <w:szCs w:val="20"/>
                <w:color w:val="auto"/>
              </w:rPr>
            </w:pPr>
            <w:r>
              <w:rPr>
                <w:rFonts w:ascii="Arial" w:cs="Arial" w:eastAsia="Arial" w:hAnsi="Arial"/>
                <w:sz w:val="18"/>
                <w:szCs w:val="18"/>
                <w:b w:val="1"/>
                <w:bCs w:val="1"/>
                <w:color w:val="auto"/>
              </w:rPr>
              <w:t>VERACYTE, INC.</w:t>
            </w:r>
            <w:r>
              <w:rPr>
                <w:rFonts w:ascii="Arial" w:cs="Arial" w:eastAsia="Arial" w:hAnsi="Arial"/>
                <w:sz w:val="18"/>
                <w:szCs w:val="18"/>
                <w:color w:val="auto"/>
              </w:rPr>
              <w:t>, a Delaware corporation</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limited partnership</w:t>
            </w:r>
          </w:p>
        </w:tc>
        <w:tc>
          <w:tcPr>
            <w:tcW w:w="1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By:   Riata Holdings General Partner, LLC, a</w:t>
            </w:r>
          </w:p>
        </w:tc>
        <w:tc>
          <w:tcPr>
            <w:tcW w:w="1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40"/>
              <w:spacing w:after="0"/>
              <w:rPr>
                <w:sz w:val="20"/>
                <w:szCs w:val="20"/>
                <w:color w:val="auto"/>
              </w:rPr>
            </w:pPr>
            <w:r>
              <w:rPr>
                <w:rFonts w:ascii="Arial" w:cs="Arial" w:eastAsia="Arial" w:hAnsi="Arial"/>
                <w:sz w:val="18"/>
                <w:szCs w:val="18"/>
                <w:color w:val="auto"/>
              </w:rPr>
              <w:t>Delaware limited liability company doing</w:t>
            </w:r>
          </w:p>
        </w:tc>
        <w:tc>
          <w:tcPr>
            <w:tcW w:w="1840" w:type="dxa"/>
            <w:vAlign w:val="bottom"/>
          </w:tcPr>
          <w:p>
            <w:pPr>
              <w:ind w:left="11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0" w:type="dxa"/>
            <w:vAlign w:val="bottom"/>
          </w:tcPr>
          <w:p>
            <w:pPr>
              <w:spacing w:after="0"/>
              <w:rPr>
                <w:sz w:val="1"/>
                <w:szCs w:val="1"/>
                <w:color w:val="auto"/>
              </w:rPr>
            </w:pPr>
          </w:p>
        </w:tc>
      </w:tr>
      <w:tr>
        <w:trPr>
          <w:trHeight w:val="182"/>
        </w:trPr>
        <w:tc>
          <w:tcPr>
            <w:tcW w:w="4680" w:type="dxa"/>
            <w:vAlign w:val="bottom"/>
          </w:tcPr>
          <w:p>
            <w:pPr>
              <w:ind w:left="540"/>
              <w:spacing w:after="0" w:line="182" w:lineRule="exact"/>
              <w:rPr>
                <w:sz w:val="20"/>
                <w:szCs w:val="20"/>
                <w:color w:val="auto"/>
              </w:rPr>
            </w:pPr>
            <w:r>
              <w:rPr>
                <w:rFonts w:ascii="Arial" w:cs="Arial" w:eastAsia="Arial" w:hAnsi="Arial"/>
                <w:sz w:val="18"/>
                <w:szCs w:val="18"/>
                <w:color w:val="auto"/>
              </w:rPr>
              <w:t>business in Texas as Riata Austin</w:t>
            </w:r>
          </w:p>
        </w:tc>
        <w:tc>
          <w:tcPr>
            <w:tcW w:w="1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40"/>
              <w:spacing w:after="0"/>
              <w:rPr>
                <w:sz w:val="20"/>
                <w:szCs w:val="20"/>
                <w:color w:val="auto"/>
              </w:rPr>
            </w:pPr>
            <w:r>
              <w:rPr>
                <w:rFonts w:ascii="Arial" w:cs="Arial" w:eastAsia="Arial" w:hAnsi="Arial"/>
                <w:sz w:val="18"/>
                <w:szCs w:val="18"/>
                <w:color w:val="auto"/>
              </w:rPr>
              <w:t>Holdings General Partner, LLC, its</w:t>
            </w:r>
          </w:p>
        </w:tc>
        <w:tc>
          <w:tcPr>
            <w:tcW w:w="1840" w:type="dxa"/>
            <w:vAlign w:val="bottom"/>
          </w:tcPr>
          <w:p>
            <w:pPr>
              <w:ind w:left="1140"/>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Shelly D. Guyer</w:t>
            </w:r>
          </w:p>
        </w:tc>
        <w:tc>
          <w:tcPr>
            <w:tcW w:w="0" w:type="dxa"/>
            <w:vAlign w:val="bottom"/>
          </w:tcPr>
          <w:p>
            <w:pPr>
              <w:spacing w:after="0"/>
              <w:rPr>
                <w:sz w:val="1"/>
                <w:szCs w:val="1"/>
                <w:color w:val="auto"/>
              </w:rPr>
            </w:pPr>
          </w:p>
        </w:tc>
      </w:tr>
      <w:tr>
        <w:trPr>
          <w:trHeight w:val="210"/>
        </w:trPr>
        <w:tc>
          <w:tcPr>
            <w:tcW w:w="4680" w:type="dxa"/>
            <w:vAlign w:val="bottom"/>
          </w:tcPr>
          <w:p>
            <w:pPr>
              <w:ind w:left="540"/>
              <w:spacing w:after="0"/>
              <w:rPr>
                <w:sz w:val="20"/>
                <w:szCs w:val="20"/>
                <w:color w:val="auto"/>
              </w:rPr>
            </w:pPr>
            <w:r>
              <w:rPr>
                <w:rFonts w:ascii="Arial" w:cs="Arial" w:eastAsia="Arial" w:hAnsi="Arial"/>
                <w:sz w:val="18"/>
                <w:szCs w:val="18"/>
                <w:color w:val="auto"/>
              </w:rPr>
              <w:t>general partner</w:t>
            </w:r>
          </w:p>
        </w:tc>
        <w:tc>
          <w:tcPr>
            <w:tcW w:w="1840" w:type="dxa"/>
            <w:vAlign w:val="bottom"/>
            <w:vMerge w:val="restart"/>
          </w:tcPr>
          <w:p>
            <w:pPr>
              <w:ind w:left="1140"/>
              <w:spacing w:after="0"/>
              <w:rPr>
                <w:sz w:val="20"/>
                <w:szCs w:val="20"/>
                <w:color w:val="auto"/>
              </w:rPr>
            </w:pPr>
            <w:r>
              <w:rPr>
                <w:rFonts w:ascii="Arial" w:cs="Arial" w:eastAsia="Arial" w:hAnsi="Arial"/>
                <w:sz w:val="18"/>
                <w:szCs w:val="18"/>
                <w:color w:val="auto"/>
              </w:rPr>
              <w:t>Title:</w:t>
            </w:r>
          </w:p>
        </w:tc>
        <w:tc>
          <w:tcPr>
            <w:tcW w:w="4900" w:type="dxa"/>
            <w:vAlign w:val="bottom"/>
            <w:vMerge w:val="restart"/>
          </w:tcPr>
          <w:p>
            <w:pPr>
              <w:spacing w:after="0"/>
              <w:rPr>
                <w:sz w:val="20"/>
                <w:szCs w:val="20"/>
                <w:color w:val="auto"/>
              </w:rPr>
            </w:pPr>
            <w:r>
              <w:rPr>
                <w:rFonts w:ascii="Arial" w:cs="Arial" w:eastAsia="Arial" w:hAnsi="Arial"/>
                <w:sz w:val="18"/>
                <w:szCs w:val="18"/>
                <w:color w:val="auto"/>
              </w:rPr>
              <w:t>CFO</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Grassi</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John Grassi,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30784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125" w:right="239" w:bottom="4"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PATHOLOGY SERVICES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SECOND AMENDMENT TO PATHOLOGY SERVICES AGREEMENT (this “Amendment”) is made and entered into as of January 1, 2014, by and between VERACYTE, INC. (“Veracyte”) and THYROID CYTOPATHOLOGY PARTNERS, P.A. (“Pathologists”).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00" w:right="100" w:firstLine="597"/>
        <w:spacing w:after="0" w:line="257" w:lineRule="auto"/>
        <w:tabs>
          <w:tab w:leader="none" w:pos="9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Veracyte and Pathologists are parties to that certain Pathology Services Agreement dated November 12, 2010 between Veracyte and Brazos Valley Pathology, P.A. (the “Original Agreement”), as assigned to Pathologists on May 18, 2011 and as amended by the First Amendment to Pathology Services Agreement between Veracyte and Pathologists dated as of December 19, 2012 (the “First Amendment”; the Original Agreement, as assigned to Pathologists and as amended by the First Amendment is referred to herein as the “Agreement”), pursuant to which Pathologists provide certain professional pathology services to Veracyte.</w:t>
      </w:r>
    </w:p>
    <w:p>
      <w:pPr>
        <w:spacing w:after="0" w:line="188" w:lineRule="exact"/>
        <w:rPr>
          <w:rFonts w:ascii="Arial" w:cs="Arial" w:eastAsia="Arial" w:hAnsi="Arial"/>
          <w:sz w:val="18"/>
          <w:szCs w:val="18"/>
          <w:color w:val="auto"/>
        </w:rPr>
      </w:pPr>
    </w:p>
    <w:p>
      <w:pPr>
        <w:jc w:val="both"/>
        <w:ind w:left="100" w:right="140" w:firstLine="607"/>
        <w:spacing w:after="0" w:line="264" w:lineRule="auto"/>
        <w:tabs>
          <w:tab w:leader="none" w:pos="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7 of the First Amendment adds Section 8(d)(iv) to the Agreement to permit Pathologists to use and occupy portions of certain premises leased to Veracyte. Veracyte and Pathologists wish to amend the Agreement to set forth further additional terms and conditions related to Pathologists’ use and occupancy of those premises.</w:t>
      </w:r>
    </w:p>
    <w:p>
      <w:pPr>
        <w:spacing w:after="0" w:line="181" w:lineRule="exact"/>
        <w:rPr>
          <w:sz w:val="20"/>
          <w:szCs w:val="20"/>
          <w:color w:val="auto"/>
        </w:rPr>
      </w:pPr>
    </w:p>
    <w:p>
      <w:pPr>
        <w:ind w:left="100" w:right="140" w:firstLine="59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mutual receipt and legal sufficiency of which are hereby acknowledged, the parties hereto agree as follows: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Use and Occupancy of Premises</w:t>
      </w:r>
      <w:r>
        <w:rPr>
          <w:rFonts w:ascii="Arial" w:cs="Arial" w:eastAsia="Arial" w:hAnsi="Arial"/>
          <w:sz w:val="16"/>
          <w:szCs w:val="16"/>
          <w:color w:val="auto"/>
        </w:rPr>
        <w:t>. Effective as of January 1, 2013, Section 8(d)(iv) of the Agreement is hereby amended, in its entirety, to read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120" w:right="40" w:firstLine="596"/>
        <w:spacing w:after="0" w:line="269" w:lineRule="auto"/>
        <w:rPr>
          <w:sz w:val="20"/>
          <w:szCs w:val="20"/>
          <w:color w:val="auto"/>
        </w:rPr>
      </w:pPr>
      <w:r>
        <w:rPr>
          <w:rFonts w:ascii="Arial" w:cs="Arial" w:eastAsia="Arial" w:hAnsi="Arial"/>
          <w:sz w:val="17"/>
          <w:szCs w:val="17"/>
          <w:b w:val="1"/>
          <w:bCs w:val="1"/>
          <w:color w:val="auto"/>
        </w:rPr>
        <w:t>“(iv) Pathologists shall be entitled to use one or more offices as mutually agreed from time to time in office space leased by Veracyte at 12357 A Riata Trace Parkway, Building 5, Austin, Texas 78727 (the “Premises”), pursuant to the Lease Agreement dated November 28, 2012 between Riata Holdings, L.P. and Veracyte (as amended from time to time, the “Lease”). Commencing on May 1, 2013, Pathologists shall reimburse Veracyte the proportionate share, including common areas, (based on the ratio of office space used by Pathologists relative to the total space leased by Veracyte) of Veracyte’s actual out-of-pocket occupancy costs for such space including base rent and operating expenses. Pathologists acknowledges that it has reviewed the Lease. Pathologists shall comply with all of the terms and conditions of the Lease, and, in the event a default under the Lease arises from any act or omission of Pathologists or its employees, agents or invitees, then (1) Pathologists shall promptly cure such default, and (2) Pathologists shall indemnify, defend and hold Veracyte harmless from all losses, costs, liabilities and damages (collectively, “Claims”) arising from such act or omission, including any Claims by the landlord under the Lease. Without limiting the generality of tbe foregoing, Pathologists shall obtain the following insurance coverages: commercial general liability insurance (including property damage, bodily injury and personal injury coverage) in amounts of $1,000,000 per occurrence, $2,000,000 annual aggregate; with an additional $1,000,000 in umbrella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coverage; commercial auto liability insurance covering automobiles owned, hired or used by a Permitted Occupant in carrying on its business at the Premises with limits not less than $1,000,000 combined single limit for each accident; and workers’ compensation insurance.</w:t>
      </w:r>
    </w:p>
    <w:p>
      <w:pPr>
        <w:spacing w:after="0" w:line="120" w:lineRule="exact"/>
        <w:rPr>
          <w:sz w:val="20"/>
          <w:szCs w:val="20"/>
          <w:color w:val="auto"/>
        </w:rPr>
      </w:pPr>
    </w:p>
    <w:p>
      <w:pPr>
        <w:ind w:right="260" w:firstLine="604"/>
        <w:spacing w:after="0" w:line="277" w:lineRule="auto"/>
        <w:tabs>
          <w:tab w:leader="none" w:pos="82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Agreement in Full Force and Effect</w:t>
      </w:r>
      <w:r>
        <w:rPr>
          <w:rFonts w:ascii="Arial" w:cs="Arial" w:eastAsia="Arial" w:hAnsi="Arial"/>
          <w:sz w:val="18"/>
          <w:szCs w:val="18"/>
          <w:color w:val="auto"/>
        </w:rPr>
        <w:t>. Except as provided above, the Agreement is unmodified hereby, and, as modified by this Amendment, the Agreement remains in full force and effect.</w:t>
      </w:r>
    </w:p>
    <w:p>
      <w:pPr>
        <w:spacing w:after="0" w:line="170" w:lineRule="exact"/>
        <w:rPr>
          <w:rFonts w:ascii="Arial" w:cs="Arial" w:eastAsia="Arial" w:hAnsi="Arial"/>
          <w:sz w:val="18"/>
          <w:szCs w:val="18"/>
          <w:color w:val="auto"/>
        </w:rPr>
      </w:pPr>
    </w:p>
    <w:p>
      <w:pPr>
        <w:ind w:right="40" w:firstLine="604"/>
        <w:spacing w:after="0" w:line="264" w:lineRule="auto"/>
        <w:tabs>
          <w:tab w:leader="none" w:pos="82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executed and delivered shall be deemed to be an original and all such counterparts together shall constitute one and the same instrument. The execution of facsimiles and/or PDF (i.e., email) versions of this Amendment shall be binding on the parties hereto.</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Veracyte and Pathologists have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THYROID CYTOPATHOLOGY</w:t>
            </w:r>
          </w:p>
        </w:tc>
        <w:tc>
          <w:tcPr>
            <w:tcW w:w="5920" w:type="dxa"/>
            <w:vAlign w:val="bottom"/>
            <w:gridSpan w:val="2"/>
          </w:tcPr>
          <w:p>
            <w:pPr>
              <w:ind w:left="360"/>
              <w:spacing w:after="0"/>
              <w:rPr>
                <w:sz w:val="20"/>
                <w:szCs w:val="20"/>
                <w:color w:val="auto"/>
              </w:rPr>
            </w:pPr>
            <w:r>
              <w:rPr>
                <w:rFonts w:ascii="Arial" w:cs="Arial" w:eastAsia="Arial" w:hAnsi="Arial"/>
                <w:sz w:val="18"/>
                <w:szCs w:val="18"/>
                <w:color w:val="auto"/>
              </w:rPr>
              <w:t>VERACYTE, INC., a Delaware corporation</w:t>
            </w: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PARTNERS, P.A. , a Texas professional</w:t>
            </w:r>
          </w:p>
        </w:tc>
        <w:tc>
          <w:tcPr>
            <w:tcW w:w="1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association</w:t>
            </w:r>
          </w:p>
        </w:tc>
        <w:tc>
          <w:tcPr>
            <w:tcW w:w="110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/s/ Tom Traweek</w:t>
            </w:r>
          </w:p>
        </w:tc>
        <w:tc>
          <w:tcPr>
            <w:tcW w:w="1100" w:type="dxa"/>
            <w:vAlign w:val="bottom"/>
          </w:tcPr>
          <w:p>
            <w:pPr>
              <w:ind w:left="36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Shelly D.Guyer</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Tom Traweek</w:t>
            </w:r>
          </w:p>
        </w:tc>
        <w:tc>
          <w:tcPr>
            <w:tcW w:w="1100" w:type="dxa"/>
            <w:vAlign w:val="bottom"/>
          </w:tcPr>
          <w:p>
            <w:pPr>
              <w:ind w:left="36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Shelly D.Guyer</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President, TCP</w:t>
            </w:r>
          </w:p>
        </w:tc>
        <w:tc>
          <w:tcPr>
            <w:tcW w:w="1100" w:type="dxa"/>
            <w:vAlign w:val="bottom"/>
          </w:tcPr>
          <w:p>
            <w:pPr>
              <w:ind w:left="36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CFO</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477"/>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333-191992) of Veracyte, Inc. of our report dated March 20, 2014 relating to the financial statements, which appears in this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8" w:name="page129"/>
    <w:bookmarkEnd w:id="128"/>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720" w:hanging="361"/>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487"/>
        <w:spacing w:after="0" w:line="268" w:lineRule="auto"/>
        <w:tabs>
          <w:tab w:leader="none" w:pos="908" w:val="left"/>
        </w:tabs>
        <w:numPr>
          <w:ilvl w:val="3"/>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firstLine="557"/>
        <w:spacing w:after="0" w:line="332" w:lineRule="auto"/>
        <w:tabs>
          <w:tab w:leader="none" w:pos="1510" w:val="left"/>
        </w:tabs>
        <w:numPr>
          <w:ilvl w:val="7"/>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firstLine="415"/>
        <w:spacing w:after="0" w:line="259" w:lineRule="auto"/>
        <w:tabs>
          <w:tab w:leader="none" w:pos="1337" w:val="left"/>
        </w:tabs>
        <w:numPr>
          <w:ilvl w:val="6"/>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9">
        <w:r>
          <w:rPr>
            <w:rFonts w:ascii="Arial" w:cs="Arial" w:eastAsia="Arial" w:hAnsi="Arial"/>
            <w:sz w:val="16"/>
            <w:szCs w:val="16"/>
            <w:u w:val="single" w:color="auto"/>
            <w:color w:val="0000EE"/>
          </w:rPr>
          <w:t>PRINCIPAL EXECUTIVE OFFICER'S 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30" w:name="page131"/>
    <w:bookmarkEnd w:id="130"/>
    <w:p>
      <w:pPr>
        <w:spacing w:after="0"/>
        <w:rPr>
          <w:rFonts w:ascii="Arial" w:cs="Arial" w:eastAsia="Arial" w:hAnsi="Arial"/>
          <w:sz w:val="22"/>
          <w:szCs w:val="22"/>
          <w:color w:val="0000EE"/>
        </w:rPr>
      </w:pPr>
      <w:hyperlink w:anchor="page1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720" w:hanging="361"/>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487"/>
        <w:spacing w:after="0" w:line="268" w:lineRule="auto"/>
        <w:tabs>
          <w:tab w:leader="none" w:pos="908"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firstLine="557"/>
        <w:spacing w:after="0" w:line="332" w:lineRule="auto"/>
        <w:tabs>
          <w:tab w:leader="none" w:pos="1510" w:val="left"/>
        </w:tabs>
        <w:numPr>
          <w:ilvl w:val="7"/>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firstLine="415"/>
        <w:spacing w:after="0" w:line="259" w:lineRule="auto"/>
        <w:tabs>
          <w:tab w:leader="none" w:pos="1337" w:val="left"/>
        </w:tabs>
        <w:numPr>
          <w:ilvl w:val="6"/>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1">
        <w:r>
          <w:rPr>
            <w:rFonts w:ascii="Arial" w:cs="Arial" w:eastAsia="Arial" w:hAnsi="Arial"/>
            <w:sz w:val="16"/>
            <w:szCs w:val="16"/>
            <w:u w:val="single" w:color="auto"/>
            <w:color w:val="0000EE"/>
          </w:rPr>
          <w:t>PRINCIPAL FINANCIAL OFFICER'S 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32" w:name="page133"/>
    <w:bookmarkEnd w:id="132"/>
    <w:p>
      <w:pPr>
        <w:spacing w:after="0"/>
        <w:rPr>
          <w:rFonts w:ascii="Arial" w:cs="Arial" w:eastAsia="Arial" w:hAnsi="Arial"/>
          <w:sz w:val="22"/>
          <w:szCs w:val="22"/>
          <w:color w:val="0000EE"/>
        </w:rPr>
      </w:pPr>
      <w:hyperlink w:anchor="page1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3">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34" w:name="page135"/>
    <w:bookmarkEnd w:id="134"/>
    <w:p>
      <w:pPr>
        <w:spacing w:after="0"/>
        <w:rPr>
          <w:rFonts w:ascii="Arial" w:cs="Arial" w:eastAsia="Arial" w:hAnsi="Arial"/>
          <w:sz w:val="22"/>
          <w:szCs w:val="22"/>
          <w:color w:val="0000EE"/>
        </w:rPr>
      </w:pPr>
      <w:hyperlink w:anchor="page1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5">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Letter"/>
      <w:start w:val="1"/>
    </w:lvl>
    <w:lvl w:ilvl="1">
      <w:lvlJc w:val="left"/>
      <w:lvlText w:val="%2."/>
      <w:numFmt w:val="decimal"/>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1."/>
      <w:numFmt w:val="decimal"/>
      <w:start w:val="3"/>
    </w:lvl>
  </w:abstractNum>
  <w:abstractNum w:abstractNumId="37">
    <w:nsid w:val="542289EC"/>
    <w:multiLevelType w:val="hybridMultilevel"/>
    <w:lvl w:ilvl="0">
      <w:lvlJc w:val="left"/>
      <w:lvlText w:val="(%1)"/>
      <w:numFmt w:val="lowerLetter"/>
      <w:start w:val="2"/>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upp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1"/>
    </w:lvl>
  </w:abstractNum>
  <w:abstractNum w:abstractNumId="45">
    <w:nsid w:val="3DC240FB"/>
    <w:multiLevelType w:val="hybridMultilevel"/>
    <w:lvl w:ilvl="0">
      <w:lvlJc w:val="left"/>
      <w:lvlText w:val="(%1)"/>
      <w:numFmt w:val="lowerLetter"/>
      <w:start w:val="2"/>
    </w:lvl>
  </w:abstractNum>
  <w:abstractNum w:abstractNumId="46">
    <w:nsid w:val="1BA026FA"/>
    <w:multiLevelType w:val="hybridMultilevel"/>
    <w:lvl w:ilvl="0">
      <w:lvlJc w:val="left"/>
      <w:lvlText w:val="%1"/>
      <w:numFmt w:val="decimal"/>
      <w:start w:val="1"/>
    </w:lvl>
    <w:lvl w:ilvl="1">
      <w:lvlJc w:val="left"/>
      <w:lvlText w:val="(%2)"/>
      <w:numFmt w:val="lowerLetter"/>
      <w:start w:val="4"/>
    </w:lvl>
  </w:abstractNum>
  <w:abstractNum w:abstractNumId="47">
    <w:nsid w:val="79A1DEAA"/>
    <w:multiLevelType w:val="hybridMultilevel"/>
    <w:lvl w:ilvl="0">
      <w:lvlJc w:val="left"/>
      <w:lvlText w:val="%1."/>
      <w:numFmt w:val="decimal"/>
      <w:start w:val="2"/>
    </w:lvl>
    <w:lvl w:ilvl="1">
      <w:lvlJc w:val="left"/>
      <w:lvlText w:val="%2"/>
      <w:numFmt w:val="lowerLetter"/>
      <w:start w:val="1"/>
    </w:lvl>
  </w:abstractNum>
  <w:abstractNum w:abstractNumId="48">
    <w:nsid w:val="75C6C33A"/>
    <w:multiLevelType w:val="hybridMultilevel"/>
    <w:lvl w:ilvl="0">
      <w:lvlJc w:val="left"/>
      <w:lvlText w:val="%1."/>
      <w:numFmt w:val="decimal"/>
      <w:start w:val="8"/>
    </w:lvl>
  </w:abstractNum>
  <w:abstractNum w:abstractNumId="49">
    <w:nsid w:val="12E685FB"/>
    <w:multiLevelType w:val="hybridMultilevel"/>
    <w:lvl w:ilvl="0">
      <w:lvlJc w:val="left"/>
      <w:lvlText w:val="%1."/>
      <w:numFmt w:val="upperLetter"/>
      <w:start w:val="1"/>
    </w:lvl>
  </w:abstractNum>
  <w:abstractNum w:abstractNumId="50">
    <w:nsid w:val="70C6A529"/>
    <w:multiLevelType w:val="hybridMultilevel"/>
    <w:lvl w:ilvl="0">
      <w:lvlJc w:val="left"/>
      <w:lvlText w:val="%1."/>
      <w:numFmt w:val="decimal"/>
      <w:start w:val="2"/>
    </w:lvl>
  </w:abstractNum>
  <w:abstractNum w:abstractNumId="51">
    <w:nsid w:val="520EEDD1"/>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2"/>
    </w:lvl>
    <w:lvl w:ilvl="7">
      <w:lvlJc w:val="left"/>
      <w:lvlText w:val="%8)"/>
      <w:numFmt w:val="lowerLetter"/>
      <w:start w:val="2"/>
    </w:lvl>
  </w:abstractNum>
  <w:abstractNum w:abstractNumId="52">
    <w:nsid w:val="374A3FE6"/>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2"/>
    </w:lvl>
    <w:lvl w:ilvl="7">
      <w:lvlJc w:val="left"/>
      <w:lvlText w:val="%8)"/>
      <w:numFmt w:val="lowerLetter"/>
      <w:start w:val="2"/>
    </w:lvl>
  </w:abstractNum>
  <w:abstractNum w:abstractNumId="53">
    <w:nsid w:val="4F4EF005"/>
    <w:multiLevelType w:val="hybridMultilevel"/>
    <w:lvl w:ilvl="0">
      <w:lvlJc w:val="left"/>
      <w:lvlText w:val="(%1)"/>
      <w:numFmt w:val="decimal"/>
      <w:start w:val="1"/>
    </w:lvl>
    <w:lvl w:ilvl="1">
      <w:lvlJc w:val="left"/>
      <w:lvlText w:val="(%2)"/>
      <w:numFmt w:val="decimal"/>
      <w:start w:val="2"/>
    </w:lvl>
  </w:abstractNum>
  <w:abstractNum w:abstractNumId="54">
    <w:nsid w:val="23F9C13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2019-12-07T15:07:44Z</dcterms:created>
  <dcterms:modified xsi:type="dcterms:W3CDTF">2019-12-07T15:07:44Z</dcterms:modified>
</cp:coreProperties>
</file>