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1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-168910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5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7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5330825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4013835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4038600</wp:posOffset>
            </wp:positionH>
            <wp:positionV relativeFrom="paragraph">
              <wp:posOffset>-581025</wp:posOffset>
            </wp:positionV>
            <wp:extent cx="1276350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-1598295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40" w:space="480"/>
            <w:col w:w="856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Erlinger III James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52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General Counsel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260985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30.18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07/29/2030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awarded on July 29, 2020 becomes exercisable as to 25% of the shares on July 29, 2021, and the remaining shares vest at a rate of 1/48th of the total number of shares subject to the award for each month of continuous service thereafter.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1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736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957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2020-07-31T15:31:37Z</dcterms:created>
  <dcterms:modified xsi:type="dcterms:W3CDTF">2020-07-31T15:31:37Z</dcterms:modified>
</cp:coreProperties>
</file>