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8"/>
              </w:rPr>
              <w:t>13,466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4"/>
          </w:tcPr>
          <w:p>
            <w:pPr>
              <w:jc w:val="center"/>
              <w:ind w:left="75"/>
              <w:spacing w:after="0"/>
              <w:rPr>
                <w:sz w:val="20"/>
                <w:szCs w:val="20"/>
                <w:color w:val="auto"/>
              </w:rPr>
            </w:pPr>
            <w:r>
              <w:rPr>
                <w:rFonts w:ascii="Times New Roman" w:cs="Times New Roman" w:eastAsia="Times New Roman" w:hAnsi="Times New Roman"/>
                <w:sz w:val="17"/>
                <w:szCs w:val="17"/>
                <w:color w:val="0000FF"/>
                <w:w w:val="93"/>
              </w:rPr>
              <w:t>86,705</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7,000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79,705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03/02/2025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8,255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71,450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27, 2025, upon the certification by the Board of Directors of the Issuer of the achievement of the performance goals set forth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370 shares of common stock purchased on January 31, 2025 pursuant to the Veracyte, Inc.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726, 453, 743 and 6,333 shares of common stock to satisfy the reporting person's tax withholding obligations in connection with the vesting of 1,429, 892, 1,463 and 12,470 Restricted Stock Units granted on February 28, 2022, August 5,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2025-03-03T16:03:01Z</dcterms:created>
  <dcterms:modified xsi:type="dcterms:W3CDTF">2025-03-03T16:03:01Z</dcterms:modified>
</cp:coreProperties>
</file>