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5)*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Veracyte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92337F107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92337F107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(b)X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2580" w:type="dxa"/>
            <w:vAlign w:val="bottom"/>
          </w:tcPr>
          <w:p>
            <w:pPr>
              <w:jc w:val="right"/>
              <w:ind w:right="1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25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52,624 (see Item 4)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25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7,605,687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2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142,827 (see Item 4)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7,748,514 (see Item 4)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2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10.08% (see Item 4)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Veracyte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6000 Shoreline Court Suite 300 South San Francisco, CA 94080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92337F107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7,748,514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10.08%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7,748,514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10.08%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52,624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7,605,687 (iv) Shared power to dispose or to direct the disposition of: 142,827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including investment companies registered under the Investm* ent Company Act of 1940 and other managed accounts, have the right to receive o* r the power to direct the receipt of dividends from, or the proceeds from the s* ale of, the securities reported herein.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the securities referred to above were not acquired and are not held for the pur* pose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19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or with the effect of changing or influencing the control of the issuer of the securities and were not acquired and are not held in connection with or as a participant in any transaction having that purpose or effect.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October 02,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2024-10-02T13:14:05Z</dcterms:created>
  <dcterms:modified xsi:type="dcterms:W3CDTF">2024-10-02T13:14:05Z</dcterms:modified>
</cp:coreProperties>
</file>