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875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8751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JONES EVAN/ FA</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6000 SHORELINE COURT</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06/08/2020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1"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40" w:type="dxa"/>
            <w:vAlign w:val="bottom"/>
            <w:gridSpan w:val="11"/>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SOUTH SAN</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4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63" w:lineRule="exact"/>
              <w:rPr>
                <w:sz w:val="20"/>
                <w:szCs w:val="20"/>
                <w:color w:val="auto"/>
              </w:rPr>
            </w:pPr>
            <w:r>
              <w:rPr>
                <w:rFonts w:ascii="Arial" w:cs="Arial" w:eastAsia="Arial" w:hAnsi="Arial"/>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gridSpan w:val="2"/>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26.3</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06/08/2020</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06/07/2030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10,000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-2833370</wp:posOffset>
            </wp:positionV>
            <wp:extent cx="7033895"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724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40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full on June 8, 2021 or immediately prior to the Company's next annual meeting of stockholders, if earlier. In addition, the option vests in full in the event of a change in control of the Company.</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4" w:lineRule="auto"/>
        <w:rPr>
          <w:sz w:val="20"/>
          <w:szCs w:val="20"/>
          <w:color w:val="auto"/>
        </w:rPr>
      </w:pPr>
      <w:r>
        <w:rPr>
          <w:rFonts w:ascii="Arial" w:cs="Arial" w:eastAsia="Arial" w:hAnsi="Arial"/>
          <w:sz w:val="17"/>
          <w:szCs w:val="17"/>
          <w:color w:val="0000FF"/>
        </w:rPr>
        <w:t xml:space="preserve">/s/ Keith Kennedy, as Attorney- </w:t>
      </w:r>
      <w:r>
        <w:rPr>
          <w:rFonts w:ascii="Arial" w:cs="Arial" w:eastAsia="Arial" w:hAnsi="Arial"/>
          <w:sz w:val="33"/>
          <w:szCs w:val="33"/>
          <w:color w:val="0000FF"/>
          <w:vertAlign w:val="subscript"/>
        </w:rPr>
        <w:t>06/09/2020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2774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74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20741"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2020-06-09T15:32:42Z</dcterms:created>
  <dcterms:modified xsi:type="dcterms:W3CDTF">2020-06-09T15:32:42Z</dcterms:modified>
</cp:coreProperties>
</file>