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4,767,185.00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99,867.00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4,920,745.00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4,920,745.00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6000 Shoreline Court, Suite 300,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Central Avenue, St. Petersburg, FL 33701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6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4,920,745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4,767,185</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99,867</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4,920,745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To the knowledge of the Reporting Person, no other person has the right to receive or the power to direct the receipt of dividends from, or the proceeds from the sale of, a number of the shares which represents more than five percent of the number of shares outstanding class of the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901"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901" w:orient="portrait"/>
          <w:cols w:equalWidth="0" w:num="1">
            <w:col w:w="11140"/>
          </w:cols>
          <w:pgMar w:left="360" w:top="126"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152"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Kellen Carter</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Name/Title: Kellen Carter, Chief Compliance Officer</w:t>
      </w:r>
    </w:p>
    <w:p>
      <w:pPr>
        <w:spacing w:after="0" w:line="56"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01/10/2025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2025-01-10T20:35:13Z</dcterms:created>
  <dcterms:modified xsi:type="dcterms:W3CDTF">2025-01-10T20:35:13Z</dcterms:modified>
</cp:coreProperties>
</file>