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3, 2016</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679" w:right="359" w:bottom="1440" w:gutter="0" w:footer="0" w:header="0"/>
        </w:sectPr>
      </w:pPr>
    </w:p>
    <w:p>
      <w:pPr>
        <w:spacing w:after="0" w:line="367" w:lineRule="exact"/>
        <w:rPr>
          <w:sz w:val="24"/>
          <w:szCs w:val="24"/>
          <w:color w:val="auto"/>
        </w:rPr>
      </w:pPr>
    </w:p>
    <w:p>
      <w:pPr>
        <w:ind w:left="12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001-36156</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20-5455398</w:t>
      </w:r>
    </w:p>
    <w:p>
      <w:pPr>
        <w:spacing w:after="0" w:line="90" w:lineRule="exact"/>
        <w:rPr>
          <w:sz w:val="24"/>
          <w:szCs w:val="24"/>
          <w:color w:val="auto"/>
        </w:rPr>
      </w:pPr>
    </w:p>
    <w:p>
      <w:pPr>
        <w:sectPr>
          <w:pgSz w:w="11900" w:h="16838" w:orient="portrait"/>
          <w:cols w:equalWidth="0" w:num="3">
            <w:col w:w="4560" w:space="720"/>
            <w:col w:w="3220" w:space="720"/>
            <w:col w:w="2080"/>
          </w:cols>
          <w:pgMar w:left="240" w:top="679" w:right="359" w:bottom="1440" w:gutter="0" w:footer="0" w:header="0"/>
          <w:type w:val="continuous"/>
        </w:sectPr>
      </w:pPr>
    </w:p>
    <w:p>
      <w:pPr>
        <w:jc w:val="center"/>
        <w:ind w:right="5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Arial" w:cs="Arial" w:eastAsia="Arial" w:hAnsi="Arial"/>
          <w:sz w:val="17"/>
          <w:szCs w:val="17"/>
          <w:color w:val="auto"/>
        </w:rPr>
        <w:t>(IRS Employer Identification</w:t>
      </w:r>
    </w:p>
    <w:p>
      <w:pPr>
        <w:spacing w:after="0" w:line="35"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4020" w:space="720"/>
            <w:col w:w="3140" w:space="720"/>
            <w:col w:w="2700"/>
          </w:cols>
          <w:pgMar w:left="240" w:top="679" w:right="359" w:bottom="1440" w:gutter="0" w:footer="0" w:header="0"/>
          <w:type w:val="continuous"/>
        </w:sectPr>
      </w:pPr>
    </w:p>
    <w:p>
      <w:pPr>
        <w:spacing w:after="0" w:line="196" w:lineRule="exact"/>
        <w:rPr>
          <w:sz w:val="24"/>
          <w:szCs w:val="24"/>
          <w:color w:val="auto"/>
        </w:rPr>
      </w:pPr>
    </w:p>
    <w:p>
      <w:pPr>
        <w:ind w:left="480"/>
        <w:spacing w:after="0"/>
        <w:rPr>
          <w:sz w:val="20"/>
          <w:szCs w:val="20"/>
          <w:color w:val="auto"/>
        </w:rPr>
      </w:pPr>
      <w:r>
        <w:rPr>
          <w:rFonts w:ascii="Arial" w:cs="Arial" w:eastAsia="Arial" w:hAnsi="Arial"/>
          <w:sz w:val="16"/>
          <w:szCs w:val="16"/>
          <w:b w:val="1"/>
          <w:bCs w:val="1"/>
          <w:color w:val="auto"/>
        </w:rPr>
        <w:t>6000 Shoreline Court, Suite 300, South San Francisco, California</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94080</w:t>
      </w:r>
    </w:p>
    <w:p>
      <w:pPr>
        <w:spacing w:after="0" w:line="90" w:lineRule="exact"/>
        <w:rPr>
          <w:sz w:val="24"/>
          <w:szCs w:val="24"/>
          <w:color w:val="auto"/>
        </w:rPr>
      </w:pPr>
    </w:p>
    <w:p>
      <w:pPr>
        <w:sectPr>
          <w:pgSz w:w="11900" w:h="16838" w:orient="portrait"/>
          <w:cols w:equalWidth="0" w:num="2">
            <w:col w:w="7960" w:space="720"/>
            <w:col w:w="2620"/>
          </w:cols>
          <w:pgMar w:left="240" w:top="679" w:right="359" w:bottom="1440" w:gutter="0" w:footer="0" w:header="0"/>
          <w:type w:val="continuous"/>
        </w:sectPr>
      </w:pPr>
    </w:p>
    <w:p>
      <w:pPr>
        <w:ind w:left="15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800" w:space="720"/>
            <w:col w:w="2780"/>
          </w:cols>
          <w:pgMar w:left="240" w:top="679" w:right="359" w:bottom="1440" w:gutter="0" w:footer="0" w:header="0"/>
          <w:type w:val="continuous"/>
        </w:sectPr>
      </w:pPr>
    </w:p>
    <w:p>
      <w:pPr>
        <w:spacing w:after="0" w:line="7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67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3, 2016, Veracyte, Inc. issued a press release announcing its financial results for the quarter ended June 30, 2016. The full text of the press release is furnished as Exhibit 99.1 to this report.</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79"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4" w:lineRule="exact"/>
        <w:rPr>
          <w:sz w:val="20"/>
          <w:szCs w:val="20"/>
          <w:color w:val="auto"/>
        </w:rPr>
      </w:pPr>
    </w:p>
    <w:p>
      <w:pPr>
        <w:ind w:left="740"/>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Veracyte, Inc. dated August 3, 2016.</w:t>
      </w:r>
    </w:p>
    <w:p>
      <w:pPr>
        <w:sectPr>
          <w:pgSz w:w="11900" w:h="16838" w:orient="portrait"/>
          <w:cols w:equalWidth="0" w:num="1">
            <w:col w:w="11320"/>
          </w:cols>
          <w:pgMar w:left="240" w:top="1013"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3, 2016</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VERACYTE, INC.</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Shelly D. Guyer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20"/>
          </w:cols>
          <w:pgMar w:left="240" w:top="796" w:right="439" w:bottom="1440" w:gutter="0" w:footer="0" w:header="0"/>
        </w:sectPr>
      </w:pPr>
    </w:p>
    <w:bookmarkStart w:id="3" w:name="page4"/>
    <w:bookmarkEnd w:id="3"/>
    <w:p>
      <w:pPr>
        <w:ind w:left="4820"/>
        <w:spacing w:after="0"/>
        <w:rPr>
          <w:sz w:val="20"/>
          <w:szCs w:val="20"/>
          <w:color w:val="auto"/>
        </w:rPr>
      </w:pPr>
      <w:r>
        <w:rPr>
          <w:rFonts w:ascii="Arial" w:cs="Arial" w:eastAsia="Arial" w:hAnsi="Arial"/>
          <w:sz w:val="18"/>
          <w:szCs w:val="18"/>
          <w:color w:val="auto"/>
        </w:rPr>
        <w:t>INDEX TO EXHIBITS</w:t>
      </w:r>
    </w:p>
    <w:p>
      <w:pPr>
        <w:spacing w:after="0" w:line="379" w:lineRule="exact"/>
        <w:rPr>
          <w:sz w:val="20"/>
          <w:szCs w:val="20"/>
          <w:color w:val="auto"/>
        </w:rPr>
      </w:pPr>
    </w:p>
    <w:p>
      <w:pPr>
        <w:spacing w:after="0"/>
        <w:tabs>
          <w:tab w:leader="none" w:pos="59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Veracyte, Inc. dated August 3, 2016.</w:t>
      </w:r>
    </w:p>
    <w:p>
      <w:pPr>
        <w:sectPr>
          <w:pgSz w:w="11900" w:h="16838" w:orient="portrait"/>
          <w:cols w:equalWidth="0" w:num="1">
            <w:col w:w="10179"/>
          </w:cols>
          <w:pgMar w:left="280" w:top="800"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334645</wp:posOffset>
            </wp:positionV>
            <wp:extent cx="1492250" cy="823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22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Second Quarter 2016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Revenue and Afirma</w:t>
      </w:r>
      <w:r>
        <w:rPr>
          <w:rFonts w:ascii="Arial" w:cs="Arial" w:eastAsia="Arial" w:hAnsi="Arial"/>
          <w:sz w:val="21"/>
          <w:szCs w:val="21"/>
          <w:color w:val="auto"/>
          <w:vertAlign w:val="superscript"/>
        </w:rPr>
        <w:t>®</w:t>
      </w:r>
      <w:r>
        <w:rPr>
          <w:rFonts w:ascii="Arial" w:cs="Arial" w:eastAsia="Arial" w:hAnsi="Arial"/>
          <w:sz w:val="18"/>
          <w:szCs w:val="18"/>
          <w:i w:val="1"/>
          <w:iCs w:val="1"/>
          <w:color w:val="auto"/>
        </w:rPr>
        <w:t xml:space="preserve"> GEC Volume Each Increased 23%, Compared to the Second Quarter of 2015</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Increased In-Network, Contracted Lives to Over 140 Million, Adding Two Key Payers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Eastern Time</w:t>
      </w:r>
    </w:p>
    <w:p>
      <w:pPr>
        <w:spacing w:after="0" w:line="200" w:lineRule="exact"/>
        <w:rPr>
          <w:sz w:val="20"/>
          <w:szCs w:val="20"/>
          <w:color w:val="auto"/>
        </w:rPr>
      </w:pPr>
    </w:p>
    <w:p>
      <w:pPr>
        <w:spacing w:after="0" w:line="25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SOUTH SAN FRANCISCO, Calif., August 3, 2016 --- </w:t>
      </w:r>
      <w:r>
        <w:rPr>
          <w:rFonts w:ascii="Arial" w:cs="Arial" w:eastAsia="Arial" w:hAnsi="Arial"/>
          <w:sz w:val="18"/>
          <w:szCs w:val="18"/>
          <w:u w:val="single" w:color="auto"/>
          <w:color w:val="0000FF"/>
        </w:rPr>
        <w:t>Veracyte, Inc.</w:t>
      </w:r>
      <w:r>
        <w:rPr>
          <w:rFonts w:ascii="Arial" w:cs="Arial" w:eastAsia="Arial" w:hAnsi="Arial"/>
          <w:sz w:val="18"/>
          <w:szCs w:val="18"/>
          <w:color w:val="auto"/>
        </w:rPr>
        <w:t xml:space="preserve"> (NASDAQ: VCYT) today announced financial results for the second quarter ended June 30, 2016 and provided an update on recent business progress. For the second quarter of 2016, revenue was $14.7 million, an increase of 23%, compared to $11.9 million for the second quarter of 2015. Afirma Gene Expression Classifier (GEC) volume grew to 5,832 tests, an increase of 23%, compared to the same period in 2015. These results bring first-half 2016 revenue to $28.2 million and Afirma GEC volume to 11,184.</w:t>
      </w:r>
    </w:p>
    <w:p>
      <w:pPr>
        <w:spacing w:after="0" w:line="206"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“We experienced solid revenue and volume growth for the Afirma GEC as we reached the mid-year mark,” said Bonnie Anderson, Veracyte’s president and chief executive officer. “We demonstrated that our recently announced group-purchasing agreement is already helping to drive expanded payer contracts and reimbursement for the Afirma GEC, as we signed in-network contracts with two key payers. Additionally, our Percepta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Bronchial Genomic Classifier is now poised for Medicare coverage by the end of the year, buoyed by a robust package of clinical evidence. We also remain on track to launch our Envisia™ classifier in the fourth quarter of this year, which we believe will transform the diagnosis of idiopathic pulmonary fibrosis.”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2016 Financial Results</w:t>
      </w:r>
    </w:p>
    <w:p>
      <w:pPr>
        <w:spacing w:after="0" w:line="247" w:lineRule="exact"/>
        <w:rPr>
          <w:sz w:val="20"/>
          <w:szCs w:val="20"/>
          <w:color w:val="auto"/>
        </w:rPr>
      </w:pPr>
    </w:p>
    <w:p>
      <w:pPr>
        <w:ind w:left="660" w:right="40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expense for the second quarter of 2016 was $25.2 million, compared to $21.0 million for the comparable period in 2015. Operating expense included cost of revenue of $6.3 million for the second quarter of 2016 versus $5.1 million for the comparable period in 2015.</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for the second quarter of 2016 was $11.2 million, or $0.40 per common share, compared to a net loss of $9.1 million, or $0.35 per common share, for the same period in 2015.</w:t>
      </w:r>
    </w:p>
    <w:p>
      <w:pPr>
        <w:ind w:left="660" w:right="48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burn for the quarter was $8.5 million, of which $2.1 million was paid to Sanofi Genzyme under our co-promotion agreement, which will terminate on September 9, 2016.</w:t>
      </w:r>
    </w:p>
    <w:p>
      <w:pPr>
        <w:ind w:left="660" w:right="5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as of June 30, 2016 totaled $39.0 million. In addition, Veracyte’s option on a second tranche of $15.0 million in debt financing gives the company access to approximately $54.0 million at the end of the second quarter.</w:t>
      </w:r>
    </w:p>
    <w:p>
      <w:pPr>
        <w:sectPr>
          <w:pgSz w:w="11900" w:h="16838" w:orient="portrait"/>
          <w:cols w:equalWidth="0" w:num="1">
            <w:col w:w="11420"/>
          </w:cols>
          <w:pgMar w:left="240" w:top="14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and Recent Business Highlights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Afirma Growth and Reimbursement Progress</w:t>
      </w:r>
      <w:r>
        <w:rPr>
          <w:rFonts w:ascii="Arial" w:cs="Arial" w:eastAsia="Arial" w:hAnsi="Arial"/>
          <w:sz w:val="18"/>
          <w:szCs w:val="18"/>
          <w:color w:val="auto"/>
        </w:rPr>
        <w:t>:</w:t>
      </w:r>
    </w:p>
    <w:p>
      <w:pPr>
        <w:spacing w:after="0" w:line="27" w:lineRule="exact"/>
        <w:rPr>
          <w:sz w:val="20"/>
          <w:szCs w:val="20"/>
          <w:color w:val="auto"/>
        </w:rPr>
      </w:pPr>
    </w:p>
    <w:p>
      <w:pPr>
        <w:jc w:val="both"/>
        <w:ind w:left="660" w:right="3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Signed in-network contracts with two Blues payers, with over 11 million members combined, representing the first such contracts to follow the recent execution of a network-wide group-purchasing agreement and bringing the total number of contracted lives to over 140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Expanded the clinical utility evidence for the Afirma GEC, further establishing the test as the new standard of care:</w:t>
      </w:r>
    </w:p>
    <w:p>
      <w:pPr>
        <w:spacing w:after="0" w:line="9" w:lineRule="exact"/>
        <w:rPr>
          <w:rFonts w:ascii="Arial" w:cs="Arial" w:eastAsia="Arial" w:hAnsi="Arial"/>
          <w:sz w:val="18"/>
          <w:szCs w:val="18"/>
          <w:color w:val="auto"/>
        </w:rPr>
      </w:pPr>
    </w:p>
    <w:p>
      <w:pPr>
        <w:ind w:left="980" w:right="360" w:hanging="324"/>
        <w:spacing w:after="0" w:line="256"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Data presentations at ENDO 2016 included a meta-review of 13 studies involving more than 1,800 Afirma GEC patients, which demonstrated that use of the genomic test significantly reduced unnecessary surgeries among thyroid nodule patients with indeterminate cytopathology.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Advancement of Pulmonology Products:</w:t>
      </w:r>
    </w:p>
    <w:p>
      <w:pPr>
        <w:spacing w:after="0" w:line="27" w:lineRule="exact"/>
        <w:rPr>
          <w:sz w:val="20"/>
          <w:szCs w:val="20"/>
          <w:color w:val="auto"/>
        </w:rPr>
      </w:pPr>
    </w:p>
    <w:p>
      <w:pPr>
        <w:ind w:left="660" w:right="4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Solidified the evidence to support a Medicare coverage decision for the Percepta classifier with four presentations at the American Thoracic Society (ATS) 2016 International Conference in May, including:</w:t>
      </w:r>
    </w:p>
    <w:p>
      <w:pPr>
        <w:ind w:left="980" w:right="40" w:hanging="324"/>
        <w:spacing w:after="0" w:line="250"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Two clinical utility studies suggesting the test’s ability to significantly reduce unnecessary, invasive procedures among patients with potential lung cancer whose bronchoscopy results were inconclusive. Findings from one study were also published in </w:t>
      </w:r>
      <w:r>
        <w:rPr>
          <w:rFonts w:ascii="Arial" w:cs="Arial" w:eastAsia="Arial" w:hAnsi="Arial"/>
          <w:sz w:val="18"/>
          <w:szCs w:val="18"/>
          <w:i w:val="1"/>
          <w:iCs w:val="1"/>
          <w:color w:val="auto"/>
        </w:rPr>
        <w:t>BMC</w:t>
      </w:r>
      <w:r>
        <w:rPr>
          <w:rFonts w:ascii="Arial" w:cs="Arial" w:eastAsia="Arial" w:hAnsi="Arial"/>
          <w:sz w:val="18"/>
          <w:szCs w:val="18"/>
          <w:color w:val="auto"/>
        </w:rPr>
        <w:t xml:space="preserve"> </w:t>
      </w:r>
      <w:r>
        <w:rPr>
          <w:rFonts w:ascii="Arial" w:cs="Arial" w:eastAsia="Arial" w:hAnsi="Arial"/>
          <w:sz w:val="18"/>
          <w:szCs w:val="18"/>
          <w:i w:val="1"/>
          <w:iCs w:val="1"/>
          <w:color w:val="auto"/>
        </w:rPr>
        <w:t>Pulmonary Medicine.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Advanced the Envisia classifier toward planned fourth-quarter launch with four presentations at ATS, including:</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Findings showing that, in an independent test set, Veracyte’s prototype genomic classifier was more accurate at identifying patients with usual interstitial pneumonia (UIP) - a pattern whose presence is required for diagnosis of idiopathic pulmonary fibrosis (IPF) - than standard high-resolution CT imaging evaluation alone (sensitivity of 93% versus 26%).</w:t>
      </w:r>
    </w:p>
    <w:p>
      <w:pPr>
        <w:spacing w:after="0" w:line="1" w:lineRule="exact"/>
        <w:rPr>
          <w:rFonts w:ascii="Arial" w:cs="Arial" w:eastAsia="Arial" w:hAnsi="Arial"/>
          <w:sz w:val="18"/>
          <w:szCs w:val="18"/>
          <w:color w:val="auto"/>
        </w:rPr>
      </w:pPr>
    </w:p>
    <w:p>
      <w:pPr>
        <w:ind w:left="980" w:right="120" w:hanging="324"/>
        <w:spacing w:after="0" w:line="262"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Data from a physician survey evaluating the clinical utility of Veracyte’s genomic classifier suggested it has the potential to reduce the need for invasive diagnostic procedures by more than 50%.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Financial Outlook</w:t>
      </w:r>
    </w:p>
    <w:p>
      <w:pPr>
        <w:spacing w:after="0" w:line="247"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Veracyte reiterates its 2016 annual revenue guidance of $59 million to $63 million and Afirma GEC test volume in the range of 24,000 to 25,500.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Veracyte will host a conference call and webcast today at 4:30 p.m. Eastern Time to discuss the company’s financial results and provide a general business update. The live webcast and subsequent replay may be accessed by visiting Veracyte's website at </w:t>
      </w:r>
      <w:r>
        <w:rPr>
          <w:rFonts w:ascii="Arial" w:cs="Arial" w:eastAsia="Arial" w:hAnsi="Arial"/>
          <w:sz w:val="18"/>
          <w:szCs w:val="18"/>
          <w:u w:val="single" w:color="auto"/>
          <w:color w:val="0000FF"/>
        </w:rPr>
        <w:t>http://investor.veracyte.com</w:t>
      </w:r>
      <w:r>
        <w:rPr>
          <w:rFonts w:ascii="Arial" w:cs="Arial" w:eastAsia="Arial" w:hAnsi="Arial"/>
          <w:sz w:val="18"/>
          <w:szCs w:val="18"/>
          <w:color w:val="000000"/>
        </w:rPr>
        <w:t>. Alternatively, please call (855) 541-0980 (U.S.) or (970) 315-0440 (international) to listen to the live conference</w:t>
      </w:r>
      <w:r>
        <w:rPr>
          <w:rFonts w:ascii="Arial" w:cs="Arial" w:eastAsia="Arial" w:hAnsi="Arial"/>
          <w:sz w:val="18"/>
          <w:szCs w:val="18"/>
          <w:color w:val="0000FF"/>
        </w:rPr>
        <w:t xml:space="preserve"> </w:t>
      </w:r>
      <w:r>
        <w:rPr>
          <w:rFonts w:ascii="Arial" w:cs="Arial" w:eastAsia="Arial" w:hAnsi="Arial"/>
          <w:sz w:val="18"/>
          <w:szCs w:val="18"/>
          <w:color w:val="000000"/>
        </w:rPr>
        <w:t>call. The conference ID number is 47259795. The webcast replay will be available on the company's website approximately two hours following completion of the call.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4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Veracyte (NASDAQ: VCYT) is pioneering the field of molecular cytology, offering genomic solutions that resolve diagnostic ambiguity and enable physicians to make more informed treatment decisions at an early stage in patient care. By improving preoperative diagnostic accuracy, the company aims to help patients avoid unnecessary invasive procedures while reducing healthcare costs. Veracyte's Afirma</w:t>
      </w:r>
      <w:r>
        <w:rPr>
          <w:rFonts w:ascii="Arial" w:cs="Arial" w:eastAsia="Arial" w:hAnsi="Arial"/>
          <w:sz w:val="25"/>
          <w:szCs w:val="25"/>
          <w:b w:val="1"/>
          <w:bCs w:val="1"/>
          <w:color w:val="auto"/>
          <w:vertAlign w:val="superscript"/>
        </w:rPr>
        <w:t>®</w:t>
      </w:r>
      <w:r>
        <w:rPr>
          <w:rFonts w:ascii="Arial" w:cs="Arial" w:eastAsia="Arial" w:hAnsi="Arial"/>
          <w:sz w:val="18"/>
          <w:szCs w:val="18"/>
          <w:color w:val="auto"/>
        </w:rPr>
        <w:t xml:space="preserve"> Thyroid FNA Analysis centers on the proprietary Afirma Gene Expression Classifier (GEC) and is becoming a new standard of care in thyroid nodule assessment. The Afirma test is recommended in leading practice guidelines and is covered for 180 million lives in the United States, including through Medicare and many commercial insurance plans. Veracyte is expanding its molecular cytology franchise to other clinical areas, beginning with difficult-to-diagnose lung diseases. In April 2015, the</w:t>
      </w:r>
    </w:p>
    <w:p>
      <w:pPr>
        <w:sectPr>
          <w:pgSz w:w="11900" w:h="16838" w:orient="portrait"/>
          <w:cols w:equalWidth="0" w:num="1">
            <w:col w:w="11400"/>
          </w:cols>
          <w:pgMar w:left="240" w:top="140"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65"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company launched the Percepta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Bronchial Genomic Classifier, a test to evaluate patients with lung nodules that are suspicious for cancer. In the fourth quarter of 2016, Veracyte plans to launch its second pulmonology product, the Envisia™ classifier, to improve diagnosis of interstitial lung diseases including idiopathic pulmonary fibrosis. For more information, please visit </w:t>
      </w:r>
      <w:r>
        <w:rPr>
          <w:rFonts w:ascii="Arial" w:cs="Arial" w:eastAsia="Arial" w:hAnsi="Arial"/>
          <w:sz w:val="18"/>
          <w:szCs w:val="18"/>
          <w:u w:val="single" w:color="auto"/>
          <w:color w:val="0000FF"/>
        </w:rPr>
        <w:t>www.veracyte.com</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 our beliefs regarding the drivers of adoption of Afirma, our expectations with respect to the success of our entry into the pulmonology market, our expectations regarding full-year 2016 guidance and forecast for annual GEC test volume, and the value and potential of our technology and research and development pipeline.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limited operating history and history of losses; our ability to increase usage of and reimbursement for Afirma and to obtain reimbursement for any future products we may develop or sell; our ability to continue our momentum and growth; our dependence on a few payers for a significant portion of our revenue; the complexity, time and expense associated with billing and collecting from payers for our tests; laws and regulations applicable to our business, including potential regulation by the Food and Drug Administration or other regulatory bodies; our dependence on strategic relationships and our ability to successfully convert new accounts resulting from such relationships; our ability to develop and commercialize new products and the timing of commercialization; our ability to successfully achieve adoption of and reimbursement for our Percepta Bronchial Genomic Classifier; our ability to achieve sales penetration in complex commercial accounts; the occurrence and outcome of clinical studies; the timing and publication of study results; the applicability of clinical results to actual outcomes; our inclusion in clinical practice guidelines; the continued application of clinical guidelines to our products; our ability to compete; our ability to obtain capital when needed; and other risks set forth in the company's filings with the Securities and Exchange Commission, including the risks set forth in the company's Quarterly Report on Form 10-Q for the quarter ended March 31, 2016. These forward-looking statements speak only as of the date hereof and Veracyte specifically disclaims any obligation to update these forward-looking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the Veracyte logo, and the Afirma logo are trademarks of Veracyte, Inc.</w:t>
      </w:r>
    </w:p>
    <w:p>
      <w:pPr>
        <w:sectPr>
          <w:pgSz w:w="11900" w:h="16838" w:orient="portrait"/>
          <w:cols w:equalWidth="0" w:num="1">
            <w:col w:w="11420"/>
          </w:cols>
          <w:pgMar w:left="240" w:top="140"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VERACYTE, INC.</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3"/>
        </w:trPr>
        <w:tc>
          <w:tcPr>
            <w:tcW w:w="468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14,675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11,908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28,225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23,126</w:t>
            </w:r>
          </w:p>
        </w:tc>
        <w:tc>
          <w:tcPr>
            <w:tcW w:w="0" w:type="dxa"/>
            <w:vAlign w:val="bottom"/>
          </w:tcPr>
          <w:p>
            <w:pPr>
              <w:spacing w:after="0"/>
              <w:rPr>
                <w:sz w:val="1"/>
                <w:szCs w:val="1"/>
                <w:color w:val="auto"/>
              </w:rPr>
            </w:pP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38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6,301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5,139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12,580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9,705</w:t>
            </w:r>
          </w:p>
        </w:tc>
        <w:tc>
          <w:tcPr>
            <w:tcW w:w="0" w:type="dxa"/>
            <w:vAlign w:val="bottom"/>
          </w:tcPr>
          <w:p>
            <w:pPr>
              <w:spacing w:after="0"/>
              <w:rPr>
                <w:sz w:val="1"/>
                <w:szCs w:val="1"/>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7,728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5,890</w:t>
            </w:r>
          </w:p>
        </w:tc>
        <w:tc>
          <w:tcPr>
            <w:tcW w:w="0" w:type="dxa"/>
            <w:vAlign w:val="bottom"/>
          </w:tcPr>
          <w:p>
            <w:pPr>
              <w:spacing w:after="0"/>
              <w:rPr>
                <w:sz w:val="1"/>
                <w:szCs w:val="1"/>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38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8,263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6,937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15,329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12,557</w:t>
            </w:r>
          </w:p>
        </w:tc>
        <w:tc>
          <w:tcPr>
            <w:tcW w:w="0" w:type="dxa"/>
            <w:vAlign w:val="bottom"/>
          </w:tcPr>
          <w:p>
            <w:pPr>
              <w:spacing w:after="0"/>
              <w:rPr>
                <w:sz w:val="1"/>
                <w:szCs w:val="1"/>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5,536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12,299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11,334</w:t>
            </w:r>
          </w:p>
        </w:tc>
        <w:tc>
          <w:tcPr>
            <w:tcW w:w="0" w:type="dxa"/>
            <w:vAlign w:val="bottom"/>
          </w:tcPr>
          <w:p>
            <w:pPr>
              <w:spacing w:after="0"/>
              <w:rPr>
                <w:sz w:val="1"/>
                <w:szCs w:val="1"/>
                <w:color w:val="auto"/>
              </w:rPr>
            </w:pPr>
          </w:p>
        </w:tc>
      </w:tr>
      <w:tr>
        <w:trPr>
          <w:trHeight w:val="284"/>
        </w:trPr>
        <w:tc>
          <w:tcPr>
            <w:tcW w:w="468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38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4680" w:type="dxa"/>
            <w:vAlign w:val="bottom"/>
            <w:vMerge w:val="restart"/>
          </w:tcPr>
          <w:p>
            <w:pPr>
              <w:ind w:left="3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25,169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20,982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48,470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39,753</w:t>
            </w:r>
          </w:p>
        </w:tc>
        <w:tc>
          <w:tcPr>
            <w:tcW w:w="0" w:type="dxa"/>
            <w:vAlign w:val="bottom"/>
          </w:tcPr>
          <w:p>
            <w:pPr>
              <w:spacing w:after="0"/>
              <w:rPr>
                <w:sz w:val="1"/>
                <w:szCs w:val="1"/>
                <w:color w:val="auto"/>
              </w:rPr>
            </w:pPr>
          </w:p>
        </w:tc>
      </w:tr>
      <w:tr>
        <w:trPr>
          <w:trHeight w:val="27"/>
        </w:trPr>
        <w:tc>
          <w:tcPr>
            <w:tcW w:w="468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(10,494)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(9,074)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(20,245)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(16,627)</w:t>
            </w:r>
          </w:p>
        </w:tc>
        <w:tc>
          <w:tcPr>
            <w:tcW w:w="0" w:type="dxa"/>
            <w:vAlign w:val="bottom"/>
          </w:tcPr>
          <w:p>
            <w:pPr>
              <w:spacing w:after="0"/>
              <w:rPr>
                <w:sz w:val="1"/>
                <w:szCs w:val="1"/>
                <w:color w:val="auto"/>
              </w:rPr>
            </w:pP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84"/>
        </w:trPr>
        <w:tc>
          <w:tcPr>
            <w:tcW w:w="4680" w:type="dxa"/>
            <w:vAlign w:val="bottom"/>
          </w:tcPr>
          <w:p>
            <w:pPr>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680" w:type="dxa"/>
            <w:vAlign w:val="bottom"/>
            <w:vMerge w:val="restart"/>
          </w:tcPr>
          <w:p>
            <w:pPr>
              <w:spacing w:after="0"/>
              <w:rPr>
                <w:sz w:val="20"/>
                <w:szCs w:val="20"/>
                <w:color w:val="auto"/>
              </w:rPr>
            </w:pPr>
            <w:r>
              <w:rPr>
                <w:rFonts w:ascii="Arial" w:cs="Arial" w:eastAsia="Arial" w:hAnsi="Arial"/>
                <w:sz w:val="18"/>
                <w:szCs w:val="18"/>
                <w:color w:val="auto"/>
              </w:rPr>
              <w:t>Net loss and comprehensive loss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vMerge w:val="continue"/>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(11,243)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(9,136)</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(21,318)</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(16,746)</w:t>
            </w:r>
          </w:p>
        </w:tc>
        <w:tc>
          <w:tcPr>
            <w:tcW w:w="0" w:type="dxa"/>
            <w:vAlign w:val="bottom"/>
          </w:tcPr>
          <w:p>
            <w:pPr>
              <w:spacing w:after="0"/>
              <w:rPr>
                <w:sz w:val="1"/>
                <w:szCs w:val="1"/>
                <w:color w:val="auto"/>
              </w:rPr>
            </w:pPr>
          </w:p>
        </w:tc>
      </w:tr>
      <w:tr>
        <w:trPr>
          <w:trHeight w:val="27"/>
        </w:trPr>
        <w:tc>
          <w:tcPr>
            <w:tcW w:w="468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8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7"/>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w w:val="92"/>
              </w:rPr>
              <w:t>Shares used to compute net loss per common share, basic and</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680" w:type="dxa"/>
            <w:vAlign w:val="bottom"/>
          </w:tcPr>
          <w:p>
            <w:pPr>
              <w:ind w:left="2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27,859,918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26,048,934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27,838,955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24,304,022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60" w:top="140" w:right="239" w:bottom="144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4380" w:type="dxa"/>
            <w:vAlign w:val="bottom"/>
          </w:tcPr>
          <w:p>
            <w:pPr>
              <w:jc w:val="center"/>
              <w:ind w:right="350"/>
              <w:spacing w:after="0"/>
              <w:rPr>
                <w:sz w:val="20"/>
                <w:szCs w:val="20"/>
                <w:color w:val="auto"/>
              </w:rPr>
            </w:pPr>
            <w:r>
              <w:rPr>
                <w:rFonts w:ascii="Arial" w:cs="Arial" w:eastAsia="Arial" w:hAnsi="Arial"/>
                <w:sz w:val="18"/>
                <w:szCs w:val="18"/>
                <w:color w:val="auto"/>
                <w:w w:val="99"/>
              </w:rPr>
              <w:t>5</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2"/>
        </w:trPr>
        <w:tc>
          <w:tcPr>
            <w:tcW w:w="3720" w:type="dxa"/>
            <w:vAlign w:val="bottom"/>
          </w:tcPr>
          <w:p>
            <w:pPr>
              <w:spacing w:after="0"/>
              <w:rPr>
                <w:sz w:val="24"/>
                <w:szCs w:val="24"/>
                <w:color w:val="auto"/>
              </w:rPr>
            </w:pPr>
          </w:p>
        </w:tc>
        <w:tc>
          <w:tcPr>
            <w:tcW w:w="46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9"/>
              </w:rPr>
              <w:t>VERACYTE, INC.</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46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rPr>
              <w:t>CONDENSED BALANCE SHEETS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720" w:type="dxa"/>
            <w:vAlign w:val="bottom"/>
          </w:tcPr>
          <w:p>
            <w:pPr>
              <w:spacing w:after="0"/>
              <w:rPr>
                <w:sz w:val="20"/>
                <w:szCs w:val="20"/>
                <w:color w:val="auto"/>
              </w:rPr>
            </w:pPr>
          </w:p>
        </w:tc>
        <w:tc>
          <w:tcPr>
            <w:tcW w:w="46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9"/>
              </w:rPr>
              <w:t>(In thousands)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37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2015</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720" w:type="dxa"/>
            <w:vAlign w:val="bottom"/>
          </w:tcPr>
          <w:p>
            <w:pPr>
              <w:spacing w:after="0"/>
              <w:rPr>
                <w:sz w:val="3"/>
                <w:szCs w:val="3"/>
                <w:color w:val="auto"/>
              </w:rPr>
            </w:pPr>
          </w:p>
        </w:tc>
        <w:tc>
          <w:tcPr>
            <w:tcW w:w="43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(Unaudited)</w:t>
            </w:r>
          </w:p>
        </w:tc>
        <w:tc>
          <w:tcPr>
            <w:tcW w:w="420" w:type="dxa"/>
            <w:vAlign w:val="bottom"/>
          </w:tcPr>
          <w:p>
            <w:pPr>
              <w:spacing w:after="0"/>
              <w:rPr>
                <w:sz w:val="20"/>
                <w:szCs w:val="20"/>
                <w:color w:val="auto"/>
              </w:rPr>
            </w:pPr>
          </w:p>
        </w:tc>
        <w:tc>
          <w:tcPr>
            <w:tcW w:w="1180" w:type="dxa"/>
            <w:vAlign w:val="bottom"/>
          </w:tcPr>
          <w:p>
            <w:pPr>
              <w:jc w:val="right"/>
              <w:ind w:right="6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0"/>
                <w:szCs w:val="20"/>
                <w:color w:val="auto"/>
              </w:rPr>
            </w:pPr>
            <w:r>
              <w:rPr>
                <w:rFonts w:ascii="Arial" w:cs="Arial" w:eastAsia="Arial" w:hAnsi="Arial"/>
                <w:sz w:val="18"/>
                <w:szCs w:val="18"/>
                <w:color w:val="auto"/>
              </w:rPr>
              <w:t>Current assets:</w:t>
            </w:r>
          </w:p>
        </w:tc>
        <w:tc>
          <w:tcPr>
            <w:tcW w:w="4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4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38,993</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39,084</w:t>
            </w:r>
          </w:p>
        </w:tc>
        <w:tc>
          <w:tcPr>
            <w:tcW w:w="0" w:type="dxa"/>
            <w:vAlign w:val="bottom"/>
          </w:tcPr>
          <w:p>
            <w:pPr>
              <w:spacing w:after="0"/>
              <w:rPr>
                <w:sz w:val="1"/>
                <w:szCs w:val="1"/>
                <w:color w:val="auto"/>
              </w:rPr>
            </w:pPr>
          </w:p>
        </w:tc>
      </w:tr>
      <w:tr>
        <w:trPr>
          <w:trHeight w:val="270"/>
        </w:trPr>
        <w:tc>
          <w:tcPr>
            <w:tcW w:w="372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4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3,387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70"/>
        </w:trPr>
        <w:tc>
          <w:tcPr>
            <w:tcW w:w="3720" w:type="dxa"/>
            <w:vAlign w:val="bottom"/>
          </w:tcPr>
          <w:p>
            <w:pPr>
              <w:ind w:left="180"/>
              <w:spacing w:after="0"/>
              <w:rPr>
                <w:sz w:val="20"/>
                <w:szCs w:val="20"/>
                <w:color w:val="auto"/>
              </w:rPr>
            </w:pPr>
            <w:r>
              <w:rPr>
                <w:rFonts w:ascii="Arial" w:cs="Arial" w:eastAsia="Arial" w:hAnsi="Arial"/>
                <w:sz w:val="18"/>
                <w:szCs w:val="18"/>
                <w:color w:val="auto"/>
              </w:rPr>
              <w:t>Supplies inventory</w:t>
            </w:r>
          </w:p>
        </w:tc>
        <w:tc>
          <w:tcPr>
            <w:tcW w:w="4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70"/>
        </w:trPr>
        <w:tc>
          <w:tcPr>
            <w:tcW w:w="37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70"/>
        </w:trPr>
        <w:tc>
          <w:tcPr>
            <w:tcW w:w="372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4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41"/>
        </w:trPr>
        <w:tc>
          <w:tcPr>
            <w:tcW w:w="3720" w:type="dxa"/>
            <w:vAlign w:val="bottom"/>
            <w:vMerge w:val="restart"/>
          </w:tcPr>
          <w:p>
            <w:pPr>
              <w:ind w:left="360"/>
              <w:spacing w:after="0"/>
              <w:rPr>
                <w:sz w:val="20"/>
                <w:szCs w:val="20"/>
                <w:color w:val="auto"/>
              </w:rPr>
            </w:pPr>
            <w:r>
              <w:rPr>
                <w:rFonts w:ascii="Arial" w:cs="Arial" w:eastAsia="Arial" w:hAnsi="Arial"/>
                <w:sz w:val="18"/>
                <w:szCs w:val="18"/>
                <w:color w:val="auto"/>
              </w:rPr>
              <w:t>Total current assets</w:t>
            </w:r>
          </w:p>
        </w:tc>
        <w:tc>
          <w:tcPr>
            <w:tcW w:w="43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20" w:type="dxa"/>
            <w:vAlign w:val="bottom"/>
            <w:vMerge w:val="continue"/>
          </w:tcPr>
          <w:p>
            <w:pPr>
              <w:spacing w:after="0"/>
              <w:rPr>
                <w:sz w:val="20"/>
                <w:szCs w:val="20"/>
                <w:color w:val="auto"/>
              </w:rPr>
            </w:pPr>
          </w:p>
        </w:tc>
        <w:tc>
          <w:tcPr>
            <w:tcW w:w="4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47,397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47,914</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10,937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10,314</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0"/>
                <w:szCs w:val="20"/>
                <w:color w:val="auto"/>
              </w:rPr>
            </w:pPr>
            <w:r>
              <w:rPr>
                <w:rFonts w:ascii="Arial" w:cs="Arial" w:eastAsia="Arial" w:hAnsi="Arial"/>
                <w:sz w:val="18"/>
                <w:szCs w:val="18"/>
                <w:color w:val="auto"/>
              </w:rPr>
              <w:t>Finite-lived intangible assets, net</w:t>
            </w:r>
          </w:p>
        </w:tc>
        <w:tc>
          <w:tcPr>
            <w:tcW w:w="4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14,666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15,200</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0"/>
                <w:szCs w:val="20"/>
                <w:color w:val="auto"/>
              </w:rPr>
            </w:pPr>
            <w:r>
              <w:rPr>
                <w:rFonts w:ascii="Arial" w:cs="Arial" w:eastAsia="Arial" w:hAnsi="Arial"/>
                <w:sz w:val="18"/>
                <w:szCs w:val="18"/>
                <w:color w:val="auto"/>
              </w:rPr>
              <w:t>Goodwill</w:t>
            </w:r>
          </w:p>
        </w:tc>
        <w:tc>
          <w:tcPr>
            <w:tcW w:w="4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0"/>
                <w:szCs w:val="20"/>
                <w:color w:val="auto"/>
              </w:rPr>
            </w:pPr>
            <w:r>
              <w:rPr>
                <w:rFonts w:ascii="Arial" w:cs="Arial" w:eastAsia="Arial" w:hAnsi="Arial"/>
                <w:sz w:val="18"/>
                <w:szCs w:val="18"/>
                <w:color w:val="auto"/>
              </w:rPr>
              <w:t>Restricted cash</w:t>
            </w:r>
          </w:p>
        </w:tc>
        <w:tc>
          <w:tcPr>
            <w:tcW w:w="4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0"/>
                <w:szCs w:val="20"/>
                <w:color w:val="auto"/>
              </w:rPr>
            </w:pPr>
            <w:r>
              <w:rPr>
                <w:rFonts w:ascii="Arial" w:cs="Arial" w:eastAsia="Arial" w:hAnsi="Arial"/>
                <w:sz w:val="18"/>
                <w:szCs w:val="18"/>
                <w:color w:val="auto"/>
              </w:rPr>
              <w:t>Other assets</w:t>
            </w:r>
          </w:p>
        </w:tc>
        <w:tc>
          <w:tcPr>
            <w:tcW w:w="4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41"/>
        </w:trPr>
        <w:tc>
          <w:tcPr>
            <w:tcW w:w="3720" w:type="dxa"/>
            <w:vAlign w:val="bottom"/>
            <w:vMerge w:val="restart"/>
          </w:tcPr>
          <w:p>
            <w:pPr>
              <w:ind w:left="360"/>
              <w:spacing w:after="0"/>
              <w:rPr>
                <w:sz w:val="20"/>
                <w:szCs w:val="20"/>
                <w:color w:val="auto"/>
              </w:rPr>
            </w:pPr>
            <w:r>
              <w:rPr>
                <w:rFonts w:ascii="Arial" w:cs="Arial" w:eastAsia="Arial" w:hAnsi="Arial"/>
                <w:sz w:val="18"/>
                <w:szCs w:val="18"/>
                <w:color w:val="auto"/>
              </w:rPr>
              <w:t>Total assets</w:t>
            </w:r>
          </w:p>
        </w:tc>
        <w:tc>
          <w:tcPr>
            <w:tcW w:w="43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20" w:type="dxa"/>
            <w:vAlign w:val="bottom"/>
            <w:vMerge w:val="continue"/>
          </w:tcPr>
          <w:p>
            <w:pPr>
              <w:spacing w:after="0"/>
              <w:rPr>
                <w:sz w:val="20"/>
                <w:szCs w:val="20"/>
                <w:color w:val="auto"/>
              </w:rPr>
            </w:pPr>
          </w:p>
        </w:tc>
        <w:tc>
          <w:tcPr>
            <w:tcW w:w="4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74,832</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75,247</w:t>
            </w:r>
          </w:p>
        </w:tc>
        <w:tc>
          <w:tcPr>
            <w:tcW w:w="0" w:type="dxa"/>
            <w:vAlign w:val="bottom"/>
          </w:tcPr>
          <w:p>
            <w:pPr>
              <w:spacing w:after="0"/>
              <w:rPr>
                <w:sz w:val="1"/>
                <w:szCs w:val="1"/>
                <w:color w:val="auto"/>
              </w:rPr>
            </w:pPr>
          </w:p>
        </w:tc>
      </w:tr>
      <w:tr>
        <w:trPr>
          <w:trHeight w:val="54"/>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3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720" w:type="dxa"/>
            <w:vAlign w:val="bottom"/>
            <w:vMerge w:val="continue"/>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20" w:type="dxa"/>
            <w:vAlign w:val="bottom"/>
            <w:vMerge w:val="continue"/>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3720" w:type="dxa"/>
            <w:vAlign w:val="bottom"/>
          </w:tcPr>
          <w:p>
            <w:pPr>
              <w:spacing w:after="0"/>
              <w:rPr>
                <w:sz w:val="20"/>
                <w:szCs w:val="20"/>
                <w:color w:val="auto"/>
              </w:rPr>
            </w:pPr>
            <w:r>
              <w:rPr>
                <w:rFonts w:ascii="Arial" w:cs="Arial" w:eastAsia="Arial" w:hAnsi="Arial"/>
                <w:sz w:val="18"/>
                <w:szCs w:val="18"/>
                <w:color w:val="auto"/>
              </w:rPr>
              <w:t>Current liabilities:</w:t>
            </w:r>
          </w:p>
        </w:tc>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70"/>
        </w:trPr>
        <w:tc>
          <w:tcPr>
            <w:tcW w:w="372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4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8,910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8,689</w:t>
            </w:r>
          </w:p>
        </w:tc>
        <w:tc>
          <w:tcPr>
            <w:tcW w:w="0" w:type="dxa"/>
            <w:vAlign w:val="bottom"/>
          </w:tcPr>
          <w:p>
            <w:pPr>
              <w:spacing w:after="0"/>
              <w:rPr>
                <w:sz w:val="1"/>
                <w:szCs w:val="1"/>
                <w:color w:val="auto"/>
              </w:rPr>
            </w:pPr>
          </w:p>
        </w:tc>
      </w:tr>
      <w:tr>
        <w:trPr>
          <w:trHeight w:val="270"/>
        </w:trPr>
        <w:tc>
          <w:tcPr>
            <w:tcW w:w="3720" w:type="dxa"/>
            <w:vAlign w:val="bottom"/>
          </w:tcPr>
          <w:p>
            <w:pPr>
              <w:ind w:left="180"/>
              <w:spacing w:after="0" w:line="207" w:lineRule="exact"/>
              <w:rPr>
                <w:sz w:val="20"/>
                <w:szCs w:val="20"/>
                <w:color w:val="auto"/>
              </w:rPr>
            </w:pPr>
            <w:r>
              <w:rPr>
                <w:rFonts w:ascii="Arial" w:cs="Arial" w:eastAsia="Arial" w:hAnsi="Arial"/>
                <w:sz w:val="18"/>
                <w:szCs w:val="18"/>
                <w:color w:val="auto"/>
              </w:rPr>
              <w:t>Deferred Genzyme co</w:t>
            </w:r>
            <w:r>
              <w:rPr>
                <w:rFonts w:ascii="MS PGothic" w:cs="MS PGothic" w:eastAsia="MS PGothic" w:hAnsi="MS PGothic"/>
                <w:sz w:val="18"/>
                <w:szCs w:val="18"/>
                <w:color w:val="auto"/>
              </w:rPr>
              <w:t>‑</w:t>
            </w:r>
            <w:r>
              <w:rPr>
                <w:rFonts w:ascii="Arial" w:cs="Arial" w:eastAsia="Arial" w:hAnsi="Arial"/>
                <w:sz w:val="18"/>
                <w:szCs w:val="18"/>
                <w:color w:val="auto"/>
              </w:rPr>
              <w:t>promotion fee</w:t>
            </w:r>
          </w:p>
        </w:tc>
        <w:tc>
          <w:tcPr>
            <w:tcW w:w="4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41"/>
        </w:trPr>
        <w:tc>
          <w:tcPr>
            <w:tcW w:w="3720" w:type="dxa"/>
            <w:vAlign w:val="bottom"/>
            <w:vMerge w:val="restart"/>
          </w:tcPr>
          <w:p>
            <w:pPr>
              <w:ind w:left="360"/>
              <w:spacing w:after="0"/>
              <w:rPr>
                <w:sz w:val="20"/>
                <w:szCs w:val="20"/>
                <w:color w:val="auto"/>
              </w:rPr>
            </w:pPr>
            <w:r>
              <w:rPr>
                <w:rFonts w:ascii="Arial" w:cs="Arial" w:eastAsia="Arial" w:hAnsi="Arial"/>
                <w:sz w:val="18"/>
                <w:szCs w:val="18"/>
                <w:color w:val="auto"/>
              </w:rPr>
              <w:t>Total current liabilities</w:t>
            </w:r>
          </w:p>
        </w:tc>
        <w:tc>
          <w:tcPr>
            <w:tcW w:w="43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20" w:type="dxa"/>
            <w:vAlign w:val="bottom"/>
            <w:vMerge w:val="continue"/>
          </w:tcPr>
          <w:p>
            <w:pPr>
              <w:spacing w:after="0"/>
              <w:rPr>
                <w:sz w:val="20"/>
                <w:szCs w:val="20"/>
                <w:color w:val="auto"/>
              </w:rPr>
            </w:pPr>
          </w:p>
        </w:tc>
        <w:tc>
          <w:tcPr>
            <w:tcW w:w="4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11,842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14,722</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0"/>
                <w:szCs w:val="20"/>
                <w:color w:val="auto"/>
              </w:rPr>
            </w:pPr>
            <w:r>
              <w:rPr>
                <w:rFonts w:ascii="Arial" w:cs="Arial" w:eastAsia="Arial" w:hAnsi="Arial"/>
                <w:sz w:val="18"/>
                <w:szCs w:val="18"/>
                <w:color w:val="auto"/>
              </w:rPr>
              <w:t>Long-term debt</w:t>
            </w:r>
          </w:p>
        </w:tc>
        <w:tc>
          <w:tcPr>
            <w:tcW w:w="4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24,671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4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41"/>
        </w:trPr>
        <w:tc>
          <w:tcPr>
            <w:tcW w:w="3720" w:type="dxa"/>
            <w:vAlign w:val="bottom"/>
            <w:vMerge w:val="restart"/>
          </w:tcPr>
          <w:p>
            <w:pPr>
              <w:ind w:left="360"/>
              <w:spacing w:after="0"/>
              <w:rPr>
                <w:sz w:val="20"/>
                <w:szCs w:val="20"/>
                <w:color w:val="auto"/>
              </w:rPr>
            </w:pPr>
            <w:r>
              <w:rPr>
                <w:rFonts w:ascii="Arial" w:cs="Arial" w:eastAsia="Arial" w:hAnsi="Arial"/>
                <w:sz w:val="18"/>
                <w:szCs w:val="18"/>
                <w:color w:val="auto"/>
              </w:rPr>
              <w:t>Total liabilities</w:t>
            </w:r>
          </w:p>
        </w:tc>
        <w:tc>
          <w:tcPr>
            <w:tcW w:w="43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20" w:type="dxa"/>
            <w:vAlign w:val="bottom"/>
            <w:vMerge w:val="continue"/>
          </w:tcPr>
          <w:p>
            <w:pPr>
              <w:spacing w:after="0"/>
              <w:rPr>
                <w:sz w:val="20"/>
                <w:szCs w:val="20"/>
                <w:color w:val="auto"/>
              </w:rPr>
            </w:pPr>
          </w:p>
        </w:tc>
        <w:tc>
          <w:tcPr>
            <w:tcW w:w="4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41,079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23,995</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4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33,753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51,252</w:t>
            </w:r>
          </w:p>
        </w:tc>
        <w:tc>
          <w:tcPr>
            <w:tcW w:w="0" w:type="dxa"/>
            <w:vAlign w:val="bottom"/>
          </w:tcPr>
          <w:p>
            <w:pPr>
              <w:spacing w:after="0"/>
              <w:rPr>
                <w:sz w:val="1"/>
                <w:szCs w:val="1"/>
                <w:color w:val="auto"/>
              </w:rPr>
            </w:pPr>
          </w:p>
        </w:tc>
      </w:tr>
      <w:tr>
        <w:trPr>
          <w:trHeight w:val="41"/>
        </w:trPr>
        <w:tc>
          <w:tcPr>
            <w:tcW w:w="3720" w:type="dxa"/>
            <w:vAlign w:val="bottom"/>
            <w:vMerge w:val="restart"/>
          </w:tcPr>
          <w:p>
            <w:pPr>
              <w:spacing w:after="0"/>
              <w:rPr>
                <w:sz w:val="20"/>
                <w:szCs w:val="20"/>
                <w:color w:val="auto"/>
              </w:rPr>
            </w:pPr>
            <w:r>
              <w:rPr>
                <w:rFonts w:ascii="Arial" w:cs="Arial" w:eastAsia="Arial" w:hAnsi="Arial"/>
                <w:sz w:val="18"/>
                <w:szCs w:val="18"/>
                <w:color w:val="auto"/>
              </w:rPr>
              <w:t>Total liabilities and stockholders’ equity</w:t>
            </w:r>
          </w:p>
        </w:tc>
        <w:tc>
          <w:tcPr>
            <w:tcW w:w="43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20" w:type="dxa"/>
            <w:vAlign w:val="bottom"/>
            <w:vMerge w:val="continue"/>
          </w:tcPr>
          <w:p>
            <w:pPr>
              <w:spacing w:after="0"/>
              <w:rPr>
                <w:sz w:val="20"/>
                <w:szCs w:val="20"/>
                <w:color w:val="auto"/>
              </w:rPr>
            </w:pPr>
          </w:p>
        </w:tc>
        <w:tc>
          <w:tcPr>
            <w:tcW w:w="4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74,832</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75,247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1215" cy="26035"/>
                    </a:xfrm>
                    <a:prstGeom prst="rect">
                      <a:avLst/>
                    </a:prstGeom>
                    <a:noFill/>
                  </pic:spPr>
                </pic:pic>
              </a:graphicData>
            </a:graphic>
          </wp:anchor>
        </w:drawing>
      </w:r>
    </w:p>
    <w:p>
      <w:pPr>
        <w:spacing w:after="0" w:line="90" w:lineRule="exact"/>
        <w:rPr>
          <w:sz w:val="20"/>
          <w:szCs w:val="20"/>
          <w:color w:val="auto"/>
        </w:rPr>
      </w:pPr>
    </w:p>
    <w:p>
      <w:pPr>
        <w:ind w:right="140" w:firstLine="8"/>
        <w:spacing w:after="0" w:line="280" w:lineRule="auto"/>
        <w:tabs>
          <w:tab w:leader="none" w:pos="243"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The condensed balance sheet at December 31, 2015 has been derived from the audited financial statements at that date included in the Company's Form 10-K filed with the Securities and Exchange Commission dated March 14, 2016.</w:t>
      </w:r>
    </w:p>
    <w:p>
      <w:pPr>
        <w:jc w:val="center"/>
        <w:spacing w:after="0"/>
        <w:rPr>
          <w:sz w:val="20"/>
          <w:szCs w:val="20"/>
          <w:color w:val="auto"/>
        </w:rPr>
      </w:pPr>
      <w:r>
        <w:rPr>
          <w:rFonts w:ascii="Arial" w:cs="Arial" w:eastAsia="Arial" w:hAnsi="Arial"/>
          <w:sz w:val="18"/>
          <w:szCs w:val="18"/>
          <w:color w:val="auto"/>
        </w:rPr>
        <w:t>#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Pam Lord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Canale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619-849-6003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pam@canalecomm.com</w:t>
      </w:r>
    </w:p>
    <w:sectPr>
      <w:pgSz w:w="11900" w:h="16838" w:orient="portrait"/>
      <w:cols w:equalWidth="0" w:num="1">
        <w:col w:w="11420"/>
      </w:cols>
      <w:pgMar w:left="24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2019-12-08T12:54:15Z</dcterms:created>
  <dcterms:modified xsi:type="dcterms:W3CDTF">2019-12-08T12:54:15Z</dcterms:modified>
</cp:coreProperties>
</file>