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 Mark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6000 SHORELINE COURT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Principal Accounting Officer</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12/02/2019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680" w:type="dxa"/>
            <w:vAlign w:val="bottom"/>
            <w:tcBorders>
              <w:bottom w:val="single" w:sz="8" w:color="2C2C2C"/>
            </w:tcBorders>
          </w:tcPr>
          <w:p>
            <w:pPr>
              <w:ind w:left="320"/>
              <w:spacing w:after="0" w:line="324" w:lineRule="exact"/>
              <w:rPr>
                <w:sz w:val="20"/>
                <w:szCs w:val="20"/>
                <w:color w:val="auto"/>
              </w:rPr>
            </w:pPr>
            <w:r>
              <w:rPr>
                <w:rFonts w:ascii="Arial" w:cs="Arial" w:eastAsia="Arial" w:hAnsi="Arial"/>
                <w:sz w:val="35"/>
                <w:szCs w:val="35"/>
                <w:color w:val="0000FF"/>
                <w:w w:val="86"/>
                <w:vertAlign w:val="subscript"/>
              </w:rPr>
              <w:t>65</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27.19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21,758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is reporting the withholding of 65 shares of common stock to satisfy the reporting person's tax withholding obligations in connection with the vesting of 187 Restricted Stock Units granted on March 2, 2018 and does not represent a sale by the reporting person.</w:t>
      </w:r>
    </w:p>
    <w:p>
      <w:pPr>
        <w:sectPr>
          <w:pgSz w:w="11900" w:h="16838" w:orient="portrait"/>
          <w:cols w:equalWidth="0" w:num="1">
            <w:col w:w="11420"/>
          </w:cols>
          <w:pgMar w:left="240" w:top="226" w:right="239" w:bottom="1440" w:gutter="0" w:footer="0" w:header="0"/>
          <w:type w:val="continuous"/>
        </w:sectPr>
      </w:pP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Keith Kennedy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2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5"/>
          <w:szCs w:val="15"/>
          <w:color w:val="0000FF"/>
        </w:rPr>
        <w:t>12/04/2019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416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2019-12-04T16:03:59Z</dcterms:created>
  <dcterms:modified xsi:type="dcterms:W3CDTF">2019-12-04T16:03:59Z</dcterms:modified>
</cp:coreProperties>
</file>