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8-A</w:t>
      </w:r>
    </w:p>
    <w:p>
      <w:pPr>
        <w:spacing w:after="0" w:line="228" w:lineRule="exact"/>
        <w:rPr>
          <w:sz w:val="24"/>
          <w:szCs w:val="24"/>
          <w:color w:val="auto"/>
        </w:rPr>
      </w:pPr>
    </w:p>
    <w:p>
      <w:pPr>
        <w:jc w:val="center"/>
        <w:ind w:left="280" w:right="2520"/>
        <w:spacing w:after="0" w:line="246" w:lineRule="auto"/>
        <w:rPr>
          <w:sz w:val="20"/>
          <w:szCs w:val="20"/>
          <w:color w:val="auto"/>
        </w:rPr>
      </w:pPr>
      <w:r>
        <w:rPr>
          <w:rFonts w:ascii="Times New Roman" w:cs="Times New Roman" w:eastAsia="Times New Roman" w:hAnsi="Times New Roman"/>
          <w:sz w:val="22"/>
          <w:szCs w:val="22"/>
          <w:b w:val="1"/>
          <w:bCs w:val="1"/>
          <w:color w:val="auto"/>
        </w:rPr>
        <w:t>FOR REGISTRATION OF CERTAIN CLASSES OF SECURITIES PURSUANT TO SECTION 12(b) OR 12(g) OF THE SECURITIES EXCHANGE ACT OF 1934</w:t>
      </w:r>
    </w:p>
    <w:p>
      <w:pPr>
        <w:spacing w:after="0" w:line="1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Veracyte, Inc.</w:t>
      </w:r>
    </w:p>
    <w:p>
      <w:pPr>
        <w:spacing w:after="0" w:line="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8" w:lineRule="exact"/>
        <w:rPr>
          <w:sz w:val="24"/>
          <w:szCs w:val="24"/>
          <w:color w:val="auto"/>
        </w:rPr>
      </w:pPr>
    </w:p>
    <w:tbl>
      <w:tblPr>
        <w:tblLayout w:type="fixed"/>
        <w:tblInd w:w="560" w:type="dxa"/>
        <w:tblCellMar>
          <w:top w:w="0" w:type="dxa"/>
          <w:left w:w="0" w:type="dxa"/>
          <w:bottom w:w="0" w:type="dxa"/>
          <w:right w:w="0" w:type="dxa"/>
        </w:tblCellMar>
      </w:tblPr>
      <w:tr>
        <w:trPr>
          <w:trHeight w:val="220"/>
        </w:trPr>
        <w:tc>
          <w:tcPr>
            <w:tcW w:w="50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80" w:type="dxa"/>
            <w:vAlign w:val="bottom"/>
          </w:tcPr>
          <w:p>
            <w:pPr>
              <w:jc w:val="right"/>
              <w:ind w:right="2055"/>
              <w:spacing w:after="0"/>
              <w:rPr>
                <w:sz w:val="20"/>
                <w:szCs w:val="20"/>
                <w:color w:val="auto"/>
              </w:rPr>
            </w:pPr>
            <w:r>
              <w:rPr>
                <w:rFonts w:ascii="Times New Roman" w:cs="Times New Roman" w:eastAsia="Times New Roman" w:hAnsi="Times New Roman"/>
                <w:sz w:val="18"/>
                <w:szCs w:val="18"/>
                <w:b w:val="1"/>
                <w:bCs w:val="1"/>
                <w:color w:val="auto"/>
              </w:rPr>
              <w:t>20-5455398</w:t>
            </w:r>
          </w:p>
        </w:tc>
      </w:tr>
      <w:tr>
        <w:trPr>
          <w:trHeight w:val="234"/>
        </w:trPr>
        <w:tc>
          <w:tcPr>
            <w:tcW w:w="50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(State of incorporation or organization)</w:t>
            </w:r>
          </w:p>
        </w:tc>
        <w:tc>
          <w:tcPr>
            <w:tcW w:w="5580" w:type="dxa"/>
            <w:vAlign w:val="bottom"/>
          </w:tcPr>
          <w:p>
            <w:pPr>
              <w:jc w:val="center"/>
              <w:ind w:left="355"/>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37"/>
        </w:trPr>
        <w:tc>
          <w:tcPr>
            <w:tcW w:w="50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7000 Shoreline Court, Suite 250</w:t>
            </w:r>
          </w:p>
        </w:tc>
        <w:tc>
          <w:tcPr>
            <w:tcW w:w="5580" w:type="dxa"/>
            <w:vAlign w:val="bottom"/>
          </w:tcPr>
          <w:p>
            <w:pPr>
              <w:spacing w:after="0"/>
              <w:rPr>
                <w:sz w:val="24"/>
                <w:szCs w:val="24"/>
                <w:color w:val="auto"/>
              </w:rPr>
            </w:pPr>
          </w:p>
        </w:tc>
      </w:tr>
      <w:tr>
        <w:trPr>
          <w:trHeight w:val="220"/>
        </w:trPr>
        <w:tc>
          <w:tcPr>
            <w:tcW w:w="50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5580" w:type="dxa"/>
            <w:vAlign w:val="bottom"/>
          </w:tcPr>
          <w:p>
            <w:pPr>
              <w:jc w:val="right"/>
              <w:ind w:right="2275"/>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234"/>
        </w:trPr>
        <w:tc>
          <w:tcPr>
            <w:tcW w:w="50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5580" w:type="dxa"/>
            <w:vAlign w:val="bottom"/>
          </w:tcPr>
          <w:p>
            <w:pPr>
              <w:jc w:val="center"/>
              <w:ind w:left="335"/>
              <w:spacing w:after="0"/>
              <w:rPr>
                <w:sz w:val="20"/>
                <w:szCs w:val="20"/>
                <w:color w:val="auto"/>
              </w:rPr>
            </w:pPr>
            <w:r>
              <w:rPr>
                <w:rFonts w:ascii="Times New Roman" w:cs="Times New Roman" w:eastAsia="Times New Roman" w:hAnsi="Times New Roman"/>
                <w:sz w:val="18"/>
                <w:szCs w:val="18"/>
                <w:color w:val="auto"/>
              </w:rPr>
              <w:t>(Zip Code)</w:t>
            </w:r>
          </w:p>
        </w:tc>
      </w:tr>
      <w:tr>
        <w:trPr>
          <w:trHeight w:val="432"/>
        </w:trPr>
        <w:tc>
          <w:tcPr>
            <w:tcW w:w="1064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Securities to be Registered Pursuant to Section 12(b) of the Act</w:t>
            </w:r>
          </w:p>
        </w:tc>
      </w:tr>
      <w:tr>
        <w:trPr>
          <w:trHeight w:val="340"/>
        </w:trPr>
        <w:tc>
          <w:tcPr>
            <w:tcW w:w="5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r>
      <w:tr>
        <w:trPr>
          <w:trHeight w:val="173"/>
        </w:trPr>
        <w:tc>
          <w:tcPr>
            <w:tcW w:w="5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 be so registered</w:t>
            </w:r>
          </w:p>
        </w:tc>
        <w:tc>
          <w:tcPr>
            <w:tcW w:w="5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each class is to be registered</w:t>
            </w:r>
          </w:p>
        </w:tc>
      </w:tr>
      <w:tr>
        <w:trPr>
          <w:trHeight w:val="228"/>
        </w:trPr>
        <w:tc>
          <w:tcPr>
            <w:tcW w:w="4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20" w:type="dxa"/>
            <w:vAlign w:val="bottom"/>
          </w:tcPr>
          <w:p>
            <w:pPr>
              <w:spacing w:after="0"/>
              <w:rPr>
                <w:sz w:val="19"/>
                <w:szCs w:val="19"/>
                <w:color w:val="auto"/>
              </w:rPr>
            </w:pPr>
          </w:p>
        </w:tc>
        <w:tc>
          <w:tcPr>
            <w:tcW w:w="5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If this form relates to the registration of a class of securities pursuant to Section 12(b) of the Exchange Act and is effective pursuant to General Instruction A. (c), check the following box. x</w:t>
      </w:r>
    </w:p>
    <w:p>
      <w:pPr>
        <w:spacing w:after="0" w:line="162"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If this form relates to the registration of a class of securities pursuant to Section 12(g) of the Exchange Act and is effective pursuant to General Instruction A. (d), check the following box. o</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Act registration statement file number to which this form relates: </w:t>
      </w:r>
      <w:r>
        <w:rPr>
          <w:rFonts w:ascii="Times New Roman" w:cs="Times New Roman" w:eastAsia="Times New Roman" w:hAnsi="Times New Roman"/>
          <w:sz w:val="18"/>
          <w:szCs w:val="18"/>
          <w:b w:val="1"/>
          <w:bCs w:val="1"/>
          <w:color w:val="auto"/>
        </w:rPr>
        <w:t>333-191282</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to be registered pursuant to Section 12(g) of the Act:</w:t>
      </w:r>
    </w:p>
    <w:p>
      <w:pPr>
        <w:spacing w:after="0" w:line="221" w:lineRule="exact"/>
        <w:rPr>
          <w:sz w:val="24"/>
          <w:szCs w:val="24"/>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8"/>
          <w:szCs w:val="18"/>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Description of Registrant’s Securities to be Registered.</w:t>
      </w:r>
    </w:p>
    <w:p>
      <w:pPr>
        <w:spacing w:after="0" w:line="229" w:lineRule="exact"/>
        <w:rPr>
          <w:sz w:val="24"/>
          <w:szCs w:val="24"/>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 description of the common stock, par value $0.001 per share (the “Common Stock”), of Veracyte, Inc., a Delaware corporation (the “Registrant”), to be registered hereunder is contained in the section entitled “Description of Capital Stock” in the prospectus included in the Registrant’s Registration Statement on Form S-1 (File No. 333-191282), initially filed with the Securities and Exchange Commission on September 20, 2013, as amended from time to time (the “Registration Statement”), and is incorporated herein by reference. In addition, a description of the Common Stock will be included in a prospectus to be subsequently filed by the Registrant pursuant to Rule 424(b) of the Securities Act of 1933, as amended, relating to the Registration Statement, and such prospectus is incorporated herein by reference.</w:t>
      </w:r>
    </w:p>
    <w:p>
      <w:pPr>
        <w:spacing w:after="0" w:line="188"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7"/>
          <w:szCs w:val="17"/>
          <w:color w:val="auto"/>
        </w:rPr>
        <w:t>The Common Stock has been approved for listing on the NASDAQ Global Market of The NASDAQ Stock Market LLC under the symbol “VCYT.”</w:t>
      </w:r>
    </w:p>
    <w:p>
      <w:pPr>
        <w:spacing w:after="0" w:line="233" w:lineRule="exact"/>
        <w:rPr>
          <w:sz w:val="24"/>
          <w:szCs w:val="24"/>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4"/>
          <w:szCs w:val="24"/>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Pursuant to the Instructions as to Exhibits with respect to Form 8-A, no exhibits are required to be filed because no other securities of the Registrant are registered on The NASDAQ Stock Market LLC, and the securities registered hereby are not being registered pursuant to Section 12(g) of the Securities Exchange Act of 1934, as amended.</w:t>
      </w:r>
    </w:p>
    <w:p>
      <w:pPr>
        <w:spacing w:after="0" w:line="17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4"/>
          <w:szCs w:val="24"/>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62" w:lineRule="exact"/>
        <w:rPr>
          <w:sz w:val="24"/>
          <w:szCs w:val="24"/>
          <w:color w:val="auto"/>
        </w:rPr>
      </w:pPr>
    </w:p>
    <w:p>
      <w:pPr>
        <w:ind w:left="6280"/>
        <w:spacing w:after="0"/>
        <w:rPr>
          <w:sz w:val="20"/>
          <w:szCs w:val="20"/>
          <w:color w:val="auto"/>
        </w:rPr>
      </w:pPr>
      <w:r>
        <w:rPr>
          <w:rFonts w:ascii="Times New Roman" w:cs="Times New Roman" w:eastAsia="Times New Roman" w:hAnsi="Times New Roman"/>
          <w:sz w:val="18"/>
          <w:szCs w:val="18"/>
          <w:color w:val="auto"/>
        </w:rPr>
        <w:t>Veracyte, Inc.</w:t>
      </w:r>
    </w:p>
    <w:p>
      <w:pPr>
        <w:sectPr>
          <w:pgSz w:w="11900" w:h="16838" w:orient="portrait"/>
          <w:cols w:equalWidth="0" w:num="1">
            <w:col w:w="11380"/>
          </w:cols>
          <w:pgMar w:left="240" w:top="538" w:right="27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Dated: October 28, 2013</w:t>
            </w:r>
          </w:p>
        </w:tc>
        <w:tc>
          <w:tcPr>
            <w:tcW w:w="2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Bonnie H. Anderson</w:t>
            </w:r>
          </w:p>
        </w:tc>
        <w:tc>
          <w:tcPr>
            <w:tcW w:w="40" w:type="dxa"/>
            <w:vAlign w:val="bottom"/>
          </w:tcPr>
          <w:p>
            <w:pPr>
              <w:spacing w:after="0"/>
              <w:rPr>
                <w:sz w:val="20"/>
                <w:szCs w:val="20"/>
                <w:color w:val="auto"/>
              </w:rPr>
            </w:pPr>
          </w:p>
        </w:tc>
      </w:tr>
      <w:tr>
        <w:trPr>
          <w:trHeight w:val="191"/>
        </w:trPr>
        <w:tc>
          <w:tcPr>
            <w:tcW w:w="40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6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Bonnie H. Anderson</w:t>
            </w:r>
          </w:p>
        </w:tc>
        <w:tc>
          <w:tcPr>
            <w:tcW w:w="40" w:type="dxa"/>
            <w:vAlign w:val="bottom"/>
          </w:tcPr>
          <w:p>
            <w:pPr>
              <w:spacing w:after="0"/>
              <w:rPr>
                <w:sz w:val="16"/>
                <w:szCs w:val="16"/>
                <w:color w:val="auto"/>
              </w:rPr>
            </w:pPr>
          </w:p>
        </w:tc>
      </w:tr>
      <w:tr>
        <w:trPr>
          <w:trHeight w:val="234"/>
        </w:trPr>
        <w:tc>
          <w:tcPr>
            <w:tcW w:w="40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c>
          <w:tcPr>
            <w:tcW w:w="40" w:type="dxa"/>
            <w:vAlign w:val="bottom"/>
          </w:tcPr>
          <w:p>
            <w:pPr>
              <w:spacing w:after="0"/>
              <w:rPr>
                <w:sz w:val="20"/>
                <w:szCs w:val="20"/>
                <w:color w:val="auto"/>
              </w:rPr>
            </w:pPr>
          </w:p>
        </w:tc>
      </w:tr>
      <w:tr>
        <w:trPr>
          <w:trHeight w:val="432"/>
        </w:trPr>
        <w:tc>
          <w:tcPr>
            <w:tcW w:w="4060" w:type="dxa"/>
            <w:vAlign w:val="bottom"/>
          </w:tcPr>
          <w:p>
            <w:pPr>
              <w:spacing w:after="0"/>
              <w:rPr>
                <w:sz w:val="24"/>
                <w:szCs w:val="24"/>
                <w:color w:val="auto"/>
              </w:rPr>
            </w:pPr>
          </w:p>
        </w:tc>
        <w:tc>
          <w:tcPr>
            <w:tcW w:w="26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3</w:t>
            </w:r>
          </w:p>
        </w:tc>
        <w:tc>
          <w:tcPr>
            <w:tcW w:w="4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060" w:type="dxa"/>
            <w:vAlign w:val="bottom"/>
            <w:tcBorders>
              <w:bottom w:val="single" w:sz="8" w:color="010101"/>
            </w:tcBorders>
          </w:tcPr>
          <w:p>
            <w:pPr>
              <w:spacing w:after="0"/>
              <w:rPr>
                <w:sz w:val="11"/>
                <w:szCs w:val="11"/>
                <w:color w:val="auto"/>
              </w:rPr>
            </w:pPr>
          </w:p>
        </w:tc>
        <w:tc>
          <w:tcPr>
            <w:tcW w:w="2680" w:type="dxa"/>
            <w:vAlign w:val="bottom"/>
            <w:tcBorders>
              <w:bottom w:val="single" w:sz="8" w:color="010101"/>
            </w:tcBorders>
          </w:tcPr>
          <w:p>
            <w:pPr>
              <w:spacing w:after="0"/>
              <w:rPr>
                <w:sz w:val="11"/>
                <w:szCs w:val="11"/>
                <w:color w:val="auto"/>
              </w:rPr>
            </w:pPr>
          </w:p>
        </w:tc>
        <w:tc>
          <w:tcPr>
            <w:tcW w:w="46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553"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2019-12-07T15:18:03Z</dcterms:created>
  <dcterms:modified xsi:type="dcterms:W3CDTF">2019-12-07T15:18:03Z</dcterms:modified>
</cp:coreProperties>
</file>