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00" w:right="1460"/>
        <w:spacing w:after="0" w:line="272"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 (Amendment No. 1)*</w:t>
      </w:r>
    </w:p>
    <w:p>
      <w:pPr>
        <w:spacing w:after="0" w:line="39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92337F107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8</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Exhibit Index on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2 of 8</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Kleiner Perkins Caufield &amp; Byers XII, LLC (“KPCB XII”)</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280" w:type="dxa"/>
            <w:vAlign w:val="bottom"/>
            <w:tcBorders>
              <w:bottom w:val="single" w:sz="8" w:color="auto"/>
              <w:right w:val="single" w:sz="8" w:color="auto"/>
            </w:tcBorders>
          </w:tcPr>
          <w:p>
            <w:pPr>
              <w:spacing w:after="0"/>
              <w:rPr>
                <w:sz w:val="6"/>
                <w:szCs w:val="6"/>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0360" w:type="dxa"/>
            <w:vAlign w:val="bottom"/>
            <w:tcBorders>
              <w:bottom w:val="single" w:sz="8" w:color="auto"/>
              <w:right w:val="single" w:sz="8" w:color="auto"/>
            </w:tcBorders>
            <w:gridSpan w:val="3"/>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60"/>
              <w:spacing w:after="0" w:line="181" w:lineRule="exact"/>
              <w:rPr>
                <w:sz w:val="20"/>
                <w:szCs w:val="20"/>
                <w:color w:val="auto"/>
              </w:rPr>
            </w:pP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right w:val="single" w:sz="8" w:color="auto"/>
            </w:tcBorders>
            <w:gridSpan w:val="3"/>
          </w:tcPr>
          <w:p>
            <w:pPr>
              <w:spacing w:after="0"/>
              <w:rPr>
                <w:sz w:val="6"/>
                <w:szCs w:val="6"/>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3080" w:type="dxa"/>
            <w:vAlign w:val="bottom"/>
            <w:tcBorders>
              <w:bottom w:val="single" w:sz="8" w:color="auto"/>
            </w:tcBorders>
            <w:gridSpan w:val="2"/>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780"/>
              <w:spacing w:after="0"/>
              <w:rPr>
                <w:sz w:val="20"/>
                <w:szCs w:val="20"/>
                <w:color w:val="auto"/>
              </w:rPr>
            </w:pPr>
            <w:r>
              <w:rPr>
                <w:rFonts w:ascii="Arial" w:cs="Arial" w:eastAsia="Arial" w:hAnsi="Arial"/>
                <w:sz w:val="18"/>
                <w:szCs w:val="18"/>
                <w:color w:val="auto"/>
              </w:rPr>
              <w:t>OO</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561"/>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3 of 8</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KPCB XII Founders Fund, LLC (“KPCB XII Founders”)</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280" w:type="dxa"/>
            <w:vAlign w:val="bottom"/>
            <w:tcBorders>
              <w:bottom w:val="single" w:sz="8" w:color="auto"/>
              <w:right w:val="single" w:sz="8" w:color="auto"/>
            </w:tcBorders>
          </w:tcPr>
          <w:p>
            <w:pPr>
              <w:spacing w:after="0"/>
              <w:rPr>
                <w:sz w:val="6"/>
                <w:szCs w:val="6"/>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0360" w:type="dxa"/>
            <w:vAlign w:val="bottom"/>
            <w:tcBorders>
              <w:bottom w:val="single" w:sz="8" w:color="auto"/>
              <w:right w:val="single" w:sz="8" w:color="auto"/>
            </w:tcBorders>
            <w:gridSpan w:val="3"/>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60"/>
              <w:spacing w:after="0" w:line="181" w:lineRule="exact"/>
              <w:rPr>
                <w:sz w:val="20"/>
                <w:szCs w:val="20"/>
                <w:color w:val="auto"/>
              </w:rPr>
            </w:pP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right w:val="single" w:sz="8" w:color="auto"/>
            </w:tcBorders>
            <w:gridSpan w:val="3"/>
          </w:tcPr>
          <w:p>
            <w:pPr>
              <w:spacing w:after="0"/>
              <w:rPr>
                <w:sz w:val="6"/>
                <w:szCs w:val="6"/>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3080" w:type="dxa"/>
            <w:vAlign w:val="bottom"/>
            <w:tcBorders>
              <w:bottom w:val="single" w:sz="8" w:color="auto"/>
            </w:tcBorders>
            <w:gridSpan w:val="2"/>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780"/>
              <w:spacing w:after="0"/>
              <w:rPr>
                <w:sz w:val="20"/>
                <w:szCs w:val="20"/>
                <w:color w:val="auto"/>
              </w:rPr>
            </w:pPr>
            <w:r>
              <w:rPr>
                <w:rFonts w:ascii="Arial" w:cs="Arial" w:eastAsia="Arial" w:hAnsi="Arial"/>
                <w:sz w:val="18"/>
                <w:szCs w:val="18"/>
                <w:color w:val="auto"/>
              </w:rPr>
              <w:t>OO</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561"/>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4 of 8</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KPCB XII Associates, LLC</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280" w:type="dxa"/>
            <w:vAlign w:val="bottom"/>
            <w:tcBorders>
              <w:bottom w:val="single" w:sz="8" w:color="auto"/>
              <w:right w:val="single" w:sz="8" w:color="auto"/>
            </w:tcBorders>
          </w:tcPr>
          <w:p>
            <w:pPr>
              <w:spacing w:after="0"/>
              <w:rPr>
                <w:sz w:val="6"/>
                <w:szCs w:val="6"/>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 shares.</w:t>
            </w:r>
          </w:p>
        </w:tc>
      </w:tr>
      <w:tr>
        <w:trPr>
          <w:trHeight w:val="95"/>
        </w:trPr>
        <w:tc>
          <w:tcPr>
            <w:tcW w:w="600" w:type="dxa"/>
            <w:vAlign w:val="bottom"/>
            <w:tcBorders>
              <w:lef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0360" w:type="dxa"/>
            <w:vAlign w:val="bottom"/>
            <w:tcBorders>
              <w:bottom w:val="single" w:sz="8" w:color="auto"/>
              <w:right w:val="single" w:sz="8" w:color="auto"/>
            </w:tcBorders>
            <w:gridSpan w:val="3"/>
          </w:tcPr>
          <w:p>
            <w:pPr>
              <w:spacing w:after="0"/>
              <w:rPr>
                <w:sz w:val="8"/>
                <w:szCs w:val="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60"/>
              <w:spacing w:after="0" w:line="181" w:lineRule="exact"/>
              <w:rPr>
                <w:sz w:val="20"/>
                <w:szCs w:val="20"/>
                <w:color w:val="auto"/>
              </w:rPr>
            </w:pPr>
            <w:r>
              <w:rPr>
                <w:rFonts w:ascii="MS PGothic" w:cs="MS PGothic" w:eastAsia="MS PGothic" w:hAnsi="MS PGothic"/>
                <w:sz w:val="18"/>
                <w:szCs w:val="18"/>
                <w:color w:val="auto"/>
              </w:rPr>
              <w:t>☐</w:t>
            </w: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right w:val="single" w:sz="8" w:color="auto"/>
            </w:tcBorders>
            <w:gridSpan w:val="3"/>
          </w:tcPr>
          <w:p>
            <w:pPr>
              <w:spacing w:after="0"/>
              <w:rPr>
                <w:sz w:val="6"/>
                <w:szCs w:val="6"/>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3080" w:type="dxa"/>
            <w:vAlign w:val="bottom"/>
            <w:tcBorders>
              <w:bottom w:val="single" w:sz="8" w:color="auto"/>
            </w:tcBorders>
            <w:gridSpan w:val="2"/>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780"/>
              <w:spacing w:after="0"/>
              <w:rPr>
                <w:sz w:val="20"/>
                <w:szCs w:val="20"/>
                <w:color w:val="auto"/>
              </w:rPr>
            </w:pPr>
            <w:r>
              <w:rPr>
                <w:rFonts w:ascii="Arial" w:cs="Arial" w:eastAsia="Arial" w:hAnsi="Arial"/>
                <w:sz w:val="18"/>
                <w:szCs w:val="18"/>
                <w:color w:val="auto"/>
              </w:rPr>
              <w:t>OO</w:t>
            </w: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561"/>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5 of 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Amendment No. 1 amends the Statement on Schedule 13G previously filed by Kleiner Perkins Caufield &amp; Byers XII, LLC, a Delaware limited liability company, KPCB XII Founders Fund, LLC, a Delaware limited liability company, and KPCB XII Associates, LLC, a Delaware limited liability company. The foregoing entities are collectively referred to as the “Reporting Persons.” Only those items as to which there has been a change are included in this Amendment No. 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u w:val="single" w:color="auto"/>
          <w:color w:val="auto"/>
        </w:rPr>
        <w:t>OWNERSHIP</w:t>
      </w:r>
    </w:p>
    <w:p>
      <w:pPr>
        <w:spacing w:after="0" w:line="225"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The following information with respect to the ownership of the ordinary shares of the Issuer by the persons filing this Statement is provided as of December 31, 2017:</w:t>
      </w:r>
    </w:p>
    <w:p>
      <w:pPr>
        <w:spacing w:after="0" w:line="170" w:lineRule="exact"/>
        <w:rPr>
          <w:sz w:val="20"/>
          <w:szCs w:val="20"/>
          <w:color w:val="auto"/>
        </w:rPr>
      </w:pPr>
    </w:p>
    <w:p>
      <w:pPr>
        <w:ind w:left="2600" w:hanging="647"/>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hanging="651"/>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6 of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KLEINER PERKINS CAUFIELD &amp; BYERS XII,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Biglieri</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Susan Biglieri</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FOUNDERS FUND,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Biglieri</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Susan Biglieri</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Biglieri</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Susan Biglieri</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67"/>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CUSIP #92337F107</w:t>
            </w: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ind w:left="880"/>
              <w:spacing w:after="0"/>
              <w:rPr>
                <w:sz w:val="20"/>
                <w:szCs w:val="20"/>
                <w:color w:val="auto"/>
              </w:rPr>
            </w:pPr>
            <w:r>
              <w:rPr>
                <w:rFonts w:ascii="Arial" w:cs="Arial" w:eastAsia="Arial" w:hAnsi="Arial"/>
                <w:sz w:val="18"/>
                <w:szCs w:val="18"/>
                <w:color w:val="auto"/>
                <w:w w:val="86"/>
              </w:rPr>
              <w:t>Page 7 of 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540" w:type="dxa"/>
            <w:vAlign w:val="bottom"/>
            <w:gridSpan w:val="3"/>
          </w:tcPr>
          <w:p>
            <w:pPr>
              <w:ind w:left="118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Found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Sequentially</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Numbered 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Exhibit A: Agreement of Joint Filing</w:t>
            </w:r>
          </w:p>
        </w:tc>
        <w:tc>
          <w:tcPr>
            <w:tcW w:w="7540" w:type="dxa"/>
            <w:vAlign w:val="bottom"/>
            <w:gridSpan w:val="3"/>
            <w:shd w:val="clear" w:color="auto" w:fill="CCEEFF"/>
          </w:tcPr>
          <w:p>
            <w:pPr>
              <w:jc w:val="center"/>
              <w:ind w:left="575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7" w:name="page8"/>
    <w:bookmarkEnd w:id="7"/>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8 of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KLEINER PERKINS CAUFIELD &amp; BYERS XII,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FOUNDERS FUND,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567"/>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2019-12-17T07:39:48Z</dcterms:created>
  <dcterms:modified xsi:type="dcterms:W3CDTF">2019-12-17T07:39:48Z</dcterms:modified>
</cp:coreProperties>
</file>