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April 1, 2021</w:t>
            </w:r>
          </w:p>
        </w:tc>
        <w:tc>
          <w:tcPr>
            <w:tcW w:w="2400" w:type="dxa"/>
            <w:vAlign w:val="bottom"/>
          </w:tcPr>
          <w:p>
            <w:pPr>
              <w:spacing w:after="0"/>
              <w:rPr>
                <w:sz w:val="20"/>
                <w:szCs w:val="20"/>
                <w:color w:val="auto"/>
              </w:rPr>
            </w:pPr>
          </w:p>
        </w:tc>
      </w:tr>
      <w:tr>
        <w:trPr>
          <w:trHeight w:val="445"/>
        </w:trPr>
        <w:tc>
          <w:tcPr>
            <w:tcW w:w="236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400" w:type="dxa"/>
            <w:vAlign w:val="bottom"/>
          </w:tcPr>
          <w:p>
            <w:pPr>
              <w:spacing w:after="0"/>
              <w:rPr>
                <w:sz w:val="24"/>
                <w:szCs w:val="24"/>
                <w:color w:val="auto"/>
              </w:rPr>
            </w:pPr>
          </w:p>
        </w:tc>
      </w:tr>
      <w:tr>
        <w:trPr>
          <w:trHeight w:val="230"/>
        </w:trPr>
        <w:tc>
          <w:tcPr>
            <w:tcW w:w="2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0" w:type="dxa"/>
            <w:vAlign w:val="bottom"/>
          </w:tcPr>
          <w:p>
            <w:pPr>
              <w:spacing w:after="0"/>
              <w:rPr>
                <w:sz w:val="20"/>
                <w:szCs w:val="20"/>
                <w:color w:val="auto"/>
              </w:rPr>
            </w:pPr>
          </w:p>
        </w:tc>
      </w:tr>
      <w:tr>
        <w:trPr>
          <w:trHeight w:val="270"/>
        </w:trPr>
        <w:tc>
          <w:tcPr>
            <w:tcW w:w="2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4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6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w:t>
            </w: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60" w:type="dxa"/>
            <w:vAlign w:val="bottom"/>
          </w:tcPr>
          <w:p>
            <w:pPr>
              <w:jc w:val="center"/>
              <w:ind w:right="190"/>
              <w:spacing w:after="0"/>
              <w:rPr>
                <w:sz w:val="20"/>
                <w:szCs w:val="20"/>
                <w:color w:val="auto"/>
              </w:rPr>
            </w:pPr>
            <w:r>
              <w:rPr>
                <w:rFonts w:ascii="Arial" w:cs="Arial" w:eastAsia="Arial" w:hAnsi="Arial"/>
                <w:sz w:val="18"/>
                <w:szCs w:val="18"/>
                <w:color w:val="auto"/>
                <w:w w:val="94"/>
              </w:rPr>
              <w:t>incorporation)</w:t>
            </w:r>
          </w:p>
        </w:tc>
        <w:tc>
          <w:tcPr>
            <w:tcW w:w="5020" w:type="dxa"/>
            <w:vAlign w:val="bottom"/>
          </w:tcPr>
          <w:p>
            <w:pPr>
              <w:spacing w:after="0"/>
              <w:rPr>
                <w:sz w:val="20"/>
                <w:szCs w:val="20"/>
                <w:color w:val="auto"/>
              </w:rPr>
            </w:pPr>
          </w:p>
        </w:tc>
        <w:tc>
          <w:tcPr>
            <w:tcW w:w="2400" w:type="dxa"/>
            <w:vAlign w:val="bottom"/>
          </w:tcPr>
          <w:p>
            <w:pPr>
              <w:jc w:val="center"/>
              <w:ind w:left="190"/>
              <w:spacing w:after="0"/>
              <w:rPr>
                <w:sz w:val="20"/>
                <w:szCs w:val="20"/>
                <w:color w:val="auto"/>
              </w:rPr>
            </w:pPr>
            <w:r>
              <w:rPr>
                <w:rFonts w:ascii="Arial" w:cs="Arial" w:eastAsia="Arial" w:hAnsi="Arial"/>
                <w:sz w:val="18"/>
                <w:szCs w:val="18"/>
                <w:color w:val="auto"/>
                <w:w w:val="93"/>
              </w:rPr>
              <w:t>No.)</w:t>
            </w:r>
          </w:p>
        </w:tc>
      </w:tr>
      <w:tr>
        <w:trPr>
          <w:trHeight w:val="365"/>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4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38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1, 2021, Veracyte, Inc. (the “Company”) appointed Beverly Jane Alley, the Company’s current Executive Director, Corporate Controller, as its Vice President, Corporate Controller and Principal Accounting Officer. In addition, on April 1, 2021, Mark Ho resigned from his role as the Company’s Principal Accounting Officer, Vice President Controller and accepted a position as Director, Technical Accounting and Integrations at the Company.</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Ms. Alley, age 58, has served as the Company’s Executive Director, Corporate Controller since January 2021 and served as the Company’s Finance Consultant from March 2018 to January 2021. Prior to joining the Company, Ms. Alley served as Vice President and Controller at American Capital Senior Floating, Ltd., an investment management company, from November 2015 to June 2017. From November 2004 to August 2015, Ms. Alley held a variety of positions at MCG Capital Corporation, a commercial finance company, including Chief Financial Officer. Ms. Alley holds a B.B.A in Finance from the University of Oklahoma and an M.B.A. from Troy State University. Ms. Alley is a Certified Public Accountant.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her appointment as Principal Accounting Officer, Ms. Alley will receive an annual base salary of $275,000. In addition, the compensation committee of the board of directors of the Company approved a grant of stock options to purchase 6,000 shares of the Company’s common stock at an exercise price equal to the fair market value of the Company’s common stock on the date of grant. The option will vest over four years with 1/4 of the shares subject to the option vesting on the one-year anniversary of Ms. Alley’s promotion date (the “Option Vesting Commencement Date”) and 1/48 of the shares vesting on each of the 36 monthly anniversaries of the Option Vesting Commencement Date thereafter.</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enter into an indemnification agreement with Ms. Alley on the form previously approved by the Board and entered into with the Company’s other executive officers, which was filed as Exhibit 10.1 to the Company’s Registration Statement on Form S-1 filed with the U.S. Securities and Exchange Commission on October 7, 2013 (File No. 333-191282).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arrangement or understanding between Ms. Alley and any other person pursuant to which she was selected as an officer of the Company, and there are no family relationships between Ms. Alley and any of the Company’s directors or executive officers. There are no transactions to which the Company is a party and in which Ms. Alley has a direct or indirect material interest that would be required to be disclosed under Item 404(a) of Regulation S-K.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5, 2021</w:t>
      </w:r>
    </w:p>
    <w:p>
      <w:pPr>
        <w:spacing w:after="0" w:line="27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Keith Kennedy</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60" w:type="dxa"/>
            <w:vAlign w:val="bottom"/>
          </w:tcPr>
          <w:p>
            <w:pPr>
              <w:ind w:left="80"/>
              <w:spacing w:after="0"/>
              <w:rPr>
                <w:sz w:val="20"/>
                <w:szCs w:val="20"/>
                <w:color w:val="auto"/>
              </w:rPr>
            </w:pPr>
            <w:r>
              <w:rPr>
                <w:rFonts w:ascii="Arial" w:cs="Arial" w:eastAsia="Arial" w:hAnsi="Arial"/>
                <w:sz w:val="18"/>
                <w:szCs w:val="18"/>
                <w:color w:val="auto"/>
              </w:rPr>
              <w:t>Keith Kennedy</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57"/>
        </w:trPr>
        <w:tc>
          <w:tcPr>
            <w:tcW w:w="880" w:type="dxa"/>
            <w:vAlign w:val="bottom"/>
          </w:tcPr>
          <w:p>
            <w:pPr>
              <w:spacing w:after="0"/>
              <w:rPr>
                <w:sz w:val="22"/>
                <w:szCs w:val="22"/>
                <w:color w:val="auto"/>
              </w:rPr>
            </w:pP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2021-04-05T15:53:27Z</dcterms:created>
  <dcterms:modified xsi:type="dcterms:W3CDTF">2021-04-05T15:53:27Z</dcterms:modified>
</cp:coreProperties>
</file>