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Anderson Bonnie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6"/>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ind w:left="180"/>
              <w:spacing w:after="0" w:line="121" w:lineRule="exact"/>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05/31/2016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2,500</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5.4576</w:t>
            </w:r>
            <w:r>
              <w:rPr>
                <w:rFonts w:ascii="Arial" w:cs="Arial" w:eastAsia="Arial" w:hAnsi="Arial"/>
                <w:sz w:val="22"/>
                <w:szCs w:val="22"/>
                <w:color w:val="008000"/>
                <w:w w:val="91"/>
                <w:vertAlign w:val="superscript"/>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8"/>
              </w:rPr>
              <w:t>2,500</w:t>
            </w:r>
          </w:p>
        </w:tc>
        <w:tc>
          <w:tcPr>
            <w:tcW w:w="90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w w:val="91"/>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06/01/2016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2,500</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5.4567</w:t>
            </w:r>
            <w:r>
              <w:rPr>
                <w:rFonts w:ascii="Arial" w:cs="Arial" w:eastAsia="Arial" w:hAnsi="Arial"/>
                <w:sz w:val="22"/>
                <w:szCs w:val="22"/>
                <w:color w:val="008000"/>
                <w:w w:val="91"/>
                <w:vertAlign w:val="superscript"/>
              </w:rPr>
              <w:t>(2)</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8"/>
              </w:rPr>
              <w:t>5,000</w:t>
            </w:r>
          </w:p>
        </w:tc>
        <w:tc>
          <w:tcPr>
            <w:tcW w:w="90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w w:val="91"/>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Bonnie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95,000</w:t>
            </w:r>
          </w:p>
        </w:tc>
        <w:tc>
          <w:tcPr>
            <w:tcW w:w="90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5"/>
              </w:rPr>
              <w:t>Anderson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5840" w:type="dxa"/>
            <w:vAlign w:val="bottom"/>
            <w:tcBorders>
              <w:bottom w:val="single" w:sz="8" w:color="2C2C2C"/>
            </w:tcBorders>
            <w:gridSpan w:val="11"/>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purchased in multiple transactions at prices ranging from $5.42 to $5.50, inclusive. The reporting person undertakes to provide to Veracyte, Inc., any security holder of Veracyte, Inc.,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purchased in multiple transactions at prices ranging from $5.34 to $5.50, inclusive. The reporting person undertakes to provide to Veracyte, Inc., any security holder of Veracyte, Inc., or the staff of the Securities and Exchange Commission, upon request, full information regarding the number of shares purchased at each separate price within the ranges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Shelly D. Guyer,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06/01/2016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2019-12-08T13:37:47Z</dcterms:created>
  <dcterms:modified xsi:type="dcterms:W3CDTF">2019-12-08T13:37:47Z</dcterms:modified>
</cp:coreProperties>
</file>