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80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8012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COLELLA SAMUEL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140" w:type="dxa"/>
            <w:vAlign w:val="bottom"/>
            <w:tcBorders>
              <w:top w:val="single" w:sz="8" w:color="0000EE"/>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10/29/2013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VERACYTE,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VCYT</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VERSANT VENTURES</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3000 SAND HILL RD, BLDG 4,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00" w:type="dxa"/>
            <w:vAlign w:val="bottom"/>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900" w:type="dxa"/>
            <w:vAlign w:val="bottom"/>
          </w:tcPr>
          <w:p>
            <w:pPr>
              <w:ind w:left="40"/>
              <w:spacing w:after="0"/>
              <w:rPr>
                <w:sz w:val="20"/>
                <w:szCs w:val="20"/>
                <w:color w:val="auto"/>
              </w:rPr>
            </w:pPr>
            <w:r>
              <w:rPr>
                <w:rFonts w:ascii="Arial" w:cs="Arial" w:eastAsia="Arial" w:hAnsi="Arial"/>
                <w:sz w:val="18"/>
                <w:szCs w:val="18"/>
                <w:color w:val="0000FF"/>
              </w:rPr>
              <w:t>MENLO</w:t>
            </w:r>
          </w:p>
        </w:tc>
        <w:tc>
          <w:tcPr>
            <w:tcW w:w="900" w:type="dxa"/>
            <w:vAlign w:val="bottom"/>
            <w:vMerge w:val="restart"/>
          </w:tcPr>
          <w:p>
            <w:pPr>
              <w:ind w:left="240"/>
              <w:spacing w:after="0"/>
              <w:rPr>
                <w:sz w:val="20"/>
                <w:szCs w:val="20"/>
                <w:color w:val="auto"/>
              </w:rPr>
            </w:pPr>
            <w:r>
              <w:rPr>
                <w:rFonts w:ascii="Arial" w:cs="Arial" w:eastAsia="Arial" w:hAnsi="Arial"/>
                <w:sz w:val="18"/>
                <w:szCs w:val="18"/>
                <w:color w:val="0000FF"/>
              </w:rPr>
              <w:t>CA</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0000FF"/>
              </w:rPr>
              <w:t>94025</w:t>
            </w:r>
          </w:p>
        </w:tc>
        <w:tc>
          <w:tcPr>
            <w:tcW w:w="0" w:type="dxa"/>
            <w:vAlign w:val="bottom"/>
          </w:tcPr>
          <w:p>
            <w:pPr>
              <w:spacing w:after="0"/>
              <w:rPr>
                <w:sz w:val="1"/>
                <w:szCs w:val="1"/>
                <w:color w:val="auto"/>
              </w:rPr>
            </w:pPr>
          </w:p>
        </w:tc>
      </w:tr>
      <w:tr>
        <w:trPr>
          <w:trHeight w:val="114"/>
        </w:trPr>
        <w:tc>
          <w:tcPr>
            <w:tcW w:w="900" w:type="dxa"/>
            <w:vAlign w:val="bottom"/>
            <w:vMerge w:val="restart"/>
          </w:tcPr>
          <w:p>
            <w:pPr>
              <w:ind w:left="40"/>
              <w:spacing w:after="0"/>
              <w:rPr>
                <w:sz w:val="20"/>
                <w:szCs w:val="20"/>
                <w:color w:val="auto"/>
              </w:rPr>
            </w:pPr>
            <w:r>
              <w:rPr>
                <w:rFonts w:ascii="Arial" w:cs="Arial" w:eastAsia="Arial" w:hAnsi="Arial"/>
                <w:sz w:val="18"/>
                <w:szCs w:val="18"/>
                <w:color w:val="0000FF"/>
              </w:rPr>
              <w:t>PARK</w:t>
            </w:r>
          </w:p>
        </w:tc>
        <w:tc>
          <w:tcPr>
            <w:tcW w:w="90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180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74"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0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4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0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20" w:type="dxa"/>
            <w:vAlign w:val="bottom"/>
            <w:vMerge w:val="continue"/>
          </w:tcPr>
          <w:p>
            <w:pPr>
              <w:spacing w:after="0"/>
              <w:rPr>
                <w:sz w:val="15"/>
                <w:szCs w:val="15"/>
                <w:color w:val="auto"/>
              </w:rPr>
            </w:pPr>
          </w:p>
        </w:tc>
        <w:tc>
          <w:tcPr>
            <w:tcW w:w="104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34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7"/>
              </w:rPr>
              <w:t>1,797,716</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A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7"/>
              </w:rPr>
              <w:t>10,617</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998,105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B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5,895</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39"/>
              <w:spacing w:after="0"/>
              <w:rPr>
                <w:sz w:val="20"/>
                <w:szCs w:val="20"/>
                <w:color w:val="auto"/>
              </w:rPr>
            </w:pPr>
            <w:r>
              <w:rPr>
                <w:rFonts w:ascii="Arial" w:cs="Arial" w:eastAsia="Arial" w:hAnsi="Arial"/>
                <w:sz w:val="18"/>
                <w:szCs w:val="18"/>
                <w:color w:val="0000FF"/>
                <w:w w:val="89"/>
              </w:rPr>
              <w:t>799,168</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w w:val="94"/>
              </w:rPr>
              <w:t>By Versant Venture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Capital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4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3480" w:type="dxa"/>
            <w:vAlign w:val="bottom"/>
            <w:vMerge w:val="restart"/>
          </w:tcPr>
          <w:p>
            <w:pPr>
              <w:ind w:left="60"/>
              <w:spacing w:after="0"/>
              <w:rPr>
                <w:sz w:val="20"/>
                <w:szCs w:val="20"/>
                <w:color w:val="auto"/>
              </w:rPr>
            </w:pPr>
            <w:r>
              <w:rPr>
                <w:rFonts w:ascii="Arial" w:cs="Arial" w:eastAsia="Arial" w:hAnsi="Arial"/>
                <w:sz w:val="18"/>
                <w:szCs w:val="18"/>
                <w:color w:val="0000FF"/>
              </w:rPr>
              <w:t>Series C Convertible Preferred Stock</w:t>
            </w:r>
          </w:p>
        </w:tc>
        <w:tc>
          <w:tcPr>
            <w:tcW w:w="880" w:type="dxa"/>
            <w:vAlign w:val="bottom"/>
            <w:vMerge w:val="restart"/>
          </w:tcPr>
          <w:p>
            <w:pPr>
              <w:jc w:val="right"/>
              <w:ind w:right="31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(1)</w:t>
            </w:r>
          </w:p>
        </w:tc>
        <w:tc>
          <w:tcPr>
            <w:tcW w:w="1820" w:type="dxa"/>
            <w:vAlign w:val="bottom"/>
            <w:vMerge w:val="restart"/>
          </w:tcPr>
          <w:p>
            <w:pPr>
              <w:ind w:left="460"/>
              <w:spacing w:after="0"/>
              <w:rPr>
                <w:sz w:val="20"/>
                <w:szCs w:val="20"/>
                <w:color w:val="auto"/>
              </w:rPr>
            </w:pPr>
            <w:r>
              <w:rPr>
                <w:rFonts w:ascii="Arial" w:cs="Arial" w:eastAsia="Arial" w:hAnsi="Arial"/>
                <w:sz w:val="18"/>
                <w:szCs w:val="18"/>
                <w:color w:val="0000FF"/>
              </w:rPr>
              <w:t>Common Stock</w:t>
            </w:r>
          </w:p>
        </w:tc>
        <w:tc>
          <w:tcPr>
            <w:tcW w:w="1040" w:type="dxa"/>
            <w:vAlign w:val="bottom"/>
            <w:vMerge w:val="restart"/>
          </w:tcPr>
          <w:p>
            <w:pPr>
              <w:jc w:val="center"/>
              <w:ind w:left="119"/>
              <w:spacing w:after="0"/>
              <w:rPr>
                <w:sz w:val="20"/>
                <w:szCs w:val="20"/>
                <w:color w:val="auto"/>
              </w:rPr>
            </w:pPr>
            <w:r>
              <w:rPr>
                <w:rFonts w:ascii="Arial" w:cs="Arial" w:eastAsia="Arial" w:hAnsi="Arial"/>
                <w:sz w:val="18"/>
                <w:szCs w:val="18"/>
                <w:color w:val="0000FF"/>
                <w:w w:val="88"/>
              </w:rPr>
              <w:t>4,720</w:t>
            </w:r>
          </w:p>
        </w:tc>
        <w:tc>
          <w:tcPr>
            <w:tcW w:w="880" w:type="dxa"/>
            <w:vAlign w:val="bottom"/>
            <w:vMerge w:val="restart"/>
          </w:tcPr>
          <w:p>
            <w:pPr>
              <w:jc w:val="right"/>
              <w:ind w:right="298"/>
              <w:spacing w:after="0"/>
              <w:rPr>
                <w:sz w:val="20"/>
                <w:szCs w:val="20"/>
                <w:color w:val="auto"/>
              </w:rPr>
            </w:pPr>
            <w:r>
              <w:rPr>
                <w:rFonts w:ascii="Arial" w:cs="Arial" w:eastAsia="Arial" w:hAnsi="Arial"/>
                <w:sz w:val="11"/>
                <w:szCs w:val="11"/>
                <w:color w:val="008000"/>
              </w:rPr>
              <w:t>(1)</w:t>
            </w:r>
          </w:p>
        </w:tc>
        <w:tc>
          <w:tcPr>
            <w:tcW w:w="880" w:type="dxa"/>
            <w:vAlign w:val="bottom"/>
            <w:vMerge w:val="restart"/>
          </w:tcPr>
          <w:p>
            <w:pPr>
              <w:ind w:left="440"/>
              <w:spacing w:after="0"/>
              <w:rPr>
                <w:sz w:val="20"/>
                <w:szCs w:val="20"/>
                <w:color w:val="auto"/>
              </w:rPr>
            </w:pPr>
            <w:r>
              <w:rPr>
                <w:rFonts w:ascii="Arial" w:cs="Arial" w:eastAsia="Arial" w:hAnsi="Arial"/>
                <w:sz w:val="18"/>
                <w:szCs w:val="18"/>
                <w:color w:val="0000FF"/>
              </w:rPr>
              <w:t>I</w:t>
            </w:r>
          </w:p>
        </w:tc>
        <w:tc>
          <w:tcPr>
            <w:tcW w:w="1600" w:type="dxa"/>
            <w:vAlign w:val="bottom"/>
          </w:tcPr>
          <w:p>
            <w:pPr>
              <w:ind w:left="100"/>
              <w:spacing w:after="0"/>
              <w:rPr>
                <w:sz w:val="20"/>
                <w:szCs w:val="20"/>
                <w:color w:val="auto"/>
              </w:rPr>
            </w:pPr>
            <w:r>
              <w:rPr>
                <w:rFonts w:ascii="Arial" w:cs="Arial" w:eastAsia="Arial" w:hAnsi="Arial"/>
                <w:sz w:val="18"/>
                <w:szCs w:val="18"/>
                <w:color w:val="0000FF"/>
              </w:rPr>
              <w:t>By Versant Side</w:t>
            </w:r>
          </w:p>
        </w:tc>
        <w:tc>
          <w:tcPr>
            <w:tcW w:w="0" w:type="dxa"/>
            <w:vAlign w:val="bottom"/>
          </w:tcPr>
          <w:p>
            <w:pPr>
              <w:spacing w:after="0"/>
              <w:rPr>
                <w:sz w:val="1"/>
                <w:szCs w:val="1"/>
                <w:color w:val="auto"/>
              </w:rPr>
            </w:pPr>
          </w:p>
        </w:tc>
      </w:tr>
      <w:tr>
        <w:trPr>
          <w:trHeight w:val="114"/>
        </w:trPr>
        <w:tc>
          <w:tcPr>
            <w:tcW w:w="34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82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00" w:type="dxa"/>
            <w:vAlign w:val="bottom"/>
            <w:vMerge w:val="restart"/>
          </w:tcPr>
          <w:p>
            <w:pPr>
              <w:ind w:left="100"/>
              <w:spacing w:after="0"/>
              <w:rPr>
                <w:sz w:val="20"/>
                <w:szCs w:val="20"/>
                <w:color w:val="auto"/>
              </w:rPr>
            </w:pPr>
            <w:r>
              <w:rPr>
                <w:rFonts w:ascii="Arial" w:cs="Arial" w:eastAsia="Arial" w:hAnsi="Arial"/>
                <w:sz w:val="18"/>
                <w:szCs w:val="18"/>
                <w:color w:val="0000FF"/>
              </w:rPr>
              <w:t>Fund III, L.P.</w:t>
            </w:r>
          </w:p>
        </w:tc>
        <w:tc>
          <w:tcPr>
            <w:tcW w:w="0" w:type="dxa"/>
            <w:vAlign w:val="bottom"/>
          </w:tcPr>
          <w:p>
            <w:pPr>
              <w:spacing w:after="0"/>
              <w:rPr>
                <w:sz w:val="1"/>
                <w:szCs w:val="1"/>
                <w:color w:val="auto"/>
              </w:rPr>
            </w:pPr>
          </w:p>
        </w:tc>
      </w:tr>
      <w:tr>
        <w:trPr>
          <w:trHeight w:val="108"/>
        </w:trPr>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Each outstanding share of convertible preferred stock will automatically convert into 0.25 shares of common stock upon closing of the Issuer's initial public offering and has no expiration date.</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00"/>
        <w:spacing w:after="0" w:line="233" w:lineRule="auto"/>
        <w:rPr>
          <w:sz w:val="20"/>
          <w:szCs w:val="20"/>
          <w:color w:val="auto"/>
        </w:rPr>
      </w:pPr>
      <w:r>
        <w:rPr>
          <w:rFonts w:ascii="Arial" w:cs="Arial" w:eastAsia="Arial" w:hAnsi="Arial"/>
          <w:sz w:val="14"/>
          <w:szCs w:val="14"/>
          <w:color w:val="008000"/>
        </w:rPr>
        <w:t>The Reporting Person is a managing member of Versant Ventures III, LLC which is the sole general partner of Versant Venture Capital III, L.P. ("Versant Capital") and Versant Side Fund III, L.P.("Versant Side Fund"). The Reporting Person, along with the other managing members of Versant Ventures III, LLC, has voting and dispositive power with respect to these shares. The Reporting Person disclaims beneficial ownership of these shares, except to the extent of his pecuniary interest in such shares.</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Pr>
          <w:p>
            <w:pPr>
              <w:spacing w:after="0"/>
              <w:rPr>
                <w:sz w:val="20"/>
                <w:szCs w:val="20"/>
                <w:color w:val="auto"/>
              </w:rPr>
            </w:pPr>
            <w:r>
              <w:rPr>
                <w:rFonts w:ascii="Arial" w:cs="Arial" w:eastAsia="Arial" w:hAnsi="Arial"/>
                <w:sz w:val="18"/>
                <w:szCs w:val="18"/>
                <w:color w:val="0000FF"/>
                <w:w w:val="89"/>
              </w:rPr>
              <w:t>/s/ Samuel D. Colella</w:t>
            </w:r>
          </w:p>
        </w:tc>
        <w:tc>
          <w:tcPr>
            <w:tcW w:w="60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10/29/2013</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Know all by these presents, that the undersigned hereby constitutes and appoints each of Bonnie H. Anderson, Shelly D. Guyer, Christopher M. Hall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Karen Wright, or any of them signing singly, and with full power of substitution, the undersigned’s true and lawful attorney-in-fact to:</w:t>
      </w:r>
    </w:p>
    <w:p>
      <w:pPr>
        <w:spacing w:after="0" w:line="211" w:lineRule="exact"/>
        <w:rPr>
          <w:sz w:val="20"/>
          <w:szCs w:val="20"/>
          <w:color w:val="auto"/>
        </w:rPr>
      </w:pPr>
    </w:p>
    <w:p>
      <w:pPr>
        <w:jc w:val="both"/>
        <w:ind w:right="100" w:firstLine="8"/>
        <w:spacing w:after="0" w:line="312" w:lineRule="auto"/>
        <w:tabs>
          <w:tab w:leader="none" w:pos="331"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6" w:lineRule="exact"/>
        <w:rPr>
          <w:rFonts w:ascii="Arial" w:cs="Arial" w:eastAsia="Arial" w:hAnsi="Arial"/>
          <w:sz w:val="16"/>
          <w:szCs w:val="16"/>
          <w:color w:val="auto"/>
        </w:rPr>
      </w:pPr>
    </w:p>
    <w:p>
      <w:pPr>
        <w:ind w:right="300" w:firstLine="8"/>
        <w:spacing w:after="0" w:line="308" w:lineRule="auto"/>
        <w:tabs>
          <w:tab w:leader="none" w:pos="331"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for and on behalf of the undersigned, in the undersigned’s capacity as an officer and/or director of Veracyte, Inc., a Delaware corporation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ind w:right="200" w:firstLine="8"/>
        <w:spacing w:after="0" w:line="264"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complete and execute any amendment or amendments thereto, and file any such Form or amendment with the SEC and any stock exchange or similar authority, including filing this Power of Attorney with the SEC; and</w:t>
      </w:r>
    </w:p>
    <w:p>
      <w:pPr>
        <w:spacing w:after="0" w:line="181" w:lineRule="exact"/>
        <w:rPr>
          <w:rFonts w:ascii="Arial" w:cs="Arial" w:eastAsia="Arial" w:hAnsi="Arial"/>
          <w:sz w:val="18"/>
          <w:szCs w:val="18"/>
          <w:color w:val="auto"/>
        </w:rPr>
      </w:pPr>
    </w:p>
    <w:p>
      <w:pPr>
        <w:ind w:firstLine="8"/>
        <w:spacing w:after="0" w:line="259" w:lineRule="auto"/>
        <w:tabs>
          <w:tab w:leader="none" w:pos="331"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29th day of October, 2013.</w:t>
      </w:r>
    </w:p>
    <w:p>
      <w:pPr>
        <w:spacing w:after="0" w:line="200" w:lineRule="exact"/>
        <w:rPr>
          <w:sz w:val="20"/>
          <w:szCs w:val="20"/>
          <w:color w:val="auto"/>
        </w:rPr>
      </w:pPr>
    </w:p>
    <w:p>
      <w:pPr>
        <w:spacing w:after="0" w:line="241"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Samuel D. Colella</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Samuel D. Colella</w:t>
      </w:r>
    </w:p>
    <w:p>
      <w:pPr>
        <w:spacing w:after="0" w:line="2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01580" TargetMode="External"/><Relationship Id="rId12"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2019-12-16T21:37:58Z</dcterms:created>
  <dcterms:modified xsi:type="dcterms:W3CDTF">2019-12-16T21:37:58Z</dcterms:modified>
</cp:coreProperties>
</file>