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McGuire Annie</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6000 SHORELINE COURT, SUITE 300</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VERACYTE,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VCYT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740" w:type="dxa"/>
            <w:vAlign w:val="bottom"/>
            <w:gridSpan w:val="3"/>
          </w:tcPr>
          <w:p>
            <w:pPr>
              <w:ind w:left="80"/>
              <w:spacing w:after="0"/>
              <w:rPr>
                <w:sz w:val="20"/>
                <w:szCs w:val="20"/>
                <w:color w:val="auto"/>
              </w:rPr>
            </w:pPr>
            <w:r>
              <w:rPr>
                <w:rFonts w:ascii="Arial" w:cs="Arial" w:eastAsia="Arial" w:hAnsi="Arial"/>
                <w:sz w:val="17"/>
                <w:szCs w:val="17"/>
                <w:color w:val="0000FF"/>
              </w:rPr>
              <w:t>09/02/2023</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SVP, General Counsel</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09/02/2023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1,729</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26.7</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52,595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reporting the withholding of 495 and 1,234 shares of common stock to satisfy the reporting person's tax withholding obligations in connection with the vesting of 1,429 and 3,568 Restricted Stock Units granted on February 28, 2022 and August 5, 2022, respectively, and does not represent a sale by the reporting person.</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09/06/2023</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462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2023-09-06T15:40:19Z</dcterms:created>
  <dcterms:modified xsi:type="dcterms:W3CDTF">2023-09-06T15:40:19Z</dcterms:modified>
</cp:coreProperties>
</file>