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5600" w:val="left"/>
          <w:tab w:leader="none" w:pos="1050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306705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ind w:right="20"/>
              <w:spacing w:after="0"/>
              <w:rPr>
                <w:sz w:val="20"/>
                <w:szCs w:val="20"/>
                <w:color w:val="auto"/>
              </w:rPr>
            </w:pPr>
            <w:r>
              <w:rPr>
                <w:rFonts w:ascii="Arial" w:cs="Arial" w:eastAsia="Arial" w:hAnsi="Arial"/>
                <w:sz w:val="18"/>
                <w:szCs w:val="18"/>
                <w:color w:val="auto"/>
                <w:w w:val="94"/>
              </w:rPr>
              <w:t>CUSIP No. 92337F107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tcPr>
          <w:p>
            <w:pPr>
              <w:ind w:left="3520"/>
              <w:spacing w:after="0"/>
              <w:rPr>
                <w:sz w:val="20"/>
                <w:szCs w:val="20"/>
                <w:color w:val="auto"/>
              </w:rPr>
            </w:pPr>
            <w:r>
              <w:rPr>
                <w:rFonts w:ascii="Arial" w:cs="Arial" w:eastAsia="Arial" w:hAnsi="Arial"/>
                <w:sz w:val="18"/>
                <w:szCs w:val="18"/>
                <w:color w:val="auto"/>
              </w:rPr>
              <w:t>13G</w:t>
            </w:r>
          </w:p>
        </w:tc>
        <w:tc>
          <w:tcPr>
            <w:tcW w:w="86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w w:val="86"/>
              </w:rPr>
              <w:t>Page 2 of 10</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960" w:type="dxa"/>
            <w:vAlign w:val="bottom"/>
            <w:tcBorders>
              <w:bottom w:val="single" w:sz="8" w:color="auto"/>
            </w:tcBorders>
            <w:gridSpan w:val="5"/>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6"/>
                <w:szCs w:val="16"/>
                <w:color w:val="auto"/>
              </w:rPr>
            </w:pPr>
          </w:p>
        </w:tc>
        <w:tc>
          <w:tcPr>
            <w:tcW w:w="6960" w:type="dxa"/>
            <w:vAlign w:val="bottom"/>
            <w:gridSpan w:val="5"/>
          </w:tcPr>
          <w:p>
            <w:pPr>
              <w:ind w:left="140"/>
              <w:spacing w:after="0" w:line="195" w:lineRule="exact"/>
              <w:rPr>
                <w:sz w:val="20"/>
                <w:szCs w:val="20"/>
                <w:color w:val="auto"/>
              </w:rPr>
            </w:pPr>
            <w:r>
              <w:rPr>
                <w:rFonts w:ascii="Arial" w:cs="Arial" w:eastAsia="Arial" w:hAnsi="Arial"/>
                <w:sz w:val="18"/>
                <w:szCs w:val="18"/>
                <w:color w:val="auto"/>
              </w:rPr>
              <w:t>NAME OF REPORTING PERSONS / I.R.S. IDENTIFICATION</w:t>
            </w:r>
          </w:p>
        </w:tc>
        <w:tc>
          <w:tcPr>
            <w:tcW w:w="86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NO. OF ABOVE PERSONS (ENTITIES ONLY)</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CLOUGH CAPITAL PARTNERS L.P.</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560" w:type="dxa"/>
            <w:vAlign w:val="bottom"/>
            <w:gridSpan w:val="4"/>
          </w:tcPr>
          <w:p>
            <w:pPr>
              <w:ind w:left="140"/>
              <w:spacing w:after="0"/>
              <w:rPr>
                <w:sz w:val="20"/>
                <w:szCs w:val="20"/>
                <w:color w:val="auto"/>
              </w:rPr>
            </w:pPr>
            <w:r>
              <w:rPr>
                <w:rFonts w:ascii="Arial" w:cs="Arial" w:eastAsia="Arial" w:hAnsi="Arial"/>
                <w:sz w:val="18"/>
                <w:szCs w:val="18"/>
                <w:color w:val="auto"/>
              </w:rPr>
              <w:t>SEC USE ONLY</w:t>
            </w:r>
          </w:p>
        </w:tc>
        <w:tc>
          <w:tcPr>
            <w:tcW w:w="5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DELAWARE</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6.</w:t>
            </w:r>
          </w:p>
        </w:tc>
        <w:tc>
          <w:tcPr>
            <w:tcW w:w="60" w:type="dxa"/>
            <w:vAlign w:val="bottom"/>
          </w:tcPr>
          <w:p>
            <w:pPr>
              <w:spacing w:after="0"/>
              <w:rPr>
                <w:sz w:val="11"/>
                <w:szCs w:val="11"/>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1,049,054 (see Item 4)</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6"/>
                <w:szCs w:val="6"/>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6"/>
                <w:szCs w:val="6"/>
                <w:color w:val="auto"/>
              </w:rPr>
            </w:pPr>
          </w:p>
        </w:tc>
        <w:tc>
          <w:tcPr>
            <w:tcW w:w="3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jc w:val="center"/>
              <w:ind w:right="290"/>
              <w:spacing w:after="0" w:line="157" w:lineRule="exact"/>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7820" w:type="dxa"/>
            <w:vAlign w:val="bottom"/>
            <w:gridSpan w:val="6"/>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0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2"/>
              </w:rPr>
              <w:t>3.79% (see Item 4)</w:t>
            </w: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IA – Investment Adviser</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ind w:right="20"/>
              <w:spacing w:after="0"/>
              <w:rPr>
                <w:sz w:val="20"/>
                <w:szCs w:val="20"/>
                <w:color w:val="auto"/>
              </w:rPr>
            </w:pPr>
            <w:r>
              <w:rPr>
                <w:rFonts w:ascii="Arial" w:cs="Arial" w:eastAsia="Arial" w:hAnsi="Arial"/>
                <w:sz w:val="18"/>
                <w:szCs w:val="18"/>
                <w:color w:val="auto"/>
                <w:w w:val="94"/>
              </w:rPr>
              <w:t>CUSIP No. 92337F107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tcPr>
          <w:p>
            <w:pPr>
              <w:ind w:left="3520"/>
              <w:spacing w:after="0"/>
              <w:rPr>
                <w:sz w:val="20"/>
                <w:szCs w:val="20"/>
                <w:color w:val="auto"/>
              </w:rPr>
            </w:pPr>
            <w:r>
              <w:rPr>
                <w:rFonts w:ascii="Arial" w:cs="Arial" w:eastAsia="Arial" w:hAnsi="Arial"/>
                <w:sz w:val="18"/>
                <w:szCs w:val="18"/>
                <w:color w:val="auto"/>
              </w:rPr>
              <w:t>13G</w:t>
            </w:r>
          </w:p>
        </w:tc>
        <w:tc>
          <w:tcPr>
            <w:tcW w:w="86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w w:val="86"/>
              </w:rPr>
              <w:t>Page 3 of 10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6"/>
                <w:szCs w:val="16"/>
                <w:color w:val="auto"/>
              </w:rPr>
            </w:pPr>
          </w:p>
        </w:tc>
        <w:tc>
          <w:tcPr>
            <w:tcW w:w="6960" w:type="dxa"/>
            <w:vAlign w:val="bottom"/>
            <w:gridSpan w:val="5"/>
          </w:tcPr>
          <w:p>
            <w:pPr>
              <w:ind w:left="140"/>
              <w:spacing w:after="0" w:line="195" w:lineRule="exact"/>
              <w:rPr>
                <w:sz w:val="20"/>
                <w:szCs w:val="20"/>
                <w:color w:val="auto"/>
              </w:rPr>
            </w:pPr>
            <w:r>
              <w:rPr>
                <w:rFonts w:ascii="Arial" w:cs="Arial" w:eastAsia="Arial" w:hAnsi="Arial"/>
                <w:sz w:val="18"/>
                <w:szCs w:val="18"/>
                <w:color w:val="auto"/>
              </w:rPr>
              <w:t>NAME OF REPORTING PERSONS / I.R.S. IDENTIFICATION</w:t>
            </w:r>
          </w:p>
        </w:tc>
        <w:tc>
          <w:tcPr>
            <w:tcW w:w="86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NO. OF ABOVE PERSONS (ENTITIES ONLY)</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CLOUGH CAPITAL PARTNERS LLC</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560" w:type="dxa"/>
            <w:vAlign w:val="bottom"/>
            <w:gridSpan w:val="4"/>
          </w:tcPr>
          <w:p>
            <w:pPr>
              <w:ind w:left="140"/>
              <w:spacing w:after="0"/>
              <w:rPr>
                <w:sz w:val="20"/>
                <w:szCs w:val="20"/>
                <w:color w:val="auto"/>
              </w:rPr>
            </w:pPr>
            <w:r>
              <w:rPr>
                <w:rFonts w:ascii="Arial" w:cs="Arial" w:eastAsia="Arial" w:hAnsi="Arial"/>
                <w:sz w:val="18"/>
                <w:szCs w:val="18"/>
                <w:color w:val="auto"/>
              </w:rPr>
              <w:t>SEC USE ONLY</w:t>
            </w:r>
          </w:p>
        </w:tc>
        <w:tc>
          <w:tcPr>
            <w:tcW w:w="5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DELAWARE</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6.</w:t>
            </w:r>
          </w:p>
        </w:tc>
        <w:tc>
          <w:tcPr>
            <w:tcW w:w="60" w:type="dxa"/>
            <w:vAlign w:val="bottom"/>
          </w:tcPr>
          <w:p>
            <w:pPr>
              <w:spacing w:after="0"/>
              <w:rPr>
                <w:sz w:val="11"/>
                <w:szCs w:val="11"/>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1,049,054 (see Item 4)</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6"/>
                <w:szCs w:val="6"/>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6"/>
                <w:szCs w:val="6"/>
                <w:color w:val="auto"/>
              </w:rPr>
            </w:pPr>
          </w:p>
        </w:tc>
        <w:tc>
          <w:tcPr>
            <w:tcW w:w="3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jc w:val="center"/>
              <w:ind w:right="290"/>
              <w:spacing w:after="0" w:line="157" w:lineRule="exact"/>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7820" w:type="dxa"/>
            <w:vAlign w:val="bottom"/>
            <w:gridSpan w:val="6"/>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0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2"/>
              </w:rPr>
              <w:t>3.79% (see Item 4)</w:t>
            </w: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HC – Parent Holding Company/Control Person</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ind w:right="20"/>
              <w:spacing w:after="0"/>
              <w:rPr>
                <w:sz w:val="20"/>
                <w:szCs w:val="20"/>
                <w:color w:val="auto"/>
              </w:rPr>
            </w:pPr>
            <w:r>
              <w:rPr>
                <w:rFonts w:ascii="Arial" w:cs="Arial" w:eastAsia="Arial" w:hAnsi="Arial"/>
                <w:sz w:val="18"/>
                <w:szCs w:val="18"/>
                <w:color w:val="auto"/>
                <w:w w:val="94"/>
              </w:rPr>
              <w:t>CUSIP No. 92337F107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tcPr>
          <w:p>
            <w:pPr>
              <w:ind w:left="3520"/>
              <w:spacing w:after="0"/>
              <w:rPr>
                <w:sz w:val="20"/>
                <w:szCs w:val="20"/>
                <w:color w:val="auto"/>
              </w:rPr>
            </w:pPr>
            <w:r>
              <w:rPr>
                <w:rFonts w:ascii="Arial" w:cs="Arial" w:eastAsia="Arial" w:hAnsi="Arial"/>
                <w:sz w:val="18"/>
                <w:szCs w:val="18"/>
                <w:color w:val="auto"/>
              </w:rPr>
              <w:t>13G</w:t>
            </w:r>
          </w:p>
        </w:tc>
        <w:tc>
          <w:tcPr>
            <w:tcW w:w="86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w w:val="86"/>
              </w:rPr>
              <w:t>Page 4 of 10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6"/>
                <w:szCs w:val="16"/>
                <w:color w:val="auto"/>
              </w:rPr>
            </w:pPr>
          </w:p>
        </w:tc>
        <w:tc>
          <w:tcPr>
            <w:tcW w:w="6960" w:type="dxa"/>
            <w:vAlign w:val="bottom"/>
            <w:gridSpan w:val="5"/>
          </w:tcPr>
          <w:p>
            <w:pPr>
              <w:ind w:left="140"/>
              <w:spacing w:after="0" w:line="195" w:lineRule="exact"/>
              <w:rPr>
                <w:sz w:val="20"/>
                <w:szCs w:val="20"/>
                <w:color w:val="auto"/>
              </w:rPr>
            </w:pPr>
            <w:r>
              <w:rPr>
                <w:rFonts w:ascii="Arial" w:cs="Arial" w:eastAsia="Arial" w:hAnsi="Arial"/>
                <w:sz w:val="18"/>
                <w:szCs w:val="18"/>
                <w:color w:val="auto"/>
              </w:rPr>
              <w:t>NAME OF REPORTING PERSONS / I.R.S. IDENTIFICATION</w:t>
            </w:r>
          </w:p>
        </w:tc>
        <w:tc>
          <w:tcPr>
            <w:tcW w:w="86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NO. OF ABOVE PERSONS (ENTITIES ONLY)</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CHARLES I. CLOUGH, JR.</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560" w:type="dxa"/>
            <w:vAlign w:val="bottom"/>
            <w:gridSpan w:val="4"/>
          </w:tcPr>
          <w:p>
            <w:pPr>
              <w:ind w:left="140"/>
              <w:spacing w:after="0"/>
              <w:rPr>
                <w:sz w:val="20"/>
                <w:szCs w:val="20"/>
                <w:color w:val="auto"/>
              </w:rPr>
            </w:pPr>
            <w:r>
              <w:rPr>
                <w:rFonts w:ascii="Arial" w:cs="Arial" w:eastAsia="Arial" w:hAnsi="Arial"/>
                <w:sz w:val="18"/>
                <w:szCs w:val="18"/>
                <w:color w:val="auto"/>
              </w:rPr>
              <w:t>SEC USE ONLY</w:t>
            </w:r>
          </w:p>
        </w:tc>
        <w:tc>
          <w:tcPr>
            <w:tcW w:w="5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8"/>
              </w:rPr>
              <w:t>UNITED STATES</w:t>
            </w: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6.</w:t>
            </w:r>
          </w:p>
        </w:tc>
        <w:tc>
          <w:tcPr>
            <w:tcW w:w="60" w:type="dxa"/>
            <w:vAlign w:val="bottom"/>
          </w:tcPr>
          <w:p>
            <w:pPr>
              <w:spacing w:after="0"/>
              <w:rPr>
                <w:sz w:val="11"/>
                <w:szCs w:val="11"/>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1,049,054 (see Item 4)</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6"/>
                <w:szCs w:val="6"/>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6"/>
                <w:szCs w:val="6"/>
                <w:color w:val="auto"/>
              </w:rPr>
            </w:pPr>
          </w:p>
        </w:tc>
        <w:tc>
          <w:tcPr>
            <w:tcW w:w="3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jc w:val="center"/>
              <w:ind w:right="290"/>
              <w:spacing w:after="0" w:line="157" w:lineRule="exact"/>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7820" w:type="dxa"/>
            <w:vAlign w:val="bottom"/>
            <w:gridSpan w:val="6"/>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0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2"/>
              </w:rPr>
              <w:t>3.79% (see Item 4)</w:t>
            </w: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HC – Parent Holding Company/Control Person</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ind w:right="20"/>
              <w:spacing w:after="0"/>
              <w:rPr>
                <w:sz w:val="20"/>
                <w:szCs w:val="20"/>
                <w:color w:val="auto"/>
              </w:rPr>
            </w:pPr>
            <w:r>
              <w:rPr>
                <w:rFonts w:ascii="Arial" w:cs="Arial" w:eastAsia="Arial" w:hAnsi="Arial"/>
                <w:sz w:val="18"/>
                <w:szCs w:val="18"/>
                <w:color w:val="auto"/>
                <w:w w:val="94"/>
              </w:rPr>
              <w:t>CUSIP No. 92337F107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tcPr>
          <w:p>
            <w:pPr>
              <w:ind w:left="3500"/>
              <w:spacing w:after="0"/>
              <w:rPr>
                <w:sz w:val="20"/>
                <w:szCs w:val="20"/>
                <w:color w:val="auto"/>
              </w:rPr>
            </w:pPr>
            <w:r>
              <w:rPr>
                <w:rFonts w:ascii="Arial" w:cs="Arial" w:eastAsia="Arial" w:hAnsi="Arial"/>
                <w:sz w:val="18"/>
                <w:szCs w:val="18"/>
                <w:color w:val="auto"/>
              </w:rPr>
              <w:t>13G</w:t>
            </w:r>
          </w:p>
        </w:tc>
        <w:tc>
          <w:tcPr>
            <w:tcW w:w="86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w w:val="86"/>
              </w:rPr>
              <w:t>Page 5 of 10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6"/>
                <w:szCs w:val="16"/>
                <w:color w:val="auto"/>
              </w:rPr>
            </w:pPr>
          </w:p>
        </w:tc>
        <w:tc>
          <w:tcPr>
            <w:tcW w:w="6960" w:type="dxa"/>
            <w:vAlign w:val="bottom"/>
            <w:gridSpan w:val="5"/>
          </w:tcPr>
          <w:p>
            <w:pPr>
              <w:ind w:left="140"/>
              <w:spacing w:after="0" w:line="195" w:lineRule="exact"/>
              <w:rPr>
                <w:sz w:val="20"/>
                <w:szCs w:val="20"/>
                <w:color w:val="auto"/>
              </w:rPr>
            </w:pPr>
            <w:r>
              <w:rPr>
                <w:rFonts w:ascii="Arial" w:cs="Arial" w:eastAsia="Arial" w:hAnsi="Arial"/>
                <w:sz w:val="18"/>
                <w:szCs w:val="18"/>
                <w:color w:val="auto"/>
              </w:rPr>
              <w:t>NAME OF REPORTING PERSONS / I.R.S. IDENTIFICATION</w:t>
            </w:r>
          </w:p>
        </w:tc>
        <w:tc>
          <w:tcPr>
            <w:tcW w:w="86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NO. OF ABOVE PERSONS (ENTITIES ONLY)</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5"/>
              </w:rPr>
              <w:t>JAMES E. CANTY</w:t>
            </w:r>
          </w:p>
        </w:tc>
        <w:tc>
          <w:tcPr>
            <w:tcW w:w="5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580" w:type="dxa"/>
            <w:vAlign w:val="bottom"/>
            <w:gridSpan w:val="4"/>
          </w:tcPr>
          <w:p>
            <w:pPr>
              <w:ind w:left="140"/>
              <w:spacing w:after="0"/>
              <w:rPr>
                <w:sz w:val="20"/>
                <w:szCs w:val="20"/>
                <w:color w:val="auto"/>
              </w:rPr>
            </w:pPr>
            <w:r>
              <w:rPr>
                <w:rFonts w:ascii="Arial" w:cs="Arial" w:eastAsia="Arial" w:hAnsi="Arial"/>
                <w:sz w:val="18"/>
                <w:szCs w:val="18"/>
                <w:color w:val="auto"/>
              </w:rPr>
              <w:t>SEC USE ONLY</w:t>
            </w:r>
          </w:p>
        </w:tc>
        <w:tc>
          <w:tcPr>
            <w:tcW w:w="5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9"/>
              </w:rPr>
              <w:t>UNITED STATES</w:t>
            </w:r>
          </w:p>
        </w:tc>
        <w:tc>
          <w:tcPr>
            <w:tcW w:w="5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5.</w:t>
            </w:r>
          </w:p>
        </w:tc>
        <w:tc>
          <w:tcPr>
            <w:tcW w:w="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6.</w:t>
            </w:r>
          </w:p>
        </w:tc>
        <w:tc>
          <w:tcPr>
            <w:tcW w:w="80" w:type="dxa"/>
            <w:vAlign w:val="bottom"/>
          </w:tcPr>
          <w:p>
            <w:pPr>
              <w:spacing w:after="0"/>
              <w:rPr>
                <w:sz w:val="11"/>
                <w:szCs w:val="11"/>
                <w:color w:val="auto"/>
              </w:rPr>
            </w:pPr>
          </w:p>
        </w:tc>
        <w:tc>
          <w:tcPr>
            <w:tcW w:w="53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53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380" w:type="dxa"/>
            <w:vAlign w:val="bottom"/>
            <w:vMerge w:val="restart"/>
          </w:tcPr>
          <w:p>
            <w:pPr>
              <w:spacing w:after="0"/>
              <w:rPr>
                <w:sz w:val="20"/>
                <w:szCs w:val="20"/>
                <w:color w:val="auto"/>
              </w:rPr>
            </w:pPr>
            <w:r>
              <w:rPr>
                <w:rFonts w:ascii="Arial" w:cs="Arial" w:eastAsia="Arial" w:hAnsi="Arial"/>
                <w:sz w:val="18"/>
                <w:szCs w:val="18"/>
                <w:color w:val="auto"/>
              </w:rPr>
              <w:t>1,049,054 (see Item 4)</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7.</w:t>
            </w:r>
          </w:p>
        </w:tc>
        <w:tc>
          <w:tcPr>
            <w:tcW w:w="80" w:type="dxa"/>
            <w:vAlign w:val="bottom"/>
          </w:tcPr>
          <w:p>
            <w:pPr>
              <w:spacing w:after="0"/>
              <w:rPr>
                <w:sz w:val="6"/>
                <w:szCs w:val="6"/>
                <w:color w:val="auto"/>
              </w:rPr>
            </w:pPr>
          </w:p>
        </w:tc>
        <w:tc>
          <w:tcPr>
            <w:tcW w:w="53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6"/>
                <w:szCs w:val="6"/>
                <w:color w:val="auto"/>
              </w:rPr>
            </w:pPr>
          </w:p>
        </w:tc>
        <w:tc>
          <w:tcPr>
            <w:tcW w:w="3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3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380" w:type="dxa"/>
            <w:vAlign w:val="bottom"/>
            <w:vMerge w:val="restart"/>
          </w:tcPr>
          <w:p>
            <w:pPr>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jc w:val="center"/>
              <w:ind w:right="290"/>
              <w:spacing w:after="0" w:line="157" w:lineRule="exact"/>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8.</w:t>
            </w:r>
          </w:p>
        </w:tc>
        <w:tc>
          <w:tcPr>
            <w:tcW w:w="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7820" w:type="dxa"/>
            <w:vAlign w:val="bottom"/>
            <w:gridSpan w:val="6"/>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0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3"/>
              </w:rPr>
              <w:t>3.79% (see Item 4)</w:t>
            </w:r>
          </w:p>
        </w:tc>
        <w:tc>
          <w:tcPr>
            <w:tcW w:w="5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HC – Parent Holding Company/Control Person</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0"/>
        </w:trPr>
        <w:tc>
          <w:tcPr>
            <w:tcW w:w="1760" w:type="dxa"/>
            <w:vAlign w:val="bottom"/>
            <w:gridSpan w:val="5"/>
          </w:tcPr>
          <w:p>
            <w:pPr>
              <w:jc w:val="center"/>
              <w:ind w:right="20"/>
              <w:spacing w:after="0"/>
              <w:rPr>
                <w:sz w:val="20"/>
                <w:szCs w:val="20"/>
                <w:color w:val="auto"/>
              </w:rPr>
            </w:pPr>
            <w:r>
              <w:rPr>
                <w:rFonts w:ascii="Arial" w:cs="Arial" w:eastAsia="Arial" w:hAnsi="Arial"/>
                <w:sz w:val="18"/>
                <w:szCs w:val="18"/>
                <w:color w:val="auto"/>
                <w:w w:val="94"/>
              </w:rPr>
              <w:t>CUSIP No. 92337F107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tcPr>
          <w:p>
            <w:pPr>
              <w:ind w:left="3520"/>
              <w:spacing w:after="0"/>
              <w:rPr>
                <w:sz w:val="20"/>
                <w:szCs w:val="20"/>
                <w:color w:val="auto"/>
              </w:rPr>
            </w:pPr>
            <w:r>
              <w:rPr>
                <w:rFonts w:ascii="Arial" w:cs="Arial" w:eastAsia="Arial" w:hAnsi="Arial"/>
                <w:sz w:val="18"/>
                <w:szCs w:val="18"/>
                <w:color w:val="auto"/>
              </w:rPr>
              <w:t>13G</w:t>
            </w:r>
          </w:p>
        </w:tc>
        <w:tc>
          <w:tcPr>
            <w:tcW w:w="860" w:type="dxa"/>
            <w:vAlign w:val="bottom"/>
          </w:tcPr>
          <w:p>
            <w:pPr>
              <w:spacing w:after="0"/>
              <w:rPr>
                <w:sz w:val="20"/>
                <w:szCs w:val="20"/>
                <w:color w:val="auto"/>
              </w:rPr>
            </w:pPr>
          </w:p>
        </w:tc>
        <w:tc>
          <w:tcPr>
            <w:tcW w:w="3080" w:type="dxa"/>
            <w:vAlign w:val="bottom"/>
          </w:tcPr>
          <w:p>
            <w:pPr>
              <w:ind w:left="2160"/>
              <w:spacing w:after="0"/>
              <w:rPr>
                <w:sz w:val="20"/>
                <w:szCs w:val="20"/>
                <w:color w:val="auto"/>
              </w:rPr>
            </w:pPr>
            <w:r>
              <w:rPr>
                <w:rFonts w:ascii="Arial" w:cs="Arial" w:eastAsia="Arial" w:hAnsi="Arial"/>
                <w:sz w:val="18"/>
                <w:szCs w:val="18"/>
                <w:color w:val="auto"/>
                <w:w w:val="86"/>
              </w:rPr>
              <w:t>Page 6 of 10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6"/>
                <w:szCs w:val="16"/>
                <w:color w:val="auto"/>
              </w:rPr>
            </w:pPr>
          </w:p>
        </w:tc>
        <w:tc>
          <w:tcPr>
            <w:tcW w:w="6960" w:type="dxa"/>
            <w:vAlign w:val="bottom"/>
            <w:gridSpan w:val="5"/>
          </w:tcPr>
          <w:p>
            <w:pPr>
              <w:ind w:left="140"/>
              <w:spacing w:after="0" w:line="195" w:lineRule="exact"/>
              <w:rPr>
                <w:sz w:val="20"/>
                <w:szCs w:val="20"/>
                <w:color w:val="auto"/>
              </w:rPr>
            </w:pPr>
            <w:r>
              <w:rPr>
                <w:rFonts w:ascii="Arial" w:cs="Arial" w:eastAsia="Arial" w:hAnsi="Arial"/>
                <w:sz w:val="18"/>
                <w:szCs w:val="18"/>
                <w:color w:val="auto"/>
              </w:rPr>
              <w:t>NAME OF REPORTING PERSONS / I.R.S. IDENTIFICATION</w:t>
            </w:r>
          </w:p>
        </w:tc>
        <w:tc>
          <w:tcPr>
            <w:tcW w:w="86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NO. OF ABOVE PERSONS (ENTITIES ONLY)</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ERIC A. BROCK</w:t>
            </w: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4"/>
                <w:szCs w:val="24"/>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CHECK THE APPROPRIATE BOX IF A MEMBER OF A GROUP*</w:t>
            </w:r>
          </w:p>
        </w:tc>
        <w:tc>
          <w:tcPr>
            <w:tcW w:w="8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560" w:type="dxa"/>
            <w:vAlign w:val="bottom"/>
            <w:gridSpan w:val="4"/>
          </w:tcPr>
          <w:p>
            <w:pPr>
              <w:ind w:left="140"/>
              <w:spacing w:after="0"/>
              <w:rPr>
                <w:sz w:val="20"/>
                <w:szCs w:val="20"/>
                <w:color w:val="auto"/>
              </w:rPr>
            </w:pPr>
            <w:r>
              <w:rPr>
                <w:rFonts w:ascii="Arial" w:cs="Arial" w:eastAsia="Arial" w:hAnsi="Arial"/>
                <w:sz w:val="18"/>
                <w:szCs w:val="18"/>
                <w:color w:val="auto"/>
              </w:rPr>
              <w:t>SEC USE ONLY</w:t>
            </w:r>
          </w:p>
        </w:tc>
        <w:tc>
          <w:tcPr>
            <w:tcW w:w="5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8"/>
              </w:rPr>
              <w:t>UNITED STATES</w:t>
            </w: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1"/>
              </w:rPr>
              <w:t>SHARES</w:t>
            </w: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6.</w:t>
            </w:r>
          </w:p>
        </w:tc>
        <w:tc>
          <w:tcPr>
            <w:tcW w:w="60" w:type="dxa"/>
            <w:vAlign w:val="bottom"/>
          </w:tcPr>
          <w:p>
            <w:pPr>
              <w:spacing w:after="0"/>
              <w:rPr>
                <w:sz w:val="11"/>
                <w:szCs w:val="11"/>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860" w:type="dxa"/>
            <w:vAlign w:val="bottom"/>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1,049,054 (see Item 4)</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6"/>
                <w:szCs w:val="6"/>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860" w:type="dxa"/>
            <w:vAlign w:val="bottom"/>
          </w:tcPr>
          <w:p>
            <w:pPr>
              <w:spacing w:after="0"/>
              <w:rPr>
                <w:sz w:val="6"/>
                <w:szCs w:val="6"/>
                <w:color w:val="auto"/>
              </w:rPr>
            </w:pPr>
          </w:p>
        </w:tc>
        <w:tc>
          <w:tcPr>
            <w:tcW w:w="3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jc w:val="center"/>
              <w:ind w:right="290"/>
              <w:spacing w:after="0" w:line="157" w:lineRule="exact"/>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1,049,054 (see Item 4)</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7820" w:type="dxa"/>
            <w:vAlign w:val="bottom"/>
            <w:gridSpan w:val="6"/>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0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6"/>
        </w:trPr>
        <w:tc>
          <w:tcPr>
            <w:tcW w:w="40" w:type="dxa"/>
            <w:vAlign w:val="bottom"/>
            <w:tcBorders>
              <w:right w:val="single" w:sz="8" w:color="auto"/>
            </w:tcBorders>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546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860" w:type="dxa"/>
            <w:vAlign w:val="bottom"/>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2"/>
              </w:rPr>
              <w:t>3.79% (see Item 4)</w:t>
            </w:r>
          </w:p>
        </w:tc>
        <w:tc>
          <w:tcPr>
            <w:tcW w:w="5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696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86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color w:val="auto"/>
              </w:rPr>
              <w:t>HC – Parent Holding Company/Control Person</w:t>
            </w:r>
          </w:p>
        </w:tc>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spacing w:after="0"/>
        <w:tabs>
          <w:tab w:leader="none" w:pos="5600" w:val="left"/>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Veracyte Inc.</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Shelly Guyer, CFO</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South San Francisco, CA 94080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31" w:lineRule="exact"/>
        <w:rPr>
          <w:sz w:val="20"/>
          <w:szCs w:val="20"/>
          <w:color w:val="auto"/>
        </w:rPr>
      </w:pPr>
    </w:p>
    <w:p>
      <w:pPr>
        <w:ind w:left="1340" w:hanging="245"/>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and (c) Name and Domicile/Citizenship of Persons Filing:</w:t>
      </w:r>
    </w:p>
    <w:p>
      <w:pPr>
        <w:spacing w:after="0" w:line="117" w:lineRule="exact"/>
        <w:rPr>
          <w:rFonts w:ascii="Arial" w:cs="Arial" w:eastAsia="Arial" w:hAnsi="Arial"/>
          <w:sz w:val="18"/>
          <w:szCs w:val="18"/>
          <w:color w:val="auto"/>
        </w:rPr>
      </w:pPr>
    </w:p>
    <w:p>
      <w:pPr>
        <w:ind w:left="2160" w:hanging="207"/>
        <w:spacing w:after="0"/>
        <w:tabs>
          <w:tab w:leader="none" w:pos="2160" w:val="left"/>
        </w:tabs>
        <w:numPr>
          <w:ilvl w:val="2"/>
          <w:numId w:val="4"/>
        </w:numPr>
        <w:rPr>
          <w:rFonts w:ascii="Arial" w:cs="Arial" w:eastAsia="Arial" w:hAnsi="Arial"/>
          <w:sz w:val="18"/>
          <w:szCs w:val="18"/>
          <w:color w:val="auto"/>
        </w:rPr>
      </w:pPr>
      <w:r>
        <w:rPr>
          <w:rFonts w:ascii="Arial" w:cs="Arial" w:eastAsia="Arial" w:hAnsi="Arial"/>
          <w:sz w:val="18"/>
          <w:szCs w:val="18"/>
          <w:color w:val="auto"/>
        </w:rPr>
        <w:t>Clough Capital Partners L.P., a Delaware limited partnership.</w:t>
      </w:r>
    </w:p>
    <w:p>
      <w:pPr>
        <w:spacing w:after="0" w:line="117" w:lineRule="exact"/>
        <w:rPr>
          <w:rFonts w:ascii="Arial" w:cs="Arial" w:eastAsia="Arial" w:hAnsi="Arial"/>
          <w:sz w:val="18"/>
          <w:szCs w:val="18"/>
          <w:color w:val="auto"/>
        </w:rPr>
      </w:pPr>
    </w:p>
    <w:p>
      <w:pPr>
        <w:ind w:left="2220" w:hanging="267"/>
        <w:spacing w:after="0"/>
        <w:tabs>
          <w:tab w:leader="none" w:pos="2220" w:val="left"/>
        </w:tabs>
        <w:numPr>
          <w:ilvl w:val="2"/>
          <w:numId w:val="4"/>
        </w:numPr>
        <w:rPr>
          <w:rFonts w:ascii="Arial" w:cs="Arial" w:eastAsia="Arial" w:hAnsi="Arial"/>
          <w:sz w:val="18"/>
          <w:szCs w:val="18"/>
          <w:color w:val="auto"/>
        </w:rPr>
      </w:pPr>
      <w:r>
        <w:rPr>
          <w:rFonts w:ascii="Arial" w:cs="Arial" w:eastAsia="Arial" w:hAnsi="Arial"/>
          <w:sz w:val="18"/>
          <w:szCs w:val="18"/>
          <w:color w:val="auto"/>
        </w:rPr>
        <w:t>Clough Capital Partners LLC, a Delaware limited liability company.</w:t>
      </w:r>
    </w:p>
    <w:p>
      <w:pPr>
        <w:spacing w:after="0" w:line="117" w:lineRule="exact"/>
        <w:rPr>
          <w:rFonts w:ascii="Arial" w:cs="Arial" w:eastAsia="Arial" w:hAnsi="Arial"/>
          <w:sz w:val="18"/>
          <w:szCs w:val="18"/>
          <w:color w:val="auto"/>
        </w:rPr>
      </w:pPr>
    </w:p>
    <w:p>
      <w:pPr>
        <w:ind w:left="2260" w:hanging="307"/>
        <w:spacing w:after="0"/>
        <w:tabs>
          <w:tab w:leader="none" w:pos="2260" w:val="left"/>
        </w:tabs>
        <w:numPr>
          <w:ilvl w:val="2"/>
          <w:numId w:val="4"/>
        </w:numPr>
        <w:rPr>
          <w:rFonts w:ascii="Arial" w:cs="Arial" w:eastAsia="Arial" w:hAnsi="Arial"/>
          <w:sz w:val="18"/>
          <w:szCs w:val="18"/>
          <w:color w:val="auto"/>
        </w:rPr>
      </w:pPr>
      <w:r>
        <w:rPr>
          <w:rFonts w:ascii="Arial" w:cs="Arial" w:eastAsia="Arial" w:hAnsi="Arial"/>
          <w:sz w:val="18"/>
          <w:szCs w:val="18"/>
          <w:color w:val="auto"/>
        </w:rPr>
        <w:t>Charles I. Clough, Jr., a United States citizen.</w:t>
      </w:r>
    </w:p>
    <w:p>
      <w:pPr>
        <w:spacing w:after="0" w:line="117" w:lineRule="exact"/>
        <w:rPr>
          <w:rFonts w:ascii="Arial" w:cs="Arial" w:eastAsia="Arial" w:hAnsi="Arial"/>
          <w:sz w:val="18"/>
          <w:szCs w:val="18"/>
          <w:color w:val="auto"/>
        </w:rPr>
      </w:pPr>
    </w:p>
    <w:p>
      <w:pPr>
        <w:ind w:left="2260" w:hanging="307"/>
        <w:spacing w:after="0"/>
        <w:tabs>
          <w:tab w:leader="none" w:pos="2260" w:val="left"/>
        </w:tabs>
        <w:numPr>
          <w:ilvl w:val="2"/>
          <w:numId w:val="4"/>
        </w:numPr>
        <w:rPr>
          <w:rFonts w:ascii="Arial" w:cs="Arial" w:eastAsia="Arial" w:hAnsi="Arial"/>
          <w:sz w:val="18"/>
          <w:szCs w:val="18"/>
          <w:color w:val="auto"/>
        </w:rPr>
      </w:pPr>
      <w:r>
        <w:rPr>
          <w:rFonts w:ascii="Arial" w:cs="Arial" w:eastAsia="Arial" w:hAnsi="Arial"/>
          <w:sz w:val="18"/>
          <w:szCs w:val="18"/>
          <w:color w:val="auto"/>
        </w:rPr>
        <w:t>James E. Canty, a United States citizen.</w:t>
      </w:r>
    </w:p>
    <w:p>
      <w:pPr>
        <w:spacing w:after="0" w:line="117" w:lineRule="exact"/>
        <w:rPr>
          <w:rFonts w:ascii="Arial" w:cs="Arial" w:eastAsia="Arial" w:hAnsi="Arial"/>
          <w:sz w:val="18"/>
          <w:szCs w:val="18"/>
          <w:color w:val="auto"/>
        </w:rPr>
      </w:pPr>
    </w:p>
    <w:p>
      <w:pPr>
        <w:ind w:left="2200" w:hanging="247"/>
        <w:spacing w:after="0"/>
        <w:tabs>
          <w:tab w:leader="none" w:pos="2200" w:val="left"/>
        </w:tabs>
        <w:numPr>
          <w:ilvl w:val="2"/>
          <w:numId w:val="4"/>
        </w:numPr>
        <w:rPr>
          <w:rFonts w:ascii="Arial" w:cs="Arial" w:eastAsia="Arial" w:hAnsi="Arial"/>
          <w:sz w:val="18"/>
          <w:szCs w:val="18"/>
          <w:color w:val="auto"/>
        </w:rPr>
      </w:pPr>
      <w:r>
        <w:rPr>
          <w:rFonts w:ascii="Arial" w:cs="Arial" w:eastAsia="Arial" w:hAnsi="Arial"/>
          <w:sz w:val="18"/>
          <w:szCs w:val="18"/>
          <w:color w:val="auto"/>
        </w:rPr>
        <w:t>Eric A. Brock, a United States citizen.</w:t>
      </w:r>
    </w:p>
    <w:p>
      <w:pPr>
        <w:spacing w:after="0" w:line="117" w:lineRule="exact"/>
        <w:rPr>
          <w:rFonts w:ascii="Arial" w:cs="Arial" w:eastAsia="Arial" w:hAnsi="Arial"/>
          <w:sz w:val="18"/>
          <w:szCs w:val="18"/>
          <w:color w:val="auto"/>
        </w:rPr>
      </w:pPr>
    </w:p>
    <w:p>
      <w:pPr>
        <w:ind w:left="1960" w:hanging="1142"/>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Reporting Persons has a business address of:</w:t>
      </w:r>
    </w:p>
    <w:p>
      <w:pPr>
        <w:spacing w:after="0" w:line="200" w:lineRule="exact"/>
        <w:rPr>
          <w:sz w:val="20"/>
          <w:szCs w:val="20"/>
          <w:color w:val="auto"/>
        </w:rPr>
      </w:pPr>
    </w:p>
    <w:p>
      <w:pPr>
        <w:spacing w:after="0" w:line="241" w:lineRule="exact"/>
        <w:rPr>
          <w:sz w:val="20"/>
          <w:szCs w:val="20"/>
          <w:color w:val="auto"/>
        </w:rPr>
      </w:pPr>
    </w:p>
    <w:p>
      <w:pPr>
        <w:ind w:left="1960" w:hanging="1142"/>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 Stock, par value $0.01 per share.</w:t>
      </w:r>
    </w:p>
    <w:p>
      <w:pPr>
        <w:spacing w:after="0" w:line="117" w:lineRule="exact"/>
        <w:rPr>
          <w:rFonts w:ascii="Arial" w:cs="Arial" w:eastAsia="Arial" w:hAnsi="Arial"/>
          <w:sz w:val="18"/>
          <w:szCs w:val="18"/>
          <w:color w:val="auto"/>
        </w:rPr>
      </w:pPr>
    </w:p>
    <w:p>
      <w:pPr>
        <w:ind w:left="1960" w:hanging="1142"/>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 92337F107</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IF THIS STATEMENT IS FILED PURSUANT TO RULE 13D-1(B), OR 13D-2(B) OR (C), CHECK WHETHER THE PERSON FILING IS A:</w:t>
      </w:r>
    </w:p>
    <w:p>
      <w:pPr>
        <w:spacing w:after="0" w:line="98" w:lineRule="exact"/>
        <w:rPr>
          <w:sz w:val="20"/>
          <w:szCs w:val="20"/>
          <w:color w:val="auto"/>
        </w:rPr>
      </w:pPr>
    </w:p>
    <w:p>
      <w:pPr>
        <w:ind w:left="1300" w:hanging="482"/>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300" w:hanging="482"/>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300" w:hanging="482"/>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300" w:hanging="482"/>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300" w:hanging="482"/>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registered under section 203 of the Investment Advisers Act or under the laws of any State</w:t>
      </w:r>
    </w:p>
    <w:p>
      <w:pPr>
        <w:spacing w:after="0" w:line="117" w:lineRule="exact"/>
        <w:rPr>
          <w:rFonts w:ascii="Arial" w:cs="Arial" w:eastAsia="Arial" w:hAnsi="Arial"/>
          <w:sz w:val="18"/>
          <w:szCs w:val="18"/>
          <w:color w:val="auto"/>
        </w:rPr>
      </w:pPr>
    </w:p>
    <w:p>
      <w:pPr>
        <w:ind w:left="1740" w:right="120" w:hanging="922"/>
        <w:spacing w:after="0" w:line="239" w:lineRule="exact"/>
        <w:tabs>
          <w:tab w:leader="none" w:pos="1294"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Section 240.13d-1(b)(1)(ii)(F)</w:t>
      </w:r>
    </w:p>
    <w:p>
      <w:pPr>
        <w:spacing w:after="0" w:line="62" w:lineRule="exact"/>
        <w:rPr>
          <w:rFonts w:ascii="Arial" w:cs="Arial" w:eastAsia="Arial" w:hAnsi="Arial"/>
          <w:sz w:val="18"/>
          <w:szCs w:val="18"/>
          <w:color w:val="auto"/>
        </w:rPr>
      </w:pPr>
    </w:p>
    <w:p>
      <w:pPr>
        <w:ind w:left="1300" w:hanging="482"/>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240.13d-1(b)(ii)(G) (Note: See Item 7)</w:t>
      </w:r>
    </w:p>
    <w:p>
      <w:pPr>
        <w:spacing w:after="0" w:line="117" w:lineRule="exact"/>
        <w:rPr>
          <w:rFonts w:ascii="Arial" w:cs="Arial" w:eastAsia="Arial" w:hAnsi="Arial"/>
          <w:sz w:val="18"/>
          <w:szCs w:val="18"/>
          <w:color w:val="auto"/>
        </w:rPr>
      </w:pPr>
    </w:p>
    <w:p>
      <w:pPr>
        <w:ind w:left="1300" w:hanging="482"/>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740" w:right="60" w:hanging="922"/>
        <w:spacing w:after="0" w:line="239" w:lineRule="exact"/>
        <w:tabs>
          <w:tab w:leader="none" w:pos="1294"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300" w:hanging="482"/>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240.13d-1(b)(1)(ii)(J)</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600" w:val="left"/>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1480" w:hanging="567"/>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Amount Beneficially Owned: 1,049,054*</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Percent of Class: 3.79%*</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2040" w:hanging="560"/>
        <w:spacing w:after="0"/>
        <w:tabs>
          <w:tab w:leader="none" w:pos="2040" w:val="left"/>
        </w:tabs>
        <w:numPr>
          <w:ilvl w:val="3"/>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2040" w:hanging="560"/>
        <w:spacing w:after="0"/>
        <w:tabs>
          <w:tab w:leader="none" w:pos="2040" w:val="left"/>
        </w:tabs>
        <w:numPr>
          <w:ilvl w:val="3"/>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1,049,054*</w:t>
      </w:r>
    </w:p>
    <w:p>
      <w:pPr>
        <w:spacing w:after="0" w:line="130" w:lineRule="exact"/>
        <w:rPr>
          <w:rFonts w:ascii="Arial" w:cs="Arial" w:eastAsia="Arial" w:hAnsi="Arial"/>
          <w:sz w:val="18"/>
          <w:szCs w:val="18"/>
          <w:color w:val="auto"/>
        </w:rPr>
      </w:pPr>
    </w:p>
    <w:p>
      <w:pPr>
        <w:ind w:left="2040" w:hanging="560"/>
        <w:spacing w:after="0"/>
        <w:tabs>
          <w:tab w:leader="none" w:pos="2040" w:val="left"/>
        </w:tabs>
        <w:numPr>
          <w:ilvl w:val="3"/>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2040" w:hanging="560"/>
        <w:spacing w:after="0"/>
        <w:tabs>
          <w:tab w:leader="none" w:pos="2040" w:val="left"/>
        </w:tabs>
        <w:numPr>
          <w:ilvl w:val="3"/>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1,049,054*</w:t>
      </w:r>
    </w:p>
    <w:p>
      <w:pPr>
        <w:spacing w:after="0" w:line="130" w:lineRule="exact"/>
        <w:rPr>
          <w:rFonts w:ascii="Arial" w:cs="Arial" w:eastAsia="Arial" w:hAnsi="Arial"/>
          <w:sz w:val="18"/>
          <w:szCs w:val="18"/>
          <w:color w:val="auto"/>
        </w:rPr>
      </w:pPr>
    </w:p>
    <w:p>
      <w:pPr>
        <w:ind w:left="460" w:right="520" w:hanging="446"/>
        <w:spacing w:after="0" w:line="29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shares reported above include shares beneficially owned by investment companies, pooled investment vehicles and other accounts for which Clough Capital Partners L.P. serves as investment adviser. Such shares may be deemed beneficially owned by (a) Clough Capital Partners L.P.,</w:t>
      </w:r>
    </w:p>
    <w:p>
      <w:pPr>
        <w:ind w:left="460" w:right="20" w:hanging="6"/>
        <w:spacing w:after="0" w:line="255" w:lineRule="auto"/>
        <w:tabs>
          <w:tab w:leader="none" w:pos="715" w:val="left"/>
        </w:tabs>
        <w:numPr>
          <w:ilvl w:val="1"/>
          <w:numId w:val="9"/>
        </w:numPr>
        <w:rPr>
          <w:rFonts w:ascii="Arial" w:cs="Arial" w:eastAsia="Arial" w:hAnsi="Arial"/>
          <w:sz w:val="18"/>
          <w:szCs w:val="18"/>
          <w:color w:val="auto"/>
        </w:rPr>
      </w:pPr>
      <w:r>
        <w:rPr>
          <w:rFonts w:ascii="Arial" w:cs="Arial" w:eastAsia="Arial" w:hAnsi="Arial"/>
          <w:sz w:val="18"/>
          <w:szCs w:val="18"/>
          <w:color w:val="auto"/>
        </w:rPr>
        <w:t>Clough Capital Partners LLC, the general partner of Clough Capital Partners L.P., and (c) Messrs. Clough, Canty and Brock, the managing members of Clough Capital Partners LLC. Each such reporting person disclaims beneficial ownership of such shares except to the extent of its respective pecuniary interest therein.</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 holding and percent of class data set forth above is reported as of the date of the filing of this statement on Schedule 13G.</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240" w:firstLine="45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920" w:right="280" w:hanging="904"/>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4</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600" w:val="left"/>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or effect.</w:t>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560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10 of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After reasonable inquiry and to the best of my knowledge and belief, I hereby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CLOUGH CAPITAL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Clough Capital Partners LLC,</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120"/>
        <w:spacing w:after="0"/>
        <w:tabs>
          <w:tab w:leader="none" w:pos="7600" w:val="left"/>
        </w:tabs>
        <w:rPr>
          <w:sz w:val="20"/>
          <w:szCs w:val="20"/>
          <w:color w:val="auto"/>
        </w:rPr>
      </w:pPr>
      <w:r>
        <w:rPr>
          <w:rFonts w:ascii="Arial" w:cs="Arial" w:eastAsia="Arial" w:hAnsi="Arial"/>
          <w:sz w:val="18"/>
          <w:szCs w:val="18"/>
          <w:color w:val="auto"/>
        </w:rPr>
        <w:t>By:</w:t>
        <w:tab/>
        <w:t>/s/ James E. Canty</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 managing member</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CLOUGH CAPITAL PARTNERS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James E. Canty</w:t>
            </w:r>
          </w:p>
        </w:tc>
      </w:tr>
      <w:tr>
        <w:trPr>
          <w:trHeight w:val="195"/>
        </w:trPr>
        <w:tc>
          <w:tcPr>
            <w:tcW w:w="280" w:type="dxa"/>
            <w:vAlign w:val="bottom"/>
          </w:tcPr>
          <w:p>
            <w:pPr>
              <w:spacing w:after="0"/>
              <w:rPr>
                <w:sz w:val="16"/>
                <w:szCs w:val="16"/>
                <w:color w:val="auto"/>
              </w:rPr>
            </w:pPr>
          </w:p>
        </w:tc>
        <w:tc>
          <w:tcPr>
            <w:tcW w:w="4280" w:type="dxa"/>
            <w:vAlign w:val="bottom"/>
          </w:tcPr>
          <w:p>
            <w:pPr>
              <w:ind w:left="280"/>
              <w:spacing w:after="0" w:line="195" w:lineRule="exact"/>
              <w:rPr>
                <w:sz w:val="20"/>
                <w:szCs w:val="20"/>
                <w:color w:val="auto"/>
              </w:rPr>
            </w:pPr>
            <w:r>
              <w:rPr>
                <w:rFonts w:ascii="Arial" w:cs="Arial" w:eastAsia="Arial" w:hAnsi="Arial"/>
                <w:sz w:val="18"/>
                <w:szCs w:val="18"/>
                <w:color w:val="auto"/>
              </w:rPr>
              <w:t>James E. Canty,</w:t>
            </w:r>
          </w:p>
        </w:tc>
      </w:tr>
      <w:tr>
        <w:trPr>
          <w:trHeight w:val="230"/>
        </w:trPr>
        <w:tc>
          <w:tcPr>
            <w:tcW w:w="280" w:type="dxa"/>
            <w:vAlign w:val="bottom"/>
          </w:tcPr>
          <w:p>
            <w:pPr>
              <w:spacing w:after="0"/>
              <w:rPr>
                <w:sz w:val="20"/>
                <w:szCs w:val="20"/>
                <w:color w:val="auto"/>
              </w:rPr>
            </w:pPr>
          </w:p>
        </w:tc>
        <w:tc>
          <w:tcPr>
            <w:tcW w:w="4280" w:type="dxa"/>
            <w:vAlign w:val="bottom"/>
          </w:tcPr>
          <w:p>
            <w:pPr>
              <w:ind w:left="280"/>
              <w:spacing w:after="0"/>
              <w:rPr>
                <w:sz w:val="20"/>
                <w:szCs w:val="20"/>
                <w:color w:val="auto"/>
              </w:rPr>
            </w:pPr>
            <w:r>
              <w:rPr>
                <w:rFonts w:ascii="Arial" w:cs="Arial" w:eastAsia="Arial" w:hAnsi="Arial"/>
                <w:sz w:val="18"/>
                <w:szCs w:val="18"/>
                <w:color w:val="auto"/>
              </w:rPr>
              <w:t>a managing member</w:t>
            </w:r>
          </w:p>
        </w:tc>
      </w:tr>
    </w:tbl>
    <w:p>
      <w:pPr>
        <w:spacing w:after="0" w:line="200" w:lineRule="exact"/>
        <w:rPr>
          <w:sz w:val="20"/>
          <w:szCs w:val="20"/>
          <w:color w:val="auto"/>
        </w:rPr>
      </w:pPr>
    </w:p>
    <w:p>
      <w:pPr>
        <w:spacing w:after="0" w:line="258"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Charles I. Clough,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I. Clough, Jr.,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James E. Canty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E. Canty,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Eric A. Brock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Eric A. Brock,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Joint Filing Agreement, dated as of January 11, 2016, is by and among Clough Capital Partners L.P., a Delaware limited partnership, Clough Capital Partners LLC, a Delaware limited liability company, Charles I. Clough, Jr., James E. Canty and Eric A. Brock (the foregoing are collectively referred to herein as the “Clough Capital Filers”).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Each of the Clough Capital Filers may be required to file with the United States Securities and Exchange Commission a statement on Schedule 13G (and amendments thereto) with respect to shares of Common Stock, par value $0.01 per share, of Veracyte Inc., a Delaware corporation, beneficially owned by them from time to time.</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Clough Capital Filers hereby agree to file a single statement on Schedule 13G (and any amendments thereto) on behalf of each of the Clough Capital Filers, and hereby further agree to file this Joint Filing Agreement as an exhibit to such statement, as required by such rule.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Joint Filing Agreement may be terminated by any of the Clough Capital Filers upon written notice to the other Clough Capital Filers.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Executed and delivered as of the date first above written.</w:t>
            </w:r>
          </w:p>
        </w:tc>
        <w:tc>
          <w:tcPr>
            <w:tcW w:w="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5480" w:type="dxa"/>
            <w:vAlign w:val="bottom"/>
            <w:gridSpan w:val="4"/>
          </w:tcPr>
          <w:p>
            <w:pPr>
              <w:spacing w:after="0"/>
              <w:rPr>
                <w:sz w:val="20"/>
                <w:szCs w:val="20"/>
                <w:color w:val="auto"/>
              </w:rPr>
            </w:pPr>
            <w:r>
              <w:rPr>
                <w:rFonts w:ascii="Arial" w:cs="Arial" w:eastAsia="Arial" w:hAnsi="Arial"/>
                <w:sz w:val="18"/>
                <w:szCs w:val="18"/>
                <w:color w:val="auto"/>
              </w:rPr>
              <w:t>CLOUGH CAPITAL PARTNERS L.P.</w:t>
            </w:r>
          </w:p>
        </w:tc>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Clough Capital Partners LLC,</w:t>
            </w:r>
          </w:p>
        </w:tc>
        <w:tc>
          <w:tcPr>
            <w:tcW w:w="340" w:type="dxa"/>
            <w:vAlign w:val="bottom"/>
          </w:tcPr>
          <w:p>
            <w:pPr>
              <w:spacing w:after="0"/>
              <w:rPr>
                <w:sz w:val="24"/>
                <w:szCs w:val="24"/>
                <w:color w:val="auto"/>
              </w:rPr>
            </w:pPr>
          </w:p>
        </w:tc>
        <w:tc>
          <w:tcPr>
            <w:tcW w:w="5480" w:type="dxa"/>
            <w:vAlign w:val="bottom"/>
            <w:vMerge w:val="restart"/>
          </w:tcPr>
          <w:p>
            <w:pPr>
              <w:ind w:left="620"/>
              <w:spacing w:after="0"/>
              <w:rPr>
                <w:sz w:val="20"/>
                <w:szCs w:val="20"/>
                <w:color w:val="auto"/>
              </w:rPr>
            </w:pPr>
            <w:r>
              <w:rPr>
                <w:rFonts w:ascii="Arial" w:cs="Arial" w:eastAsia="Arial" w:hAnsi="Arial"/>
                <w:sz w:val="18"/>
                <w:szCs w:val="18"/>
                <w:color w:val="auto"/>
              </w:rPr>
              <w:t>/s/ Charles I. Clough, Jr.</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5200" w:type="dxa"/>
            <w:vAlign w:val="bottom"/>
            <w:gridSpan w:val="3"/>
          </w:tcPr>
          <w:p>
            <w:pPr>
              <w:ind w:left="20"/>
              <w:spacing w:after="0" w:line="157" w:lineRule="exact"/>
              <w:rPr>
                <w:sz w:val="20"/>
                <w:szCs w:val="20"/>
                <w:color w:val="auto"/>
              </w:rPr>
            </w:pPr>
            <w:r>
              <w:rPr>
                <w:rFonts w:ascii="Arial" w:cs="Arial" w:eastAsia="Arial" w:hAnsi="Arial"/>
                <w:sz w:val="18"/>
                <w:szCs w:val="18"/>
                <w:color w:val="auto"/>
              </w:rPr>
              <w:t>its general partner</w:t>
            </w:r>
          </w:p>
        </w:tc>
        <w:tc>
          <w:tcPr>
            <w:tcW w:w="340" w:type="dxa"/>
            <w:vAlign w:val="bottom"/>
          </w:tcPr>
          <w:p>
            <w:pPr>
              <w:spacing w:after="0"/>
              <w:rPr>
                <w:sz w:val="14"/>
                <w:szCs w:val="14"/>
                <w:color w:val="auto"/>
              </w:rPr>
            </w:pPr>
          </w:p>
        </w:tc>
        <w:tc>
          <w:tcPr>
            <w:tcW w:w="5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Charles I. Clough, Jr., individually</w:t>
            </w:r>
          </w:p>
        </w:tc>
        <w:tc>
          <w:tcPr>
            <w:tcW w:w="0" w:type="dxa"/>
            <w:vAlign w:val="bottom"/>
          </w:tcPr>
          <w:p>
            <w:pPr>
              <w:spacing w:after="0"/>
              <w:rPr>
                <w:sz w:val="1"/>
                <w:szCs w:val="1"/>
                <w:color w:val="auto"/>
              </w:rPr>
            </w:pPr>
          </w:p>
        </w:tc>
      </w:tr>
      <w:tr>
        <w:trPr>
          <w:trHeight w:val="269"/>
        </w:trPr>
        <w:tc>
          <w:tcPr>
            <w:tcW w:w="280" w:type="dxa"/>
            <w:vAlign w:val="bottom"/>
          </w:tcPr>
          <w:p>
            <w:pPr>
              <w:spacing w:after="0"/>
              <w:rPr>
                <w:sz w:val="23"/>
                <w:szCs w:val="23"/>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By:   /s/ James E. Canty</w:t>
            </w:r>
          </w:p>
        </w:tc>
        <w:tc>
          <w:tcPr>
            <w:tcW w:w="34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James E. Canty,</w:t>
            </w:r>
          </w:p>
        </w:tc>
        <w:tc>
          <w:tcPr>
            <w:tcW w:w="340" w:type="dxa"/>
            <w:vAlign w:val="bottom"/>
          </w:tcPr>
          <w:p>
            <w:pPr>
              <w:spacing w:after="0"/>
              <w:rPr>
                <w:sz w:val="16"/>
                <w:szCs w:val="16"/>
                <w:color w:val="auto"/>
              </w:rPr>
            </w:pPr>
          </w:p>
        </w:tc>
        <w:tc>
          <w:tcPr>
            <w:tcW w:w="5480" w:type="dxa"/>
            <w:vAlign w:val="bottom"/>
            <w:vMerge w:val="restart"/>
          </w:tcPr>
          <w:p>
            <w:pPr>
              <w:ind w:left="620"/>
              <w:spacing w:after="0"/>
              <w:rPr>
                <w:sz w:val="20"/>
                <w:szCs w:val="20"/>
                <w:color w:val="auto"/>
              </w:rPr>
            </w:pPr>
            <w:r>
              <w:rPr>
                <w:rFonts w:ascii="Arial" w:cs="Arial" w:eastAsia="Arial" w:hAnsi="Arial"/>
                <w:sz w:val="18"/>
                <w:szCs w:val="18"/>
                <w:color w:val="auto"/>
              </w:rPr>
              <w:t>/s/ James E. Canty</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60" w:type="dxa"/>
            <w:vAlign w:val="bottom"/>
          </w:tcPr>
          <w:p>
            <w:pPr>
              <w:ind w:left="240"/>
              <w:spacing w:after="0" w:line="157" w:lineRule="exact"/>
              <w:rPr>
                <w:sz w:val="20"/>
                <w:szCs w:val="20"/>
                <w:color w:val="auto"/>
              </w:rPr>
            </w:pPr>
            <w:r>
              <w:rPr>
                <w:rFonts w:ascii="Arial" w:cs="Arial" w:eastAsia="Arial" w:hAnsi="Arial"/>
                <w:sz w:val="18"/>
                <w:szCs w:val="18"/>
                <w:color w:val="auto"/>
              </w:rPr>
              <w:t>a managing member</w:t>
            </w:r>
          </w:p>
        </w:tc>
        <w:tc>
          <w:tcPr>
            <w:tcW w:w="340" w:type="dxa"/>
            <w:vAlign w:val="bottom"/>
          </w:tcPr>
          <w:p>
            <w:pPr>
              <w:spacing w:after="0"/>
              <w:rPr>
                <w:sz w:val="15"/>
                <w:szCs w:val="15"/>
                <w:color w:val="auto"/>
              </w:rPr>
            </w:pPr>
          </w:p>
        </w:tc>
        <w:tc>
          <w:tcPr>
            <w:tcW w:w="5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James E. Canty, individually</w:t>
            </w:r>
          </w:p>
        </w:tc>
        <w:tc>
          <w:tcPr>
            <w:tcW w:w="0" w:type="dxa"/>
            <w:vAlign w:val="bottom"/>
          </w:tcPr>
          <w:p>
            <w:pPr>
              <w:spacing w:after="0"/>
              <w:rPr>
                <w:sz w:val="1"/>
                <w:szCs w:val="1"/>
                <w:color w:val="auto"/>
              </w:rPr>
            </w:pPr>
          </w:p>
        </w:tc>
      </w:tr>
      <w:tr>
        <w:trPr>
          <w:trHeight w:val="283"/>
        </w:trPr>
        <w:tc>
          <w:tcPr>
            <w:tcW w:w="5480" w:type="dxa"/>
            <w:vAlign w:val="bottom"/>
            <w:gridSpan w:val="4"/>
          </w:tcPr>
          <w:p>
            <w:pPr>
              <w:spacing w:after="0"/>
              <w:rPr>
                <w:sz w:val="20"/>
                <w:szCs w:val="20"/>
                <w:color w:val="auto"/>
              </w:rPr>
            </w:pPr>
            <w:r>
              <w:rPr>
                <w:rFonts w:ascii="Arial" w:cs="Arial" w:eastAsia="Arial" w:hAnsi="Arial"/>
                <w:sz w:val="18"/>
                <w:szCs w:val="18"/>
                <w:color w:val="auto"/>
              </w:rPr>
              <w:t>CLOUGH CAPITAL PARTNERS LLC</w:t>
            </w:r>
          </w:p>
        </w:tc>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/s/ James E. Canty</w:t>
            </w:r>
          </w:p>
        </w:tc>
        <w:tc>
          <w:tcPr>
            <w:tcW w:w="340" w:type="dxa"/>
            <w:vAlign w:val="bottom"/>
          </w:tcPr>
          <w:p>
            <w:pPr>
              <w:spacing w:after="0"/>
              <w:rPr>
                <w:sz w:val="24"/>
                <w:szCs w:val="24"/>
                <w:color w:val="auto"/>
              </w:rPr>
            </w:pPr>
          </w:p>
        </w:tc>
        <w:tc>
          <w:tcPr>
            <w:tcW w:w="54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/s/ Eric A. Brock</w:t>
            </w: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5480" w:type="dxa"/>
            <w:vAlign w:val="bottom"/>
            <w:vMerge w:val="restart"/>
          </w:tcPr>
          <w:p>
            <w:pPr>
              <w:spacing w:after="0"/>
              <w:rPr>
                <w:sz w:val="20"/>
                <w:szCs w:val="20"/>
                <w:color w:val="auto"/>
              </w:rPr>
            </w:pPr>
            <w:r>
              <w:rPr>
                <w:rFonts w:ascii="Arial" w:cs="Arial" w:eastAsia="Arial" w:hAnsi="Arial"/>
                <w:sz w:val="18"/>
                <w:szCs w:val="18"/>
                <w:color w:val="auto"/>
              </w:rPr>
              <w:t>Eric A. Brock, individually</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Arial" w:cs="Arial" w:eastAsia="Arial" w:hAnsi="Arial"/>
                <w:sz w:val="18"/>
                <w:szCs w:val="18"/>
                <w:color w:val="auto"/>
              </w:rPr>
              <w:t>James E. Canty,</w:t>
            </w:r>
          </w:p>
        </w:tc>
        <w:tc>
          <w:tcPr>
            <w:tcW w:w="340" w:type="dxa"/>
            <w:vAlign w:val="bottom"/>
            <w:vMerge w:val="continue"/>
          </w:tcPr>
          <w:p>
            <w:pPr>
              <w:spacing w:after="0"/>
              <w:rPr>
                <w:sz w:val="18"/>
                <w:szCs w:val="18"/>
                <w:color w:val="auto"/>
              </w:rPr>
            </w:pPr>
          </w:p>
        </w:tc>
        <w:tc>
          <w:tcPr>
            <w:tcW w:w="5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460"/>
        <w:spacing w:after="0"/>
        <w:rPr>
          <w:sz w:val="20"/>
          <w:szCs w:val="20"/>
          <w:color w:val="auto"/>
        </w:rPr>
      </w:pPr>
      <w:r>
        <w:rPr>
          <w:rFonts w:ascii="Arial" w:cs="Arial" w:eastAsia="Arial" w:hAnsi="Arial"/>
          <w:sz w:val="18"/>
          <w:szCs w:val="18"/>
          <w:color w:val="auto"/>
        </w:rPr>
        <w:t>a managing member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
    <w:nsid w:val="41B71EF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
    <w:nsid w:val="5BD062C2"/>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2019-12-20T23:28:56Z</dcterms:created>
  <dcterms:modified xsi:type="dcterms:W3CDTF">2019-12-20T23:28:56Z</dcterms:modified>
</cp:coreProperties>
</file>