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1"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________________________________</w:t>
      </w:r>
    </w:p>
    <w:p>
      <w:pPr>
        <w:spacing w:after="0" w:line="13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________________________________</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3720" w:right="1740" w:hanging="3640"/>
        <w:spacing w:after="0" w:line="438" w:lineRule="auto"/>
        <w:tabs>
          <w:tab w:leader="none" w:pos="38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2017</w:t>
      </w:r>
    </w:p>
    <w:p>
      <w:pPr>
        <w:spacing w:after="0" w:line="200" w:lineRule="exact"/>
        <w:rPr>
          <w:sz w:val="24"/>
          <w:szCs w:val="24"/>
          <w:color w:val="auto"/>
        </w:rPr>
      </w:pPr>
    </w:p>
    <w:p>
      <w:pPr>
        <w:spacing w:after="0" w:line="206" w:lineRule="exact"/>
        <w:rPr>
          <w:sz w:val="24"/>
          <w:szCs w:val="24"/>
          <w:color w:val="auto"/>
        </w:rPr>
      </w:pPr>
    </w:p>
    <w:p>
      <w:pPr>
        <w:ind w:left="140"/>
        <w:spacing w:after="0"/>
        <w:tabs>
          <w:tab w:leader="none" w:pos="36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7"/>
          <w:szCs w:val="17"/>
          <w:b w:val="1"/>
          <w:bCs w:val="1"/>
          <w:color w:val="auto"/>
        </w:rPr>
        <w:t>TRANSITION REPORT PURSUANT TO SECTION 13 OR 15(d) OF THE SECURITIES EXCHANGE ACT OF 1934</w:t>
      </w:r>
    </w:p>
    <w:p>
      <w:pPr>
        <w:spacing w:after="0" w:line="200" w:lineRule="exact"/>
        <w:rPr>
          <w:sz w:val="24"/>
          <w:szCs w:val="24"/>
          <w:color w:val="auto"/>
        </w:rPr>
      </w:pPr>
    </w:p>
    <w:p>
      <w:pPr>
        <w:spacing w:after="0" w:line="376" w:lineRule="exact"/>
        <w:rPr>
          <w:sz w:val="24"/>
          <w:szCs w:val="24"/>
          <w:color w:val="auto"/>
        </w:rPr>
      </w:pPr>
    </w:p>
    <w:tbl>
      <w:tblPr>
        <w:tblLayout w:type="fixed"/>
        <w:tblInd w:w="1880" w:type="dxa"/>
        <w:tblCellMar>
          <w:top w:w="0" w:type="dxa"/>
          <w:left w:w="0" w:type="dxa"/>
          <w:bottom w:w="0" w:type="dxa"/>
          <w:right w:w="0" w:type="dxa"/>
        </w:tblCellMar>
      </w:tblPr>
      <w:tr>
        <w:trPr>
          <w:trHeight w:val="220"/>
        </w:trPr>
        <w:tc>
          <w:tcPr>
            <w:tcW w:w="2020" w:type="dxa"/>
            <w:vAlign w:val="bottom"/>
          </w:tcPr>
          <w:p>
            <w:pPr>
              <w:spacing w:after="0"/>
              <w:rPr>
                <w:sz w:val="19"/>
                <w:szCs w:val="19"/>
                <w:color w:val="auto"/>
              </w:rPr>
            </w:pPr>
          </w:p>
        </w:tc>
        <w:tc>
          <w:tcPr>
            <w:tcW w:w="5320" w:type="dxa"/>
            <w:vAlign w:val="bottom"/>
          </w:tcPr>
          <w:p>
            <w:pPr>
              <w:jc w:val="center"/>
              <w:ind w:right="1596"/>
              <w:spacing w:after="0"/>
              <w:rPr>
                <w:sz w:val="20"/>
                <w:szCs w:val="20"/>
                <w:color w:val="auto"/>
              </w:rPr>
            </w:pPr>
            <w:r>
              <w:rPr>
                <w:rFonts w:ascii="Arial" w:cs="Arial" w:eastAsia="Arial" w:hAnsi="Arial"/>
                <w:sz w:val="18"/>
                <w:szCs w:val="18"/>
                <w:b w:val="1"/>
                <w:bCs w:val="1"/>
                <w:color w:val="auto"/>
                <w:w w:val="90"/>
              </w:rPr>
              <w:t>Commission file number 001-36156</w:t>
            </w:r>
          </w:p>
        </w:tc>
      </w:tr>
      <w:tr>
        <w:trPr>
          <w:trHeight w:val="230"/>
        </w:trPr>
        <w:tc>
          <w:tcPr>
            <w:tcW w:w="2020" w:type="dxa"/>
            <w:vAlign w:val="bottom"/>
          </w:tcPr>
          <w:p>
            <w:pPr>
              <w:spacing w:after="0"/>
              <w:rPr>
                <w:sz w:val="20"/>
                <w:szCs w:val="20"/>
                <w:color w:val="auto"/>
              </w:rPr>
            </w:pPr>
          </w:p>
        </w:tc>
        <w:tc>
          <w:tcPr>
            <w:tcW w:w="5320" w:type="dxa"/>
            <w:vAlign w:val="bottom"/>
          </w:tcPr>
          <w:p>
            <w:pPr>
              <w:jc w:val="right"/>
              <w:ind w:right="1976"/>
              <w:spacing w:after="0"/>
              <w:rPr>
                <w:sz w:val="20"/>
                <w:szCs w:val="20"/>
                <w:color w:val="auto"/>
              </w:rPr>
            </w:pPr>
            <w:r>
              <w:rPr>
                <w:rFonts w:ascii="Arial" w:cs="Arial" w:eastAsia="Arial" w:hAnsi="Arial"/>
                <w:sz w:val="18"/>
                <w:szCs w:val="18"/>
                <w:color w:val="auto"/>
              </w:rPr>
              <w:t>________________________________</w:t>
            </w:r>
          </w:p>
        </w:tc>
      </w:tr>
      <w:tr>
        <w:trPr>
          <w:trHeight w:val="481"/>
        </w:trPr>
        <w:tc>
          <w:tcPr>
            <w:tcW w:w="2020" w:type="dxa"/>
            <w:vAlign w:val="bottom"/>
          </w:tcPr>
          <w:p>
            <w:pPr>
              <w:spacing w:after="0"/>
              <w:rPr>
                <w:sz w:val="24"/>
                <w:szCs w:val="24"/>
                <w:color w:val="auto"/>
              </w:rPr>
            </w:pPr>
          </w:p>
        </w:tc>
        <w:tc>
          <w:tcPr>
            <w:tcW w:w="5320" w:type="dxa"/>
            <w:vAlign w:val="bottom"/>
          </w:tcPr>
          <w:p>
            <w:pPr>
              <w:jc w:val="center"/>
              <w:ind w:right="1596"/>
              <w:spacing w:after="0"/>
              <w:rPr>
                <w:sz w:val="20"/>
                <w:szCs w:val="20"/>
                <w:color w:val="auto"/>
              </w:rPr>
            </w:pPr>
            <w:r>
              <w:rPr>
                <w:rFonts w:ascii="Arial" w:cs="Arial" w:eastAsia="Arial" w:hAnsi="Arial"/>
                <w:sz w:val="29"/>
                <w:szCs w:val="29"/>
                <w:b w:val="1"/>
                <w:bCs w:val="1"/>
                <w:color w:val="auto"/>
              </w:rPr>
              <w:t>VERACYTE, INC.</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616"/>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230"/>
        </w:trPr>
        <w:tc>
          <w:tcPr>
            <w:tcW w:w="2020" w:type="dxa"/>
            <w:vAlign w:val="bottom"/>
          </w:tcPr>
          <w:p>
            <w:pPr>
              <w:spacing w:after="0"/>
              <w:rPr>
                <w:sz w:val="20"/>
                <w:szCs w:val="20"/>
                <w:color w:val="auto"/>
              </w:rPr>
            </w:pPr>
          </w:p>
        </w:tc>
        <w:tc>
          <w:tcPr>
            <w:tcW w:w="5320" w:type="dxa"/>
            <w:vAlign w:val="bottom"/>
          </w:tcPr>
          <w:p>
            <w:pPr>
              <w:jc w:val="right"/>
              <w:ind w:right="1996"/>
              <w:spacing w:after="0"/>
              <w:rPr>
                <w:sz w:val="20"/>
                <w:szCs w:val="20"/>
                <w:color w:val="auto"/>
              </w:rPr>
            </w:pPr>
            <w:r>
              <w:rPr>
                <w:rFonts w:ascii="Arial" w:cs="Arial" w:eastAsia="Arial" w:hAnsi="Arial"/>
                <w:sz w:val="18"/>
                <w:szCs w:val="18"/>
                <w:color w:val="auto"/>
              </w:rPr>
              <w:t>________________________________</w:t>
            </w:r>
          </w:p>
        </w:tc>
      </w:tr>
      <w:tr>
        <w:trPr>
          <w:trHeight w:val="540"/>
        </w:trPr>
        <w:tc>
          <w:tcPr>
            <w:tcW w:w="2020" w:type="dxa"/>
            <w:vAlign w:val="bottom"/>
          </w:tcPr>
          <w:p>
            <w:pPr>
              <w:jc w:val="center"/>
              <w:ind w:right="202"/>
              <w:spacing w:after="0"/>
              <w:rPr>
                <w:sz w:val="20"/>
                <w:szCs w:val="20"/>
                <w:color w:val="auto"/>
              </w:rPr>
            </w:pPr>
            <w:r>
              <w:rPr>
                <w:rFonts w:ascii="Arial" w:cs="Arial" w:eastAsia="Arial" w:hAnsi="Arial"/>
                <w:sz w:val="18"/>
                <w:szCs w:val="18"/>
                <w:b w:val="1"/>
                <w:bCs w:val="1"/>
                <w:color w:val="auto"/>
                <w:w w:val="93"/>
              </w:rPr>
              <w:t>Delaware</w:t>
            </w:r>
          </w:p>
        </w:tc>
        <w:tc>
          <w:tcPr>
            <w:tcW w:w="5320" w:type="dxa"/>
            <w:vAlign w:val="bottom"/>
          </w:tcPr>
          <w:p>
            <w:pPr>
              <w:jc w:val="center"/>
              <w:ind w:left="4176"/>
              <w:spacing w:after="0"/>
              <w:rPr>
                <w:sz w:val="20"/>
                <w:szCs w:val="20"/>
                <w:color w:val="auto"/>
              </w:rPr>
            </w:pPr>
            <w:r>
              <w:rPr>
                <w:rFonts w:ascii="Arial" w:cs="Arial" w:eastAsia="Arial" w:hAnsi="Arial"/>
                <w:sz w:val="18"/>
                <w:szCs w:val="18"/>
                <w:b w:val="1"/>
                <w:bCs w:val="1"/>
                <w:color w:val="auto"/>
                <w:w w:val="89"/>
              </w:rPr>
              <w:t>20-5455398</w:t>
            </w:r>
          </w:p>
        </w:tc>
      </w:tr>
      <w:tr>
        <w:trPr>
          <w:trHeight w:val="218"/>
        </w:trPr>
        <w:tc>
          <w:tcPr>
            <w:tcW w:w="2020" w:type="dxa"/>
            <w:vAlign w:val="bottom"/>
          </w:tcPr>
          <w:p>
            <w:pPr>
              <w:jc w:val="center"/>
              <w:ind w:right="202"/>
              <w:spacing w:after="0"/>
              <w:rPr>
                <w:sz w:val="20"/>
                <w:szCs w:val="20"/>
                <w:color w:val="auto"/>
              </w:rPr>
            </w:pPr>
            <w:r>
              <w:rPr>
                <w:rFonts w:ascii="Arial" w:cs="Arial" w:eastAsia="Arial" w:hAnsi="Arial"/>
                <w:sz w:val="14"/>
                <w:szCs w:val="14"/>
                <w:color w:val="auto"/>
                <w:w w:val="94"/>
              </w:rPr>
              <w:t>(State or other jurisdiction of</w:t>
            </w:r>
          </w:p>
        </w:tc>
        <w:tc>
          <w:tcPr>
            <w:tcW w:w="5320" w:type="dxa"/>
            <w:vAlign w:val="bottom"/>
          </w:tcPr>
          <w:p>
            <w:pPr>
              <w:jc w:val="center"/>
              <w:ind w:left="4176"/>
              <w:spacing w:after="0"/>
              <w:rPr>
                <w:sz w:val="20"/>
                <w:szCs w:val="20"/>
                <w:color w:val="auto"/>
              </w:rPr>
            </w:pPr>
            <w:r>
              <w:rPr>
                <w:rFonts w:ascii="Arial" w:cs="Arial" w:eastAsia="Arial" w:hAnsi="Arial"/>
                <w:sz w:val="14"/>
                <w:szCs w:val="14"/>
                <w:color w:val="auto"/>
                <w:w w:val="95"/>
              </w:rPr>
              <w:t>(I.R.S. Employer</w:t>
            </w:r>
          </w:p>
        </w:tc>
      </w:tr>
      <w:tr>
        <w:trPr>
          <w:trHeight w:val="203"/>
        </w:trPr>
        <w:tc>
          <w:tcPr>
            <w:tcW w:w="2020" w:type="dxa"/>
            <w:vAlign w:val="bottom"/>
          </w:tcPr>
          <w:p>
            <w:pPr>
              <w:jc w:val="center"/>
              <w:ind w:right="202"/>
              <w:spacing w:after="0"/>
              <w:rPr>
                <w:sz w:val="20"/>
                <w:szCs w:val="20"/>
                <w:color w:val="auto"/>
              </w:rPr>
            </w:pPr>
            <w:r>
              <w:rPr>
                <w:rFonts w:ascii="Arial" w:cs="Arial" w:eastAsia="Arial" w:hAnsi="Arial"/>
                <w:sz w:val="14"/>
                <w:szCs w:val="14"/>
                <w:color w:val="auto"/>
                <w:w w:val="95"/>
              </w:rPr>
              <w:t>incorporation or organization)</w:t>
            </w:r>
          </w:p>
        </w:tc>
        <w:tc>
          <w:tcPr>
            <w:tcW w:w="5320" w:type="dxa"/>
            <w:vAlign w:val="bottom"/>
          </w:tcPr>
          <w:p>
            <w:pPr>
              <w:jc w:val="center"/>
              <w:ind w:left="4156"/>
              <w:spacing w:after="0"/>
              <w:rPr>
                <w:sz w:val="20"/>
                <w:szCs w:val="20"/>
                <w:color w:val="auto"/>
              </w:rPr>
            </w:pPr>
            <w:r>
              <w:rPr>
                <w:rFonts w:ascii="Arial" w:cs="Arial" w:eastAsia="Arial" w:hAnsi="Arial"/>
                <w:sz w:val="14"/>
                <w:szCs w:val="14"/>
                <w:color w:val="auto"/>
                <w:w w:val="99"/>
              </w:rPr>
              <w:t>Identification No.)</w:t>
            </w:r>
          </w:p>
        </w:tc>
      </w:tr>
      <w:tr>
        <w:trPr>
          <w:trHeight w:val="367"/>
        </w:trPr>
        <w:tc>
          <w:tcPr>
            <w:tcW w:w="2020" w:type="dxa"/>
            <w:vAlign w:val="bottom"/>
          </w:tcPr>
          <w:p>
            <w:pPr>
              <w:spacing w:after="0"/>
              <w:rPr>
                <w:sz w:val="24"/>
                <w:szCs w:val="24"/>
                <w:color w:val="auto"/>
              </w:rPr>
            </w:pPr>
          </w:p>
        </w:tc>
        <w:tc>
          <w:tcPr>
            <w:tcW w:w="5320" w:type="dxa"/>
            <w:vAlign w:val="bottom"/>
          </w:tcPr>
          <w:p>
            <w:pPr>
              <w:jc w:val="center"/>
              <w:ind w:right="1616"/>
              <w:spacing w:after="0"/>
              <w:rPr>
                <w:sz w:val="20"/>
                <w:szCs w:val="20"/>
                <w:color w:val="auto"/>
              </w:rPr>
            </w:pPr>
            <w:r>
              <w:rPr>
                <w:rFonts w:ascii="Arial" w:cs="Arial" w:eastAsia="Arial" w:hAnsi="Arial"/>
                <w:sz w:val="14"/>
                <w:szCs w:val="14"/>
                <w:b w:val="1"/>
                <w:bCs w:val="1"/>
                <w:color w:val="auto"/>
                <w:w w:val="92"/>
              </w:rPr>
              <w:t>6000 Shoreline Court, Suite 300</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596"/>
              <w:spacing w:after="0"/>
              <w:rPr>
                <w:sz w:val="20"/>
                <w:szCs w:val="20"/>
                <w:color w:val="auto"/>
              </w:rPr>
            </w:pPr>
            <w:r>
              <w:rPr>
                <w:rFonts w:ascii="Arial" w:cs="Arial" w:eastAsia="Arial" w:hAnsi="Arial"/>
                <w:sz w:val="14"/>
                <w:szCs w:val="14"/>
                <w:b w:val="1"/>
                <w:bCs w:val="1"/>
                <w:color w:val="auto"/>
                <w:w w:val="92"/>
              </w:rPr>
              <w:t>South San Francisco, California 94080</w:t>
            </w:r>
          </w:p>
        </w:tc>
      </w:tr>
      <w:tr>
        <w:trPr>
          <w:trHeight w:val="182"/>
        </w:trPr>
        <w:tc>
          <w:tcPr>
            <w:tcW w:w="2020" w:type="dxa"/>
            <w:vAlign w:val="bottom"/>
          </w:tcPr>
          <w:p>
            <w:pPr>
              <w:spacing w:after="0"/>
              <w:rPr>
                <w:sz w:val="15"/>
                <w:szCs w:val="15"/>
                <w:color w:val="auto"/>
              </w:rPr>
            </w:pPr>
          </w:p>
        </w:tc>
        <w:tc>
          <w:tcPr>
            <w:tcW w:w="5320" w:type="dxa"/>
            <w:vAlign w:val="bottom"/>
          </w:tcPr>
          <w:p>
            <w:pPr>
              <w:jc w:val="center"/>
              <w:ind w:right="1596"/>
              <w:spacing w:after="0"/>
              <w:rPr>
                <w:sz w:val="20"/>
                <w:szCs w:val="20"/>
                <w:color w:val="auto"/>
              </w:rPr>
            </w:pPr>
            <w:r>
              <w:rPr>
                <w:rFonts w:ascii="Arial" w:cs="Arial" w:eastAsia="Arial" w:hAnsi="Arial"/>
                <w:sz w:val="14"/>
                <w:szCs w:val="14"/>
                <w:color w:val="auto"/>
                <w:w w:val="94"/>
              </w:rPr>
              <w:t>(Address of principal executive offices, zip code)</w:t>
            </w:r>
          </w:p>
        </w:tc>
      </w:tr>
      <w:tr>
        <w:trPr>
          <w:trHeight w:val="304"/>
        </w:trPr>
        <w:tc>
          <w:tcPr>
            <w:tcW w:w="2020" w:type="dxa"/>
            <w:vAlign w:val="bottom"/>
          </w:tcPr>
          <w:p>
            <w:pPr>
              <w:spacing w:after="0"/>
              <w:rPr>
                <w:sz w:val="24"/>
                <w:szCs w:val="24"/>
                <w:color w:val="auto"/>
              </w:rPr>
            </w:pPr>
          </w:p>
        </w:tc>
        <w:tc>
          <w:tcPr>
            <w:tcW w:w="5320" w:type="dxa"/>
            <w:vAlign w:val="bottom"/>
          </w:tcPr>
          <w:p>
            <w:pPr>
              <w:jc w:val="right"/>
              <w:ind w:right="2976"/>
              <w:spacing w:after="0"/>
              <w:rPr>
                <w:sz w:val="20"/>
                <w:szCs w:val="20"/>
                <w:color w:val="auto"/>
              </w:rPr>
            </w:pPr>
            <w:r>
              <w:rPr>
                <w:rFonts w:ascii="Arial" w:cs="Arial" w:eastAsia="Arial" w:hAnsi="Arial"/>
                <w:sz w:val="14"/>
                <w:szCs w:val="14"/>
                <w:b w:val="1"/>
                <w:bCs w:val="1"/>
                <w:color w:val="auto"/>
              </w:rPr>
              <w:t>(650) 243-6300</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596"/>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30"/>
        </w:trPr>
        <w:tc>
          <w:tcPr>
            <w:tcW w:w="2020" w:type="dxa"/>
            <w:vAlign w:val="bottom"/>
          </w:tcPr>
          <w:p>
            <w:pPr>
              <w:spacing w:after="0"/>
              <w:rPr>
                <w:sz w:val="20"/>
                <w:szCs w:val="20"/>
                <w:color w:val="auto"/>
              </w:rPr>
            </w:pPr>
          </w:p>
        </w:tc>
        <w:tc>
          <w:tcPr>
            <w:tcW w:w="5320" w:type="dxa"/>
            <w:vAlign w:val="bottom"/>
          </w:tcPr>
          <w:p>
            <w:pPr>
              <w:jc w:val="center"/>
              <w:ind w:right="1556"/>
              <w:spacing w:after="0"/>
              <w:rPr>
                <w:sz w:val="20"/>
                <w:szCs w:val="20"/>
                <w:color w:val="auto"/>
              </w:rPr>
            </w:pPr>
            <w:r>
              <w:rPr>
                <w:rFonts w:ascii="Arial" w:cs="Arial" w:eastAsia="Arial" w:hAnsi="Arial"/>
                <w:sz w:val="18"/>
                <w:szCs w:val="18"/>
                <w:color w:val="auto"/>
                <w:w w:val="89"/>
              </w:rPr>
              <w:t>________________________________</w:t>
            </w:r>
          </w:p>
        </w:tc>
      </w:tr>
    </w:tbl>
    <w:p>
      <w:pPr>
        <w:spacing w:after="0" w:line="197" w:lineRule="exact"/>
        <w:rPr>
          <w:sz w:val="24"/>
          <w:szCs w:val="24"/>
          <w:color w:val="auto"/>
        </w:rPr>
      </w:pPr>
    </w:p>
    <w:p>
      <w:pPr>
        <w:ind w:firstLine="243"/>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27" w:lineRule="exact"/>
        <w:rPr>
          <w:sz w:val="24"/>
          <w:szCs w:val="24"/>
          <w:color w:val="auto"/>
        </w:rPr>
      </w:pPr>
    </w:p>
    <w:p>
      <w:pPr>
        <w:ind w:firstLine="243"/>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126" w:lineRule="exact"/>
        <w:rPr>
          <w:sz w:val="24"/>
          <w:szCs w:val="24"/>
          <w:color w:val="auto"/>
        </w:rPr>
      </w:pPr>
    </w:p>
    <w:p>
      <w:pPr>
        <w:ind w:right="220" w:firstLine="243"/>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25" w:lineRule="exact"/>
        <w:rPr>
          <w:sz w:val="24"/>
          <w:szCs w:val="24"/>
          <w:color w:val="auto"/>
        </w:rPr>
      </w:pPr>
    </w:p>
    <w:tbl>
      <w:tblPr>
        <w:tblLayout w:type="fixed"/>
        <w:tblInd w:w="1420" w:type="dxa"/>
        <w:tblCellMar>
          <w:top w:w="0" w:type="dxa"/>
          <w:left w:w="0" w:type="dxa"/>
          <w:bottom w:w="0" w:type="dxa"/>
          <w:right w:w="0" w:type="dxa"/>
        </w:tblCellMar>
      </w:tblPr>
      <w:tr>
        <w:trPr>
          <w:trHeight w:val="182"/>
        </w:trPr>
        <w:tc>
          <w:tcPr>
            <w:tcW w:w="4540" w:type="dxa"/>
            <w:vAlign w:val="bottom"/>
          </w:tcPr>
          <w:p>
            <w:pPr>
              <w:jc w:val="center"/>
              <w:ind w:right="1828"/>
              <w:spacing w:after="0"/>
              <w:rPr>
                <w:sz w:val="20"/>
                <w:szCs w:val="20"/>
                <w:color w:val="auto"/>
              </w:rPr>
            </w:pPr>
            <w:r>
              <w:rPr>
                <w:rFonts w:ascii="Arial" w:cs="Arial" w:eastAsia="Arial" w:hAnsi="Arial"/>
                <w:sz w:val="14"/>
                <w:szCs w:val="14"/>
                <w:color w:val="auto"/>
                <w:w w:val="93"/>
              </w:rPr>
              <w:t>Large accelerated filer o</w:t>
            </w:r>
          </w:p>
        </w:tc>
        <w:tc>
          <w:tcPr>
            <w:tcW w:w="3560" w:type="dxa"/>
            <w:vAlign w:val="bottom"/>
          </w:tcPr>
          <w:p>
            <w:pPr>
              <w:jc w:val="center"/>
              <w:ind w:left="1808"/>
              <w:spacing w:after="0"/>
              <w:rPr>
                <w:sz w:val="20"/>
                <w:szCs w:val="20"/>
                <w:color w:val="auto"/>
              </w:rPr>
            </w:pPr>
            <w:r>
              <w:rPr>
                <w:rFonts w:ascii="Arial" w:cs="Arial" w:eastAsia="Arial" w:hAnsi="Arial"/>
                <w:sz w:val="14"/>
                <w:szCs w:val="14"/>
                <w:color w:val="auto"/>
                <w:w w:val="97"/>
              </w:rPr>
              <w:t>Accelerated filer x</w:t>
            </w:r>
          </w:p>
        </w:tc>
      </w:tr>
      <w:tr>
        <w:trPr>
          <w:trHeight w:val="392"/>
        </w:trPr>
        <w:tc>
          <w:tcPr>
            <w:tcW w:w="4540" w:type="dxa"/>
            <w:vAlign w:val="bottom"/>
          </w:tcPr>
          <w:p>
            <w:pPr>
              <w:jc w:val="center"/>
              <w:ind w:right="1808"/>
              <w:spacing w:after="0"/>
              <w:rPr>
                <w:sz w:val="20"/>
                <w:szCs w:val="20"/>
                <w:color w:val="auto"/>
              </w:rPr>
            </w:pPr>
            <w:r>
              <w:rPr>
                <w:rFonts w:ascii="Arial" w:cs="Arial" w:eastAsia="Arial" w:hAnsi="Arial"/>
                <w:sz w:val="14"/>
                <w:szCs w:val="14"/>
                <w:color w:val="auto"/>
                <w:w w:val="95"/>
              </w:rPr>
              <w:t>Non-accelerated filer o</w:t>
            </w:r>
          </w:p>
        </w:tc>
        <w:tc>
          <w:tcPr>
            <w:tcW w:w="3560" w:type="dxa"/>
            <w:vAlign w:val="bottom"/>
          </w:tcPr>
          <w:p>
            <w:pPr>
              <w:jc w:val="center"/>
              <w:ind w:left="1808"/>
              <w:spacing w:after="0"/>
              <w:rPr>
                <w:sz w:val="20"/>
                <w:szCs w:val="20"/>
                <w:color w:val="auto"/>
              </w:rPr>
            </w:pPr>
            <w:r>
              <w:rPr>
                <w:rFonts w:ascii="Arial" w:cs="Arial" w:eastAsia="Arial" w:hAnsi="Arial"/>
                <w:sz w:val="14"/>
                <w:szCs w:val="14"/>
                <w:color w:val="auto"/>
                <w:w w:val="93"/>
              </w:rPr>
              <w:t>Smaller reporting company o</w:t>
            </w:r>
          </w:p>
        </w:tc>
      </w:tr>
      <w:tr>
        <w:trPr>
          <w:trHeight w:val="392"/>
        </w:trPr>
        <w:tc>
          <w:tcPr>
            <w:tcW w:w="4540" w:type="dxa"/>
            <w:vAlign w:val="bottom"/>
          </w:tcPr>
          <w:p>
            <w:pPr>
              <w:jc w:val="center"/>
              <w:ind w:right="1808"/>
              <w:spacing w:after="0"/>
              <w:rPr>
                <w:sz w:val="20"/>
                <w:szCs w:val="20"/>
                <w:color w:val="auto"/>
              </w:rPr>
            </w:pPr>
            <w:r>
              <w:rPr>
                <w:rFonts w:ascii="Arial" w:cs="Arial" w:eastAsia="Arial" w:hAnsi="Arial"/>
                <w:sz w:val="14"/>
                <w:szCs w:val="14"/>
                <w:color w:val="auto"/>
                <w:w w:val="94"/>
              </w:rPr>
              <w:t>(Do not check if a smaller reporting company)</w:t>
            </w:r>
          </w:p>
        </w:tc>
        <w:tc>
          <w:tcPr>
            <w:tcW w:w="3560" w:type="dxa"/>
            <w:vAlign w:val="bottom"/>
          </w:tcPr>
          <w:p>
            <w:pPr>
              <w:jc w:val="center"/>
              <w:ind w:left="1808"/>
              <w:spacing w:after="0"/>
              <w:rPr>
                <w:sz w:val="20"/>
                <w:szCs w:val="20"/>
                <w:color w:val="auto"/>
              </w:rPr>
            </w:pPr>
            <w:r>
              <w:rPr>
                <w:rFonts w:ascii="Arial" w:cs="Arial" w:eastAsia="Arial" w:hAnsi="Arial"/>
                <w:sz w:val="14"/>
                <w:szCs w:val="14"/>
                <w:color w:val="auto"/>
                <w:w w:val="94"/>
              </w:rPr>
              <w:t>Emerging growth company x</w:t>
            </w:r>
          </w:p>
        </w:tc>
      </w:tr>
    </w:tbl>
    <w:p>
      <w:pPr>
        <w:spacing w:after="0" w:line="34" w:lineRule="exact"/>
        <w:rPr>
          <w:sz w:val="24"/>
          <w:szCs w:val="24"/>
          <w:color w:val="auto"/>
        </w:rPr>
      </w:pPr>
    </w:p>
    <w:p>
      <w:pPr>
        <w:ind w:right="360" w:firstLine="243"/>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93" w:lineRule="exact"/>
        <w:rPr>
          <w:sz w:val="24"/>
          <w:szCs w:val="24"/>
          <w:color w:val="auto"/>
        </w:rPr>
      </w:pPr>
    </w:p>
    <w:p>
      <w:pPr>
        <w:ind w:left="2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Act).Yes o No </w:t>
      </w:r>
      <w:r>
        <w:rPr>
          <w:rFonts w:ascii="MS PGothic" w:cs="MS PGothic" w:eastAsia="MS PGothic" w:hAnsi="MS PGothic"/>
          <w:sz w:val="14"/>
          <w:szCs w:val="14"/>
          <w:color w:val="auto"/>
        </w:rPr>
        <w:t>☒</w:t>
      </w:r>
    </w:p>
    <w:p>
      <w:pPr>
        <w:spacing w:after="0" w:line="190" w:lineRule="exact"/>
        <w:rPr>
          <w:sz w:val="24"/>
          <w:szCs w:val="24"/>
          <w:color w:val="auto"/>
        </w:rPr>
      </w:pPr>
    </w:p>
    <w:p>
      <w:pPr>
        <w:ind w:left="260"/>
        <w:spacing w:after="0"/>
        <w:rPr>
          <w:sz w:val="20"/>
          <w:szCs w:val="20"/>
          <w:color w:val="auto"/>
        </w:rPr>
      </w:pPr>
      <w:r>
        <w:rPr>
          <w:rFonts w:ascii="Arial" w:cs="Arial" w:eastAsia="Arial" w:hAnsi="Arial"/>
          <w:sz w:val="14"/>
          <w:szCs w:val="14"/>
          <w:color w:val="auto"/>
        </w:rPr>
        <w:t>As of November 2, 2017, there were 34,039,843 shares of common stock, par value $0.001 per share, outstanding.</w:t>
      </w:r>
    </w:p>
    <w:p>
      <w:pPr>
        <w:sectPr>
          <w:pgSz w:w="11900" w:h="16838" w:orient="portrait"/>
          <w:cols w:equalWidth="0" w:num="1">
            <w:col w:w="11280"/>
          </w:cols>
          <w:pgMar w:left="240" w:top="229" w:right="37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No.</w:t>
            </w:r>
          </w:p>
        </w:tc>
        <w:tc>
          <w:tcPr>
            <w:tcW w:w="0" w:type="dxa"/>
            <w:vAlign w:val="bottom"/>
          </w:tcPr>
          <w:p>
            <w:pPr>
              <w:spacing w:after="0"/>
              <w:rPr>
                <w:sz w:val="1"/>
                <w:szCs w:val="1"/>
                <w:color w:val="auto"/>
              </w:rPr>
            </w:pPr>
          </w:p>
        </w:tc>
      </w:tr>
      <w:tr>
        <w:trPr>
          <w:trHeight w:val="189"/>
        </w:trPr>
        <w:tc>
          <w:tcPr>
            <w:tcW w:w="10020" w:type="dxa"/>
            <w:vAlign w:val="bottom"/>
            <w:gridSpan w:val="19"/>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988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Condensed Financial Statements (Unaudited)</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Balance Sheets as of September 30, 2017 and December 31, 2016</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80" w:type="dxa"/>
            <w:vAlign w:val="bottom"/>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Statements of Operations and Comprehensive Loss for the Three and Nine Month Periods Ended September 30, 2017 and</w:t>
              </w:r>
            </w:hyperlink>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40" w:type="dxa"/>
            <w:vAlign w:val="bottom"/>
            <w:gridSpan w:val="2"/>
            <w:vMerge w:val="restart"/>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2016</w:t>
              </w:r>
            </w:hyperlink>
          </w:p>
        </w:tc>
        <w:tc>
          <w:tcPr>
            <w:tcW w:w="4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2"/>
            <w:vMerge w:val="restart"/>
          </w:tcPr>
          <w:p>
            <w:pPr>
              <w:spacing w:after="0"/>
              <w:rPr>
                <w:sz w:val="17"/>
                <w:szCs w:val="17"/>
                <w:color w:val="auto"/>
              </w:rPr>
            </w:pPr>
          </w:p>
        </w:tc>
        <w:tc>
          <w:tcPr>
            <w:tcW w:w="100" w:type="dxa"/>
            <w:vAlign w:val="bottom"/>
            <w:vMerge w:val="restart"/>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340" w:type="dxa"/>
            <w:vAlign w:val="bottom"/>
            <w:gridSpan w:val="2"/>
            <w:vMerge w:val="continue"/>
          </w:tcPr>
          <w:p>
            <w:pPr>
              <w:spacing w:after="0"/>
              <w:rPr>
                <w:sz w:val="2"/>
                <w:szCs w:val="2"/>
                <w:color w:val="auto"/>
              </w:rPr>
            </w:pPr>
          </w:p>
        </w:tc>
        <w:tc>
          <w:tcPr>
            <w:tcW w:w="3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Borders>
              <w:bottom w:val="single" w:sz="8" w:color="0000EE"/>
            </w:tcBorders>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Statements of Cash Flows for the Nine Month Periods Ended September 30, 2017 and 2016</w:t>
              </w:r>
            </w:hyperlink>
          </w:p>
        </w:tc>
        <w:tc>
          <w:tcPr>
            <w:tcW w:w="2220" w:type="dxa"/>
            <w:vAlign w:val="bottom"/>
            <w:gridSpan w:val="2"/>
          </w:tcPr>
          <w:p>
            <w:pPr>
              <w:spacing w:after="0"/>
              <w:rPr>
                <w:sz w:val="21"/>
                <w:szCs w:val="21"/>
                <w:color w:val="auto"/>
              </w:rPr>
            </w:pPr>
          </w:p>
        </w:tc>
        <w:tc>
          <w:tcPr>
            <w:tcW w:w="12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8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Financial Statements</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9880" w:type="dxa"/>
            <w:vAlign w:val="bottom"/>
            <w:gridSpan w:val="18"/>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2. Management’s Discussion and Analysis of Financial Condition and Results of Operations</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3.</w:t>
              </w:r>
            </w:hyperlink>
          </w:p>
        </w:tc>
        <w:tc>
          <w:tcPr>
            <w:tcW w:w="6480" w:type="dxa"/>
            <w:vAlign w:val="bottom"/>
            <w:gridSpan w:val="13"/>
          </w:tcPr>
          <w:p>
            <w:pPr>
              <w:ind w:left="20"/>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2880" w:type="dxa"/>
            <w:vAlign w:val="bottom"/>
            <w:gridSpan w:val="3"/>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4.</w:t>
              </w:r>
            </w:hyperlink>
          </w:p>
        </w:tc>
        <w:tc>
          <w:tcPr>
            <w:tcW w:w="1800" w:type="dxa"/>
            <w:vAlign w:val="bottom"/>
            <w:gridSpan w:val="6"/>
          </w:tcPr>
          <w:p>
            <w:pPr>
              <w:ind w:left="20"/>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Controls and Procedures</w:t>
              </w:r>
            </w:hyperlink>
          </w:p>
        </w:tc>
        <w:tc>
          <w:tcPr>
            <w:tcW w:w="2580" w:type="dxa"/>
            <w:vAlign w:val="bottom"/>
            <w:gridSpan w:val="5"/>
          </w:tcPr>
          <w:p>
            <w:pPr>
              <w:spacing w:after="0"/>
              <w:rPr>
                <w:sz w:val="21"/>
                <w:szCs w:val="21"/>
                <w:color w:val="auto"/>
              </w:rPr>
            </w:pPr>
          </w:p>
        </w:tc>
        <w:tc>
          <w:tcPr>
            <w:tcW w:w="4980" w:type="dxa"/>
            <w:vAlign w:val="bottom"/>
            <w:gridSpan w:val="5"/>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40" w:type="dxa"/>
            <w:vAlign w:val="bottom"/>
            <w:gridSpan w:val="9"/>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20" w:type="dxa"/>
            <w:vAlign w:val="bottom"/>
            <w:gridSpan w:val="19"/>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 OTHER INFORMATION</w:t>
              </w:r>
            </w:hyperlink>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 w:type="dxa"/>
            <w:vAlign w:val="bottom"/>
            <w:tcBorders>
              <w:top w:val="single" w:sz="8" w:color="0000EE"/>
            </w:tcBorders>
          </w:tcPr>
          <w:p>
            <w:pPr>
              <w:spacing w:after="0"/>
              <w:rPr>
                <w:sz w:val="21"/>
                <w:szCs w:val="21"/>
                <w:color w:val="auto"/>
              </w:rPr>
            </w:pPr>
          </w:p>
        </w:tc>
        <w:tc>
          <w:tcPr>
            <w:tcW w:w="1580" w:type="dxa"/>
            <w:vAlign w:val="bottom"/>
            <w:tcBorders>
              <w:top w:val="single" w:sz="8" w:color="0000EE"/>
            </w:tcBorders>
            <w:gridSpan w:val="6"/>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1A. Risk Factors</w:t>
              </w:r>
            </w:hyperlink>
          </w:p>
        </w:tc>
        <w:tc>
          <w:tcPr>
            <w:tcW w:w="1260" w:type="dxa"/>
            <w:vAlign w:val="bottom"/>
            <w:tcBorders>
              <w:top w:val="single" w:sz="8" w:color="0000EE"/>
            </w:tcBorders>
            <w:gridSpan w:val="3"/>
          </w:tcPr>
          <w:p>
            <w:pPr>
              <w:spacing w:after="0"/>
              <w:rPr>
                <w:sz w:val="21"/>
                <w:szCs w:val="21"/>
                <w:color w:val="auto"/>
              </w:rPr>
            </w:pPr>
          </w:p>
        </w:tc>
        <w:tc>
          <w:tcPr>
            <w:tcW w:w="7040" w:type="dxa"/>
            <w:vAlign w:val="bottom"/>
            <w:gridSpan w:val="9"/>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20" w:type="dxa"/>
            <w:vAlign w:val="bottom"/>
            <w:gridSpan w:val="11"/>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5.</w:t>
              </w:r>
            </w:hyperlink>
          </w:p>
        </w:tc>
        <w:tc>
          <w:tcPr>
            <w:tcW w:w="1340" w:type="dxa"/>
            <w:vAlign w:val="bottom"/>
            <w:gridSpan w:val="5"/>
          </w:tcPr>
          <w:p>
            <w:pPr>
              <w:ind w:left="20"/>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Other Information</w:t>
              </w:r>
            </w:hyperlink>
          </w:p>
        </w:tc>
        <w:tc>
          <w:tcPr>
            <w:tcW w:w="8020" w:type="dxa"/>
            <w:vAlign w:val="bottom"/>
            <w:gridSpan w:val="11"/>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8020" w:type="dxa"/>
            <w:vAlign w:val="bottom"/>
            <w:gridSpan w:val="11"/>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6.</w:t>
              </w:r>
            </w:hyperlink>
          </w:p>
        </w:tc>
        <w:tc>
          <w:tcPr>
            <w:tcW w:w="1340" w:type="dxa"/>
            <w:vAlign w:val="bottom"/>
            <w:gridSpan w:val="5"/>
          </w:tcPr>
          <w:p>
            <w:pPr>
              <w:ind w:left="20"/>
              <w:spacing w:after="0"/>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8020" w:type="dxa"/>
            <w:vAlign w:val="bottom"/>
            <w:gridSpan w:val="11"/>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740" w:type="dxa"/>
            <w:vAlign w:val="bottom"/>
            <w:gridSpan w:val="1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5"/>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SIGNATURES</w:t>
              </w:r>
            </w:hyperlink>
          </w:p>
        </w:tc>
        <w:tc>
          <w:tcPr>
            <w:tcW w:w="8920" w:type="dxa"/>
            <w:vAlign w:val="bottom"/>
            <w:gridSpan w:val="14"/>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740" w:type="dxa"/>
            <w:vAlign w:val="bottom"/>
            <w:gridSpan w:val="1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gridSpan w:val="6"/>
          </w:tcPr>
          <w:p>
            <w:pPr>
              <w:spacing w:after="0"/>
              <w:rPr>
                <w:rFonts w:ascii="Arial" w:cs="Arial" w:eastAsia="Arial" w:hAnsi="Arial"/>
                <w:sz w:val="18"/>
                <w:szCs w:val="18"/>
                <w:color w:val="0000EE"/>
                <w:w w:val="95"/>
              </w:rPr>
            </w:pPr>
            <w:hyperlink w:anchor="page54">
              <w:r>
                <w:rPr>
                  <w:rFonts w:ascii="Arial" w:cs="Arial" w:eastAsia="Arial" w:hAnsi="Arial"/>
                  <w:sz w:val="18"/>
                  <w:szCs w:val="18"/>
                  <w:color w:val="0000EE"/>
                  <w:w w:val="95"/>
                </w:rPr>
                <w:t>EXHIBIT INDEX</w:t>
              </w:r>
            </w:hyperlink>
          </w:p>
        </w:tc>
        <w:tc>
          <w:tcPr>
            <w:tcW w:w="8740" w:type="dxa"/>
            <w:vAlign w:val="bottom"/>
            <w:gridSpan w:val="13"/>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1"/>
                <w:szCs w:val="21"/>
                <w:color w:val="auto"/>
              </w:rPr>
            </w:pPr>
          </w:p>
        </w:tc>
        <w:tc>
          <w:tcPr>
            <w:tcW w:w="1340" w:type="dxa"/>
            <w:vAlign w:val="bottom"/>
          </w:tcPr>
          <w:p>
            <w:pPr>
              <w:jc w:val="right"/>
              <w:ind w:right="271"/>
              <w:spacing w:after="0"/>
              <w:rPr>
                <w:sz w:val="20"/>
                <w:szCs w:val="20"/>
                <w:color w:val="auto"/>
              </w:rPr>
            </w:pPr>
            <w:r>
              <w:rPr>
                <w:rFonts w:ascii="Arial" w:cs="Arial" w:eastAsia="Arial" w:hAnsi="Arial"/>
                <w:sz w:val="14"/>
                <w:szCs w:val="14"/>
                <w:b w:val="1"/>
                <w:bCs w:val="1"/>
                <w:color w:val="auto"/>
              </w:rPr>
              <w:t>(See Note 1)</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59,219</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11,635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8,756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Supplies inventory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58,207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73,627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Finite-lived intangible assets, net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13,333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14,133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83,659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101,034</w:t>
            </w:r>
          </w:p>
        </w:tc>
        <w:tc>
          <w:tcPr>
            <w:tcW w:w="0" w:type="dxa"/>
            <w:vAlign w:val="bottom"/>
          </w:tcPr>
          <w:p>
            <w:pPr>
              <w:spacing w:after="0"/>
              <w:rPr>
                <w:sz w:val="1"/>
                <w:szCs w:val="1"/>
                <w:color w:val="auto"/>
              </w:rPr>
            </w:pPr>
          </w:p>
        </w:tc>
      </w:tr>
      <w:tr>
        <w:trPr>
          <w:trHeight w:val="210"/>
        </w:trPr>
        <w:tc>
          <w:tcPr>
            <w:tcW w:w="83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8,058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9,110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11,534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24,997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24,918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liability,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rent, net of current portion</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4,245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41,453</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80"/>
              <w:spacing w:after="0"/>
              <w:rPr>
                <w:sz w:val="20"/>
                <w:szCs w:val="20"/>
                <w:color w:val="auto"/>
              </w:rPr>
            </w:pPr>
            <w:r>
              <w:rPr>
                <w:rFonts w:ascii="Arial" w:cs="Arial" w:eastAsia="Arial" w:hAnsi="Arial"/>
                <w:sz w:val="18"/>
                <w:szCs w:val="18"/>
                <w:color w:val="auto"/>
                <w:w w:val="97"/>
              </w:rPr>
              <w:t>Preferred stock, $0.001 par value; 5,000,000 shares authorized, no shares issued and outstanding as of</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40"/>
              <w:spacing w:after="0"/>
              <w:rPr>
                <w:sz w:val="20"/>
                <w:szCs w:val="20"/>
                <w:color w:val="auto"/>
              </w:rPr>
            </w:pPr>
            <w:r>
              <w:rPr>
                <w:rFonts w:ascii="Arial" w:cs="Arial" w:eastAsia="Arial" w:hAnsi="Arial"/>
                <w:sz w:val="18"/>
                <w:szCs w:val="18"/>
                <w:color w:val="auto"/>
              </w:rPr>
              <w:t>September 30, 2017 and December 31, 2016</w:t>
            </w:r>
          </w:p>
        </w:tc>
        <w:tc>
          <w:tcPr>
            <w:tcW w:w="2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Common stock, $0.001 par value; 125,000,000 shares authorized, 33,977,840 and 33,762,278 shares issued</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and outstanding as of September 30, 2017 and December 31, 2016,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245,430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239,631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(180,084)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42,816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59,581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83,659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101,034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and per share amounts</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4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64"/>
        </w:trPr>
        <w:tc>
          <w:tcPr>
            <w:tcW w:w="60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46,828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18,947</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3,046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4,006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10,679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11,734</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and marketing</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22,416</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5,520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5,763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17,731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18,062</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23,887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23,489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72,851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71,959</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(25,131)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(1,951)</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and comprehensive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(22,564)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(26,955)</w:t>
            </w:r>
          </w:p>
        </w:tc>
      </w:tr>
      <w:tr>
        <w:trPr>
          <w:trHeight w:val="25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common share, basic and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8"/>
                <w:szCs w:val="18"/>
                <w:color w:val="auto"/>
              </w:rPr>
              <w:t>Shares used to compute net loss per common share, basic and diluted</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33,946,748</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27,916,819</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33,881,705</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27,865,100</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of dollars)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(22,564)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(26,955)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Bad debt expense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Loss on disposal of property and equipment</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Genzyme co-promotion fee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Conversion of accrued interest on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and write-off of debt discount and issuance costs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on debt balloon payment and prepayment penalty</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Supplies inventory</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current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liabilities and deferred rent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sale of property and equipment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restricted cash</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the issuance of long-term debt, net of debt issuance costs</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24,452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 of end-of-term debt obligation and prepayment penalty</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issuance of common stock in a public offering, net of costs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 of capital lease liability</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exercise of common stock options and employee stock purchases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20,127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59,219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39,084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41,195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31,699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Supplementary cash flow information of non-cash investing and financing activities:</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 included in accounts payable and accrued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Veracyte, Inc. (“Veracyte” or the “Company”) was incorporated in the state of Delaware on August 15, 2006 as Calderome, Inc. Calderome operated as an incubator until early 2008. On March 4, 2008, the Company changed its name to Veracyte, Inc. The Company’s operations are based in South San Francisco, California and Austin, Texas, and it operates in one segment.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Veracyte is a leading genomic diagnostics company that is fundamentally improving patient care by resolving diagnostic uncertainty with evidence that is trustworthy and actionable. The Company's products uniquely combine genomic technology, clinical science and machine learning to provide answers that give physicians and patients a clear path forward without risky, costly surgery that is often unnecessary.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the Company's founding in 2008, it has commercialized three genomic tests that it believes are transforming diagnostics:</w:t>
      </w:r>
    </w:p>
    <w:p>
      <w:pPr>
        <w:spacing w:after="0" w:line="225" w:lineRule="exact"/>
        <w:rPr>
          <w:sz w:val="20"/>
          <w:szCs w:val="20"/>
          <w:color w:val="auto"/>
        </w:rPr>
      </w:pPr>
    </w:p>
    <w:p>
      <w:pPr>
        <w:jc w:val="both"/>
        <w:ind w:left="1060"/>
        <w:spacing w:after="0" w:line="291" w:lineRule="auto"/>
        <w:rPr>
          <w:sz w:val="20"/>
          <w:szCs w:val="20"/>
          <w:color w:val="auto"/>
        </w:rPr>
      </w:pPr>
      <w:r>
        <w:rPr>
          <w:rFonts w:ascii="Arial" w:cs="Arial" w:eastAsia="Arial" w:hAnsi="Arial"/>
          <w:sz w:val="16"/>
          <w:szCs w:val="16"/>
          <w:i w:val="1"/>
          <w:iCs w:val="1"/>
          <w:color w:val="auto"/>
        </w:rPr>
        <w:t xml:space="preserve">Afirma Thyroid FNA Analysis </w:t>
      </w:r>
      <w:r>
        <w:rPr>
          <w:rFonts w:ascii="Arial" w:cs="Arial" w:eastAsia="Arial" w:hAnsi="Arial"/>
          <w:sz w:val="16"/>
          <w:szCs w:val="16"/>
          <w:color w:val="auto"/>
        </w:rPr>
        <w:t>- The Afirma genomic classifiers, specifically the Afirma Gene Expression Classifier, or GEC, and the recently</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commercialized Afirma Genomic Sequencing Classifier, or GSC, employ proprietary gene signatures to determine whether thyroid nodules previously classified by cytopathology as indeterminate can be reclassified as benign, thus enabling the patient to avoid an unnecessary surgery. The new Afirma GSC uniquely combines RNA sequencing and machine learning to leverage more enriched, previously undetectable genomic information. It can identify 30 percent more benign thyroid nodules among those deemed indeterminate following cytopathology. Afirma GSC also provides classifiers that can further guide surgery if cancer is found, including classifiers for medullary thyroid cancer, the BRAF V600E variant, and classifiers to identify RET/PTC1 and RET/PTC3 fusions, which are typically associated with cancer.</w:t>
      </w:r>
    </w:p>
    <w:p>
      <w:pPr>
        <w:spacing w:after="0" w:line="167" w:lineRule="exact"/>
        <w:rPr>
          <w:sz w:val="20"/>
          <w:szCs w:val="20"/>
          <w:color w:val="auto"/>
        </w:rPr>
      </w:pPr>
    </w:p>
    <w:p>
      <w:pPr>
        <w:jc w:val="both"/>
        <w:ind w:left="1060"/>
        <w:spacing w:after="0" w:line="279" w:lineRule="auto"/>
        <w:rPr>
          <w:sz w:val="20"/>
          <w:szCs w:val="20"/>
          <w:color w:val="auto"/>
        </w:rPr>
      </w:pPr>
      <w:r>
        <w:rPr>
          <w:rFonts w:ascii="Arial" w:cs="Arial" w:eastAsia="Arial" w:hAnsi="Arial"/>
          <w:sz w:val="17"/>
          <w:szCs w:val="17"/>
          <w:i w:val="1"/>
          <w:iCs w:val="1"/>
          <w:color w:val="auto"/>
        </w:rPr>
        <w:t xml:space="preserve">Percepta Bronchial Genomic Classifier - </w:t>
      </w:r>
      <w:r>
        <w:rPr>
          <w:rFonts w:ascii="Arial" w:cs="Arial" w:eastAsia="Arial" w:hAnsi="Arial"/>
          <w:sz w:val="17"/>
          <w:szCs w:val="17"/>
          <w:color w:val="auto"/>
        </w:rPr>
        <w:t>The 23-gene Percepta classifier improves lung cancer screening and diagnosis by identifying patients</w:t>
      </w:r>
      <w:r>
        <w:rPr>
          <w:rFonts w:ascii="Arial" w:cs="Arial" w:eastAsia="Arial" w:hAnsi="Arial"/>
          <w:sz w:val="17"/>
          <w:szCs w:val="17"/>
          <w:i w:val="1"/>
          <w:iCs w:val="1"/>
          <w:color w:val="auto"/>
        </w:rPr>
        <w:t xml:space="preserve"> </w:t>
      </w:r>
      <w:r>
        <w:rPr>
          <w:rFonts w:ascii="Arial" w:cs="Arial" w:eastAsia="Arial" w:hAnsi="Arial"/>
          <w:sz w:val="17"/>
          <w:szCs w:val="17"/>
          <w:color w:val="auto"/>
        </w:rPr>
        <w:t>at low risk of cancer among those whose lung nodules are not clearly benign or malignant following traditional evaluation. The Percepta classifier analyzes genomic changes that occur in the epithelial cells lining the airways, which we call the field of injury, of current or former smokers to assess a patient’s risk of having lung cancer, without the need to test the often-hard-to-reach nodule directly.</w:t>
      </w:r>
    </w:p>
    <w:p>
      <w:pPr>
        <w:spacing w:after="0" w:line="171" w:lineRule="exact"/>
        <w:rPr>
          <w:sz w:val="20"/>
          <w:szCs w:val="20"/>
          <w:color w:val="auto"/>
        </w:rPr>
      </w:pPr>
    </w:p>
    <w:p>
      <w:pPr>
        <w:jc w:val="both"/>
        <w:ind w:left="1060"/>
        <w:spacing w:after="0" w:line="279" w:lineRule="auto"/>
        <w:rPr>
          <w:sz w:val="20"/>
          <w:szCs w:val="20"/>
          <w:color w:val="auto"/>
        </w:rPr>
      </w:pPr>
      <w:r>
        <w:rPr>
          <w:rFonts w:ascii="Arial" w:cs="Arial" w:eastAsia="Arial" w:hAnsi="Arial"/>
          <w:sz w:val="17"/>
          <w:szCs w:val="17"/>
          <w:i w:val="1"/>
          <w:iCs w:val="1"/>
          <w:color w:val="auto"/>
        </w:rPr>
        <w:t xml:space="preserve">Envisia Genomic Classifier </w:t>
      </w:r>
      <w:r>
        <w:rPr>
          <w:rFonts w:ascii="Arial" w:cs="Arial" w:eastAsia="Arial" w:hAnsi="Arial"/>
          <w:sz w:val="17"/>
          <w:szCs w:val="17"/>
          <w:color w:val="auto"/>
        </w:rPr>
        <w:t>- Commercialized in October 2016, the Envisia classifier is designed to improve physicians’ ability to differentiate</w:t>
      </w:r>
      <w:r>
        <w:rPr>
          <w:rFonts w:ascii="Arial" w:cs="Arial" w:eastAsia="Arial" w:hAnsi="Arial"/>
          <w:sz w:val="17"/>
          <w:szCs w:val="17"/>
          <w:i w:val="1"/>
          <w:iCs w:val="1"/>
          <w:color w:val="auto"/>
        </w:rPr>
        <w:t xml:space="preserve"> </w:t>
      </w:r>
      <w:r>
        <w:rPr>
          <w:rFonts w:ascii="Arial" w:cs="Arial" w:eastAsia="Arial" w:hAnsi="Arial"/>
          <w:sz w:val="17"/>
          <w:szCs w:val="17"/>
          <w:color w:val="auto"/>
        </w:rPr>
        <w:t>idiopathic pulmonary fibrosis, or IPF, from other interstitial lung diseases, or ILD, without the need for invasive and potentially risky surgery. The Envisia classifier uses machine learning coupled with powerful, deep RNA sequencing to detect the presence or absence of usual interstitial pneumonia, or UIP, a classic diagnostic pattern whose presence is essential for the diagnosis of IPF.</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the Company's testing services are made available through its clinical reference laboratories located in South San Francisco, California and Austin, Texas, which are each certified under the Clinical Laboratory Improvement Amendments of 1988, or CLIA.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Company’s financial statements have been prepared in accordance with accounting principles generally accepted in the United States (“GAAP”). Certain information and note disclosures normally included in financial statements prepared in accordance with GAAP have been condensed or omitted pursuant to such rules and regulations. The condensed balance sheet as of September 30, 2017, the condensed statements of operations and comprehensive loss for the three and nine months ended September 30, 2017 and 2016, and the condensed statements of cash flows for the nine months ended September 30, 2017 and 2016 are unaudited, but include all adjustments, consisting only of normal recurring adjustments, which the Company considers necessary for a fair presentation of its financial position, operating results and cash flows for the periods presented. The condensed balance sheet at December 31, 2016 has been derived from audited financial statements. The results for the three and nine months ended September 30, 2017 are not necessarily indicative of the results expected for the full year or any other period.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accompanying interim period condensed financial statements and related financial information included in this Quarterly Report on Form 10-Q should be read in conjunction with the audited financial statements and notes thereto included in the Company’s Annual Report on Form 10-K for the year ended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preparation of unaudited interim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contractual allowances; the useful lives of property and equipment; the recoverability of long-lived assets; the estimation of the fair value of intangible assets; stock options;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majority of the Company’s cash and cash equivalents are deposited with one major financial institution in the United States. Deposits in this institution may exceed the amount of insurance provided on such deposits. The Company has not experienced any losses on its deposits of cash and cash equivalents.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also subject to credit risk from its accounts receivable related to its sales. The Company generally does not perform evaluations of customers’ financial condition and generally does not require collateral.</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Through September 30, 2017, most of the Company’s revenue has been derived from the sale of Afirma. To date, Afirma has been delivered primarily to physicians in the United States. The Company’s third-party payers in excess of 10% of revenue and their related revenue as a percentage of total revenue were as follows: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26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 September 30,</w:t>
            </w:r>
          </w:p>
        </w:tc>
        <w:tc>
          <w:tcPr>
            <w:tcW w:w="3160" w:type="dxa"/>
            <w:vAlign w:val="bottom"/>
            <w:gridSpan w:val="5"/>
          </w:tcPr>
          <w:p>
            <w:pPr>
              <w:jc w:val="right"/>
              <w:ind w:right="416"/>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UnitedHealthcare</w:t>
            </w: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20" w:type="dxa"/>
            <w:vAlign w:val="bottom"/>
            <w:gridSpan w:val="11"/>
          </w:tcPr>
          <w:p>
            <w:pPr>
              <w:jc w:val="right"/>
              <w:spacing w:after="0"/>
              <w:rPr>
                <w:sz w:val="20"/>
                <w:szCs w:val="20"/>
                <w:color w:val="auto"/>
              </w:rPr>
            </w:pPr>
            <w:r>
              <w:rPr>
                <w:rFonts w:ascii="Arial" w:cs="Arial" w:eastAsia="Arial" w:hAnsi="Arial"/>
                <w:sz w:val="18"/>
                <w:szCs w:val="18"/>
                <w:color w:val="auto"/>
                <w:w w:val="99"/>
              </w:rPr>
              <w:t>The Company’s significant third-party payers and their related accounts receivable balance as a percentage of total accounts receivable were as</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follows:</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5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4"/>
          </w:tcPr>
          <w:p>
            <w:pPr>
              <w:ind w:left="260"/>
              <w:spacing w:after="0"/>
              <w:rPr>
                <w:sz w:val="20"/>
                <w:szCs w:val="20"/>
                <w:color w:val="auto"/>
              </w:rPr>
            </w:pPr>
            <w:r>
              <w:rPr>
                <w:rFonts w:ascii="Arial" w:cs="Arial" w:eastAsia="Arial" w:hAnsi="Arial"/>
                <w:sz w:val="14"/>
                <w:szCs w:val="14"/>
                <w:b w:val="1"/>
                <w:bCs w:val="1"/>
                <w:color w:val="auto"/>
              </w:rPr>
              <w:t>September 30,</w:t>
            </w:r>
          </w:p>
        </w:tc>
        <w:tc>
          <w:tcPr>
            <w:tcW w:w="15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92"/>
        </w:trPr>
        <w:tc>
          <w:tcPr>
            <w:tcW w:w="500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0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other third-party payer represented more than 10% of the Company’s accounts receivable balances as of those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had deposits of $120,000 included in current assets as of December 31, 2016, pledged for corporate credit cards and there was no such restricted amounts as of September 30, 2017. The Company also had deposits of $603,000 included in long-term assets as of September 30, 2017 and December 31, 2016, restricted from withdrawal and held by a bank in the form of collateral for an irrevocable standby letter of credit held as security for the lease of the Company’s South San Francisco facility.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Company recognizes revenue in accordance with the provision of ASC 954-605, </w:t>
      </w:r>
      <w:r>
        <w:rPr>
          <w:rFonts w:ascii="Arial" w:cs="Arial" w:eastAsia="Arial" w:hAnsi="Arial"/>
          <w:sz w:val="17"/>
          <w:szCs w:val="17"/>
          <w:i w:val="1"/>
          <w:iCs w:val="1"/>
          <w:color w:val="auto"/>
        </w:rPr>
        <w:t>Health Care Entities — Revenue Recognition</w:t>
      </w:r>
      <w:r>
        <w:rPr>
          <w:rFonts w:ascii="Arial" w:cs="Arial" w:eastAsia="Arial" w:hAnsi="Arial"/>
          <w:sz w:val="17"/>
          <w:szCs w:val="17"/>
          <w:color w:val="auto"/>
        </w:rPr>
        <w:t xml:space="preserve"> ("ASC 954")</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Company’s revenue is generated from the provision of diagnostic services. The service is completed upon the delivery of test results to the prescribing physician, at which time the Company bills for the service. The Company recognizes revenue related to billings for tests delivered on an accrual basis when amounts that will ultimately be realized can be estimated. The estimates of amounts that will ultimately be realized require significant judgment by management. Until a contract has been negotiated with a commercial payer or governmental program, the Company's tests may or may not be covered by these entities’ existing reimbursement policies. In addition, patients do not enter into direct agreements with the Company that commit them to pay any portion of the cost of the tests in the event that their insurance declines to reimburse the Company.</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may bill the patient directly for these amounts in the form of co-payments and co-insurance in accordance with their insurance carrier and health plans. In the absence of the ability to estimate the amount that will ultimately be realized for the Company’s services, revenue is recognized on the cash basis.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recognized for the three and nine months ended September 30, 2017 and 2016 was as follows (in thousands of dollars):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ind w:left="580"/>
              <w:spacing w:after="0"/>
              <w:rPr>
                <w:sz w:val="20"/>
                <w:szCs w:val="20"/>
                <w:color w:val="auto"/>
              </w:rPr>
            </w:pPr>
            <w:r>
              <w:rPr>
                <w:rFonts w:ascii="Arial" w:cs="Arial" w:eastAsia="Arial" w:hAnsi="Arial"/>
                <w:sz w:val="14"/>
                <w:szCs w:val="14"/>
                <w:b w:val="1"/>
                <w:bCs w:val="1"/>
                <w:color w:val="auto"/>
                <w:w w:val="94"/>
              </w:rPr>
              <w:t>Three Months Ended 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auto"/>
                <w:w w:val="96"/>
              </w:rPr>
              <w:t>Nine Months Ended September 30,</w:t>
            </w:r>
          </w:p>
        </w:tc>
        <w:tc>
          <w:tcPr>
            <w:tcW w:w="760" w:type="dxa"/>
            <w:vAlign w:val="bottom"/>
            <w:tcBorders>
              <w:bottom w:val="single" w:sz="8" w:color="auto"/>
            </w:tcBorders>
          </w:tcPr>
          <w:p>
            <w:pPr>
              <w:spacing w:after="0"/>
              <w:rPr>
                <w:sz w:val="16"/>
                <w:szCs w:val="16"/>
                <w:color w:val="auto"/>
              </w:rPr>
            </w:pPr>
          </w:p>
        </w:tc>
      </w:tr>
      <w:tr>
        <w:trPr>
          <w:trHeight w:val="264"/>
        </w:trPr>
        <w:tc>
          <w:tcPr>
            <w:tcW w:w="36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 on the accrual basis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17,257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13,903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50,007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31,478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Revenue recognized on the cash basis</w:t>
            </w:r>
          </w:p>
        </w:tc>
        <w:tc>
          <w:tcPr>
            <w:tcW w:w="24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4,700</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15,350</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3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17,519</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18,603</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52,357</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46,828</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Prior to July 1, 2016, the Company accrued less than 50% of the billed Afirma genomic test volume per fiscal period. The Company believed it did not have a consistent enough payment history to accrue the remaining Afirma genomic classifier tests delivered to customers and, as noted above, recognized revenue on the cash basis for such tests. The Company has been analyzing the amounts received for tests performed since commercialization, and during the quarter ended September 30, 2016, sufficient information developed to support a reasonable estimate of the amount of revenue to accrue upon test delivery for a number of payers that had been previously recognized on the cash basis. As a result, starting in the quarter ended September 30, 2016, the Company began accruing substantially all of its billed Afirma genomic test volume. In determining the amount to accrue for a particular test, the Company considered factors such as payer coverage, whether there is a reimbursement contract between the payer and the Company, timeliness of payment, payment as a percentage of agreed upon rate (if applicable), amount paid per test and any current developments or changes that could impact reimbursement. As a result, the Company recognized $3.5 million of incremental revenue during the quarter ended September 30, 2016 upon test delivery that previously would not have been recognized until cash was received. Tests performed prior to July 1, 2016 that did not meet the Company’s accrual criteria at the time of delivery will continue to be recognized as revenue on the cash basis. In the quarter ended June 30, 2017, as a result of the related cash collections being higher than previously estimated and cash collection trends, the Company updated its revenue estimates and recognized an additional $1.0 million of revenue for certain tests performed in the six months ended December 31, 2016.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May 2014, the Financial Accounting Standards Board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to supersede nearly all existing revenue recognition guidance under GAAP. The core principle of ASU 2014-09 is to recognize revenues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are required under existing GAAP. The Company will adopt the new revenue standard as of January 1, 2018 using the modified retrospective method. The Company has completed its assessment of the five steps of this ASU and believes that the adoption of this ASU will not result in a material cumulative catch-up adjustment under the modified retrospective method, or have a material impact on the Company's financial position or results of operations.</w:t>
      </w:r>
    </w:p>
    <w:p>
      <w:pPr>
        <w:spacing w:after="0" w:line="1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In February 2016, the FASB issued ASU No. 2016-2, </w:t>
      </w:r>
      <w:r>
        <w:rPr>
          <w:rFonts w:ascii="Arial" w:cs="Arial" w:eastAsia="Arial" w:hAnsi="Arial"/>
          <w:sz w:val="18"/>
          <w:szCs w:val="18"/>
          <w:i w:val="1"/>
          <w:iCs w:val="1"/>
          <w:color w:val="auto"/>
        </w:rPr>
        <w:t>Leases</w:t>
      </w:r>
      <w:r>
        <w:rPr>
          <w:rFonts w:ascii="Arial" w:cs="Arial" w:eastAsia="Arial" w:hAnsi="Arial"/>
          <w:sz w:val="18"/>
          <w:szCs w:val="18"/>
          <w:color w:val="auto"/>
        </w:rPr>
        <w:t>. This ASU is aimed at making leasing activities more transparent and comparable, and requires substantially all leases be recognized by lessees on their balance sheet as a right-of-use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 and corresponding lease liability, including leases currently accounted for as operating leases. The ASU will be effective for interim and annual periods beginning after December 15, 2018. Entities are required to use a modified retrospective approach for leases that exist or are entered into after the beginning of the earliest comparative period in the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Full retrospective application is prohibited and early adoption is permitted. The Company is currently evaluating the potential effect of this standard on its financial statements.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March 2016, the FASB issued ASU 2016-9,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related to the tax effects of share-based awards. The ASU requires that all the tax effects of share-based awards be recorded through the income statement, thereby simplifying the current guidance that requires excess tax benefits and certain excess tax deficiencies to be recorded in equity. This ASU also permits an election for the impact of forfeitures on the recognition of expense for share-based payment awards where forfeitures can be estimated or recognized when they occur. This ASU is effective for interim and annual periods beginning after December 15, 2016. The Company adopted this ASU as of January 1, 2017 and elected to continue using its forfeiture estimation method for share-based payment awards. This ASU was adopted prospectively and the impact of adoption on the Company's financial statements was not material.</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 Restricted Cash.</w:t>
      </w:r>
      <w:r>
        <w:rPr>
          <w:rFonts w:ascii="Arial" w:cs="Arial" w:eastAsia="Arial" w:hAnsi="Arial"/>
          <w:sz w:val="18"/>
          <w:szCs w:val="18"/>
          <w:color w:val="auto"/>
        </w:rPr>
        <w:t xml:space="preserve"> This ASU requires that restricted cash and restricted cash equivalents be included with cash and cash equivalents when reconciling the beginning-of-period and end-of-period total amounts shown on the statement of cash flows. The ASU will be effective for interim and annual periods beginning after December 15, 2017. The Company does not anticipate that the adoption of this ASU will have a significant impact on its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Common Share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The following outstanding common stock equivalents have been excluded from diluted net loss per common share because their inclusion would be anti-dilutive:</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06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of common stock subject to outstanding options</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6,322,215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5,312,081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6,134,966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5,031,926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Employee stock purchase plan</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25,481</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29,435</w:t>
            </w:r>
          </w:p>
        </w:tc>
        <w:tc>
          <w:tcPr>
            <w:tcW w:w="10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31,944</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34,262</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70,000</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59,945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common stock equivalents</w:t>
            </w:r>
          </w:p>
        </w:tc>
        <w:tc>
          <w:tcPr>
            <w:tcW w:w="15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6,417,696</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5,341,516</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6,226,855</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5,066,188</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(in thousands of dollars):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CCEEFF"/>
            </w:tcBorders>
          </w:tcPr>
          <w:p>
            <w:pPr>
              <w:spacing w:after="0"/>
              <w:rPr>
                <w:sz w:val="16"/>
                <w:szCs w:val="16"/>
                <w:color w:val="auto"/>
              </w:rPr>
            </w:pPr>
          </w:p>
        </w:tc>
        <w:tc>
          <w:tcPr>
            <w:tcW w:w="4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expenses</w:t>
            </w:r>
          </w:p>
        </w:tc>
        <w:tc>
          <w:tcPr>
            <w:tcW w:w="4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6,120</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Accrued other</w:t>
            </w:r>
          </w:p>
        </w:tc>
        <w:tc>
          <w:tcPr>
            <w:tcW w:w="4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3,092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liabilities</w:t>
            </w:r>
          </w:p>
        </w:tc>
        <w:tc>
          <w:tcPr>
            <w:tcW w:w="4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8,058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9,110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bottom w:val="single" w:sz="8" w:color="CCEEFF"/>
            </w:tcBorders>
            <w:vMerge w:val="restart"/>
          </w:tcPr>
          <w:p>
            <w:pPr>
              <w:jc w:val="right"/>
              <w:ind w:right="2490"/>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2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recognizes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the Company’s debt approximates its fair value because the interest rate approximates market rates that the Company could obtain for debt with similar terms. The estimated fair value of the Company’s debt is estimated using the net present value of the payments, discounted at an interest rate that is consistent with market interest rates, which is a Level II input.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97"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the Company’s financial assets, which consist only of money market funds, was $40.7 million and $58.7 million as of September 30, 2017 and December 31, 2016, respectively, and are Level I assets as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leases its headquarters and laboratory facilities in South San Francisco, California under a non-cancelable lease agreement for approximately 59,000 square feet. The lease began in June 2015 and ends in March 2026 and contains extension of lease term and expansion options. In February 2017, the Company relinquished certain expansion rights for a nominal fee. The Company had deposits of $603,000 included in long-term assets as of September 30, 2017 and December 31, 2016, restricted from withdrawal and held by a bank in the form of collateral for an irrevocable standby letter of credit held as security for the lease of the South San Francisco facility.</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also leases laboratory and office space in Austin, Texas under a lease that expires in January 2029 and includes options for expansion and early termination in 2025. The related cash security deposit of $139,000 as of September 30, 2017 and $75,000 as of December 31, 2016 is included in other assets in the Company’s condensed balance sheets.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Future minimum lease payments under non-cancelable operating leases as of September 30, 2017 are as follows (in thousands of dollars):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Remainder of 2017</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2,121</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2,227</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2,332</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2,401</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11,856</w:t>
            </w: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minimum lease payments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21,476</w:t>
            </w: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recognizes rent expense on a straight-line basis over the non-cancelable lease period. Rent expense was $469,000 and $457,000 for the three months ended September 30, 2017 and 2016, respectively, and $1.4 million and $1.5 million for the nine months ended September 30, 2017 and 2016,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From time to time, the Company may be involved in legal proceedings arising in the ordinary course of business. The Company assesses contingencies to determine the degree of probability and range of possible loss for potential accrual in its financial statements. An estimated loss contingency is accrued in the financial statements if it is probable that a liability has been incurred and the amount of the loss can be reasonably estimated. The Company believes there is no litigation pending that could have, individually or in the aggregate, a material adverse effect on the Company’s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March 2016, the Company entered into a credit agreement (the “Credit Agreement”) with Visium Healthcare Partners, LP (“Visium”). Under the Credit Agreement, two term loans were available to the Company with an aggregate principal amount of up to $40.0 million. The Company drew down the initial $25.0 million term loan (the “Term Loan”) on March 30, 2016, of which $5.0 million was used to pay the outstanding balance of the Company’s existing long-term debt, which was cancelled at that date. On or prior to June 30, 2017, the Company was permitted to request a second term loan of up to $15.0 million; however, the Company did not draw down the second term loan and it expired. The Term Loan matures on March 31, 2022.</w:t>
      </w:r>
    </w:p>
    <w:p>
      <w:pPr>
        <w:spacing w:after="0" w:line="15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Term Loan bears interest at a fixed rate of 12.0% per annum, payable quarterly at the end of each March, June, September and December. No principal payments will be due during an interest-only period, commencing on the funding date for the Term Loan (the “Borrowing Date”) and continuing through and including March 31, 2020. The Company is obligated to repay the outstanding principal amount under the Term Loan in eight equal installments during the final two years under the Credit Agreement. For any quarterly interest payment through and including the 16th interest payment date after the Borrowing Date, so long as no event of default has occurred and is then continuing, the Company may elect to pay interest in cash on the outstanding principal amount of the Term Loan at a fixed rate of 9.0%, with the remaining 3.0% of the 12.0% interest paid-in-kind by adding such paid-in-kind interest to the outstanding principal amount of the Term Loan. The Company elected to pay interest in-kind for the quarters ended June 30, 2016 and September 30, 2016 and has recorded a total of $385,000 of paid-in-kind interest through September 30, 2017.</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may prepay the outstanding principal amount under the Term Loan subject to a minimum of $5.0 million of principal amount or a whole multiple of $1.0 million in excess thereof plus accrued and unpaid interest and a prepayment premium. The prepayment premium will be assessed on the principal amount repaid and will equal (i) 24.0% less the aggregate amount of all interest payments in cash, if the prepayment is made on or prior to March 31, 2018, (ii) 4.0%, if the prepayment is made after March 31, 2018 and on or prior to March 31, 2019, (iii) 2.0%, if the prepayment is made after March 31, 2019 and on or prior to March 31, 2020, and (iv) 1.0%, if the prepayment is made after March 31, 2020 and on or prior to March 31, 2021. After March 31, 2021 there is no prepayment premium.</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obligations under the Credit Agreement are secured by a security interest in substantially all of its assets. The Credit Agreement contains customary representations, warranties and events of default, as well as affirmative and negative covenants. The negative covenants include, among other provisions, covenants that limit or restrict the Company’s ability to incur liens, make investments, incur indebtedness, merge with or acquire other entities, dispose of assets, make dividends or other distributions to holders of its equity interests, engage in any material new line of business or enter into certain transactions with affiliates, in each case subject to certain exceptions. To the extent the Company forms or acquires certain subsidiaries domiciled in the United States, those subsidiaries are required to be guarantors of the Company’s obligations under the Credit Agreement. As of September 30, 2017, the Company was in compliance with the loan covenants.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11. Subsequent Events for additional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of September 30, 2017, the net debt obligation for borrowings made under the Credit Agreement was as follows (in thousands of dollars):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82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0"/>
              </w:rPr>
              <w:t>September 30, 2017</w:t>
            </w: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Debt principal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25,385</w:t>
            </w:r>
          </w:p>
        </w:tc>
        <w:tc>
          <w:tcPr>
            <w:tcW w:w="0" w:type="dxa"/>
            <w:vAlign w:val="bottom"/>
          </w:tcPr>
          <w:p>
            <w:pPr>
              <w:spacing w:after="0"/>
              <w:rPr>
                <w:sz w:val="1"/>
                <w:szCs w:val="1"/>
                <w:color w:val="auto"/>
              </w:rPr>
            </w:pP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Unamortized deferred debt issuance costs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debt obligation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24,997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900" w:type="dxa"/>
            <w:vAlign w:val="bottom"/>
            <w:gridSpan w:val="2"/>
            <w:vMerge w:val="restart"/>
          </w:tcPr>
          <w:p>
            <w:pPr>
              <w:ind w:left="620"/>
              <w:spacing w:after="0"/>
              <w:rPr>
                <w:sz w:val="20"/>
                <w:szCs w:val="20"/>
                <w:color w:val="auto"/>
              </w:rPr>
            </w:pPr>
            <w:r>
              <w:rPr>
                <w:rFonts w:ascii="Arial" w:cs="Arial" w:eastAsia="Arial" w:hAnsi="Arial"/>
                <w:sz w:val="18"/>
                <w:szCs w:val="18"/>
                <w:color w:val="auto"/>
              </w:rPr>
              <w:t>Future principal payments under the Credit Agreement are as follows (in thousands of dollars):</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99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9,519</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8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12,693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2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57"/>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25,385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and Security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June 2013, the Company entered into a loan and security agreement as subsequently amended (“2013 Loan Agreement”) with a financial institution that provided for borrowings of up to $10.0 million in aggregate. Borrowings under the 2013 Loan Agreement totaled $5.0 million, which was outstanding at January 1, 2016 until March 30, 2016 when it was repaid upon the Company entering into the Credit Agreement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consists of the following (in thousands of dollars):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Nominal interest</w:t>
            </w:r>
          </w:p>
        </w:tc>
        <w:tc>
          <w:tcPr>
            <w:tcW w:w="1060" w:type="dxa"/>
            <w:vAlign w:val="bottom"/>
            <w:tcBorders>
              <w:bottom w:val="single" w:sz="8" w:color="CCEEFF"/>
            </w:tcBorders>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778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772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5"/>
              </w:rPr>
              <w:t>Amortization and write-off of debt discount and debt issuance costs</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Prepayment penalty</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End-of-term payment interest</w:t>
            </w:r>
          </w:p>
        </w:tc>
        <w:tc>
          <w:tcPr>
            <w:tcW w:w="106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capital lease</w:t>
            </w: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60" w:type="dxa"/>
            <w:vAlign w:val="bottom"/>
          </w:tcPr>
          <w:p>
            <w:pPr>
              <w:ind w:left="18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ind w:right="857"/>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815</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799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7. Stockholders’ Equity</w:t>
            </w: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Common Stock</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20" w:type="dxa"/>
            <w:vAlign w:val="bottom"/>
            <w:gridSpan w:val="2"/>
          </w:tcPr>
          <w:p>
            <w:pPr>
              <w:ind w:left="660"/>
              <w:spacing w:after="0"/>
              <w:rPr>
                <w:sz w:val="20"/>
                <w:szCs w:val="20"/>
                <w:color w:val="auto"/>
              </w:rPr>
            </w:pPr>
            <w:r>
              <w:rPr>
                <w:rFonts w:ascii="Arial" w:cs="Arial" w:eastAsia="Arial" w:hAnsi="Arial"/>
                <w:sz w:val="18"/>
                <w:szCs w:val="18"/>
                <w:color w:val="auto"/>
                <w:w w:val="90"/>
              </w:rPr>
              <w:t>The Company had reserved shares of common stock for issuance as follows: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5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4"/>
                <w:szCs w:val="24"/>
                <w:color w:val="auto"/>
              </w:rPr>
            </w:pPr>
          </w:p>
        </w:tc>
        <w:tc>
          <w:tcPr>
            <w:tcW w:w="13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 issued and outstanding</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6,318,932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5,251,832</w:t>
            </w:r>
          </w:p>
        </w:tc>
        <w:tc>
          <w:tcPr>
            <w:tcW w:w="0" w:type="dxa"/>
            <w:vAlign w:val="bottom"/>
          </w:tcPr>
          <w:p>
            <w:pPr>
              <w:spacing w:after="0"/>
              <w:rPr>
                <w:sz w:val="1"/>
                <w:szCs w:val="1"/>
                <w:color w:val="auto"/>
              </w:rPr>
            </w:pPr>
          </w:p>
        </w:tc>
      </w:tr>
      <w:tr>
        <w:trPr>
          <w:trHeight w:val="243"/>
        </w:trPr>
        <w:tc>
          <w:tcPr>
            <w:tcW w:w="6220" w:type="dxa"/>
            <w:vAlign w:val="bottom"/>
            <w:gridSpan w:val="2"/>
          </w:tcPr>
          <w:p>
            <w:pPr>
              <w:ind w:left="40"/>
              <w:spacing w:after="0"/>
              <w:rPr>
                <w:sz w:val="20"/>
                <w:szCs w:val="20"/>
                <w:color w:val="auto"/>
              </w:rPr>
            </w:pPr>
            <w:r>
              <w:rPr>
                <w:rFonts w:ascii="Arial" w:cs="Arial" w:eastAsia="Arial" w:hAnsi="Arial"/>
                <w:sz w:val="18"/>
                <w:szCs w:val="18"/>
                <w:color w:val="auto"/>
                <w:w w:val="93"/>
              </w:rPr>
              <w:t>Stock options and restricted stock units available for grant under stock option plans</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1,102,427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887,724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available for the Employee Stock Purchase Plan</w:t>
            </w: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456,002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609,053</w:t>
            </w:r>
          </w:p>
        </w:tc>
        <w:tc>
          <w:tcPr>
            <w:tcW w:w="0" w:type="dxa"/>
            <w:vAlign w:val="bottom"/>
          </w:tcPr>
          <w:p>
            <w:pPr>
              <w:spacing w:after="0"/>
              <w:rPr>
                <w:sz w:val="1"/>
                <w:szCs w:val="1"/>
                <w:color w:val="auto"/>
              </w:rPr>
            </w:pPr>
          </w:p>
        </w:tc>
      </w:tr>
      <w:tr>
        <w:trPr>
          <w:trHeight w:val="257"/>
        </w:trPr>
        <w:tc>
          <w:tcPr>
            <w:tcW w:w="5160" w:type="dxa"/>
            <w:vAlign w:val="bottom"/>
          </w:tcPr>
          <w:p>
            <w:pPr>
              <w:ind w:left="180"/>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7,877,361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6,748,609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60" w:type="dxa"/>
            <w:vAlign w:val="bottom"/>
            <w:vMerge w:val="restart"/>
          </w:tcPr>
          <w:p>
            <w:pPr>
              <w:jc w:val="right"/>
              <w:ind w:right="337"/>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Genzyme Co-Promotion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January 2012, the Company and Genzyme Corporation (“Genzyme”) executed a co-promotion agreement for the co-exclusive rights and license to promote and market the Company’s Afirma thyroid diagnostic solution in the United States and in 40 named countries. In exchange, the Company received a $10.0 million upfront co-promotion fee from Genzyme in February 2012 which was deferred and amortized over the life of the agreement until the agreement was terminated effective September 9, 2016. Under the terms of the agreement, Genzyme received a percentage of U.S. cash receipts that the Company has received related to the Afirma solution as co-promotion fees.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February 2015, the Company entered into an ex-U.S. co-promotion agreement with Genzyme for the promotion of the Afirma solution with exclusivity in five countries outside the United States initially and in other countries agreed to from time to time. The agreement commenced on January 1, 2015 and continued until December 31, 2019, with extension of the agreement possible upon agreement of the parties. Pursuant to the agreement, the Company agreed to pay Genzyme 25% of net revenue from the sale of the Afirma solution in Brazil and Singapore over a five-year period commencing January 1, 2015. These payments have been immaterial for all periods presented. Effective July 6, 2017, the agreement was terminated.</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incurred $1.8 million and $6.1 million in co-promotion expense, excluding the amortization of the upfront co-promotion fee, in the three and nine months ended September 30, 2016, respectively, which is included in selling and marketing expenses in the condensed statements of operations and comprehensive loss. The Company had no outstanding obligations to Genzyme under the U.S. co-promotion agreement as of September 30, 2017 and December 31, 2016.</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amortized $227,000 and $948,000 of the $10.0 million upfront co-promotion fee in the three and nine months ended September 30, 2016, respectively, which is reflected as a reduction to selling and marketing expenses in the condensed statements of operations and comprehensive loss. No such related costs were incurred during the three and nine months ended September 30,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Thyroid Cytopathology Partners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2010, the Company entered into an arrangement with Pathology Resource Consultants, P.A. (“PRC”) to set up and manage a specialized pathology practice to provide testing services to the Company. There is no direct monetary compensation from the Company to PRC as a result of this arrangement. The Company’s service agreement is with the specialized pathology practice, Thyroid Cytopathology Partners (“TCP”), and was effective through December 31, 2015, and thereafter automatically renews every year unless either party provides notice of intent not to renew at least 12 months prior to the end of the then-current term. Under the service agreement, the Company pays TCP based on a fixed price per test schedule, which is reviewed periodically for changes in market pricing. Subsequent to December 2012, an amendment to the service agreement allows TCP to sublease a portion of the Company’s facility in Austin, Texas. The Company does not have an ownership interest in or provide any form of financial or other support to TCP.</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in the condensed statements of operations and comprehensive loss. The Company incurred $1.2 million and $1.3 million of expense for the three months ended September 30, 2017 and 2016, respectively, and $3.6 million and $3.8 million for the nine months ended September 30, 2017 and 2016, respectively, in cytopathology testing and evaluation services expenses with TCP. The Company’s outstanding obligations to TCP for cytopathology testing services were $395,000 and $426,000 as of September 30, 2017 and December 31, 2016, respectively, and are included in accounts payable on the accompanying condensed balance sheets.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TCP reimburses the Company for its proportionate share of the Company’s rent and related operating expenses for the leased facility. TCP’s portion of rent and related operating expenses for the shared space at the Austin, Texas facility was $25,000 and $24,000 for the three months ended September 30, 2017 and 2016, respectively, and $78,000 and $70,000 for the nine months ended September 30, 2017 and 2016, respectively, and is included in other income, net in the Company’s condensed statements of operations and comprehensive loss.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11. Subsequent Events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did not record a provision or benefit for income taxes during the three and nine months ended September 30, 2017 and 2016. The Company continues to maintain a full valuation allowance against its net deferred tax assets.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September 30, 2017, the Company had unrecognized tax benefits of $2.5 million, none of which would currently affect the Company’s effective tax rate if recognized due to the Company’s net deferred tax assets being fully offset by a valuation allowance. The Company does not anticipate that the amount of unrecognized tax benefits relating to tax positions existing at September 30, 2017 will significantly increase or decrease within the next 12 months. There was no interest expense or penalties related to unrecognized tax benefits recorded through September 30, 2017.</w:t>
      </w:r>
    </w:p>
    <w:p>
      <w:pPr>
        <w:spacing w:after="0" w:line="171" w:lineRule="exact"/>
        <w:rPr>
          <w:sz w:val="20"/>
          <w:szCs w:val="20"/>
          <w:color w:val="auto"/>
        </w:rPr>
      </w:pPr>
    </w:p>
    <w:p>
      <w:pPr>
        <w:jc w:val="both"/>
        <w:ind w:firstLine="686"/>
        <w:spacing w:after="0" w:line="259" w:lineRule="auto"/>
        <w:rPr>
          <w:sz w:val="20"/>
          <w:szCs w:val="20"/>
          <w:color w:val="auto"/>
        </w:rPr>
      </w:pPr>
      <w:r>
        <w:rPr>
          <w:rFonts w:ascii="Arial" w:cs="Arial" w:eastAsia="Arial" w:hAnsi="Arial"/>
          <w:sz w:val="18"/>
          <w:szCs w:val="18"/>
          <w:color w:val="auto"/>
        </w:rPr>
        <w:t>A number of years may elapse before an uncertain tax position is audited and finally resolved. While it is often difficult to predict the final outcome or the timing of resolution of any particular uncertain tax position, the Company believes that its reserves for income taxes reflect the most likely outcome. The Company adjusts these reserves, as well as the related interest, in light of changing facts and circumstances. Settlement of any particular position could require the use of cash.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Thyroid Cytopathology Partners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October 16, 2017, the Company amended and restated its service agreement with TCP. The agreement is effective through October 31, 2022, and thereafter automatically renews every year unless either party provides notice of intent not to renew at least 12 months prior to the end of the then-current term. In connection with amending and restating the TCP agreement, the Company’s arrangement with PRC was simultaneously assigned by PRC to TCP and immediately terminated, and the Company agreed to pay PRC a total of $1,750,000 over eight quarterly installments in exchange for TCP reducing the price per test it charges the Company during the term of the amended TCP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November 3, 2017, the Company entered into a loan and security agreement (the “Loan and Security Agreement”) with Silicon Valley Bank. In connection with the entry into the Loan and Security Agreement, the Company terminated the Credit Agreement with Visium, wherein all commitments were terminated, all liens were released and all outstanding principal and interest and fees accrued thereunder were repaid in the aggregate amount of $27.3 million. The Company expects to expense approximately $1.9 million in prepayment premium and debt issuance cost write-offs in the quarter ending December 31, 2017.</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Loan and Security Agreement allows the Company to borrow up to $35.0 million, with a $25.0 million advance term loan (the “Term Loan Advance”) and a revolving line of credit of up to $10.0 million (the “Revolving Line of Credit”). The Term Loan Advance was advanced upon the closing of the Loan and Security Agreement. Borrowings under the Loan and Security Agreement mature in October 2022. The Term Loan Advance bears interest at a variable rate equal to (i) the thirty-day U.S. London Interbank Offer Rate (“LIBOR”) plus (ii) 4.20%, with a minimum rate of 5.43% per annum. Principal amounts outstanding under the Revolving Line of Credit bear interest at a variable rate equal to (i) LIBOR plus (ii) 3.50%, with a minimum rate of 4.70% per annum.</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may prepay the outstanding principal amount under the Term Loan Advance plus accrued and unpaid interest and, if the Term Loan Advance is repaid in full, a prepayment premium. In addition, a final payment on the Term Loan Advance in the amount of $1.2 million is due upon the earlier of the maturity date of the Term Loan Advance or its payment in full. The Loan and Security Agreement contains customary representations, warranties, and events of default, as well as affirmative and negative covenants. The Company’s obligations under the Loan and Security Agreement are secured by substantially all of its assets (excluding intellectual property), subject to certain customary exceptions.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net proceeds from the Term Loan Advance were used towards the full repayment of the outstanding balance under the Credit Agreement.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together with the condensed financial statements and the related notes included in Item 1 of Part I of this Quarterly Report on Form 10-Q, and with our audited financial statements and the related notes included in our Annual Report on Form 10-K for the year ended December 31,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our sources of revenue; our expectations with respect to our future research and development, general and administrative and selling and marketing expenses and our anticipated uses of our funds; our expectations regarding capital expenditures; our anticipated cash needs and our estimates regarding our capital requirements; potential future sources of cash; our business strategy and our ability to execute our strategy; our ability to achieve and maintain reimbursement from third-party payers at acceptable levels and our expectations regarding the timing and levels of reimbursement; the estimated size of the global markets for our tests;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agreement with TCP, and on other strategic relationships, and the success of those relationships; potential cost savings resulting from our amended agreement with TCP; our beliefs regarding our laboratory capacity;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FDA or other regulatory bodies; the impact of new or changing policies, regulation or legislation, or of judicial decisions, on our business; the impact of seasonal fluctuations and economic conditions on our business; our beliefs regarding the impact of recent hurricanes on our business; our belief that we have taken reasonable steps to protect our intellectual property; the impact of accounting pronouncements and our critical accounting policies, judgments, estimates, models and assumptions on our financial results, including our expectations regarding implementing of new revenue recognition standards; and anticipated trends and challenges in our business and the markets in which we operate.</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II, Item 1A of this report, as well as risks and uncertainties related to: our limited operating history and history of losses since inception; our ability to increase usage of and reimbursement for our tests; our dependence on a limited number of payers for a significant portion of our revenue; the complexity, time and expense associated with billing and collecting for our test; current and future laws, regulations and judicial decisions applicable to our business, including potential regulation by the FDA or by regulatory bodies outside of the United States; changes in reimbursement for our tests; changes in legislation related to the U.S. healthcare system; our dependence on strategic relationships and collaborations; unanticipated delays in research and development efforts; our ability to develop and commercialize new products, and the timing and expense of commercialization; our ability to successfully enter new product or geographic markets; our ability to conduct clinical studies and the outcomes of such clinical studies; the applicability of clinical results to actual outcomes; trends and challenges in our business; our ability to compete against other companies, products and technologies; our ability to protect our intellectual property; and our ability to obtain capital when needed.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When used in this report, all references to "Veracyte," the "company," "we," "our" and "us" refer to Veracyte, Inc.</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Veracyte, Afirma, Percepta, Envisia, the Veracyte logo and the Afirma logo are our trademarks. We also refer to trademarks of other corporations or organizations in this report.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 leading genomic diagnostics company that is fundamentally improving patient care by resolving diagnostic uncertainty with evidence that is trustworthy and actionable. Our products uniquely combine genomic technology, clinical science and machine learning to provide answers that give physicians and patients a clear path forward without risky, costly surgery that is often unnecessary.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vision is to provide answers that illuminate the pathway to health; and to provide trustworthy and actionable answers that fundamentally improve patient care.</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role of genomic information in medical practice is evolving rapidly and has affected the diagnosis of disease as well as treatment decisions. Over the past decade, diagnostic tests that analyze genomic material from surgical tissue samples have emerged as an important complement to evaluations performed by pathologists. Information at the genomic level enables one to understand more fully the makeup and specific subtype of disease to improve diagnosis. In many cases, the genomic information derived from these samples can help guide treatment decisions as part of the standard of care.</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While genomic and technological advances are fueling the imagination about what is possible in medicine, we remain focused on delivering tests that change clinical decision-making and improve patient outcomes.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deep machine learning methods and rich genomic content improve diagnostic clarity for cancer and other diseases. In our thyroid and lung indications, traditional diagnosis can be ambiguous in approximately 15-70% of patients undergoing diagnostic evaluation.</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Since our founding in 2008, we have commercialized three genomic tests that we believe are transforming diagnostics: the Afirma Gene Expression Classifier, or GEC, and its next-generation test, the Afirma Genomic Sequencing Classifier, or GSC, to determine whether thyroid nodules previously classified by cytopathology as indeterminate can be reclassified as benign; the Percepta Bronchial Genomic Classifier to improve lung cancer screening and diagnosis; and the Envisia Genomic Classifier to improve the physician's ability to differentiate idiopathic pulmonary fibrosis, or IPF, from other interstitial lung diseases, or ILD. Collectively, we believe these tests address a $2 billion global market opportunity.</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Patients typically access our tests through their physician during the diagnostic process. All of our testing services are made available through our clinical reference laboratories located in South San Francisco, California and Austin, Texas, which are each certified under the Clinical Laboratory Improvement Amendments of 1988, or CLIA.</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published evidence supporting our tests demonstrates the robustness of our science and clinical studies. Patients and physicians can access our full list of publications on our website. Over 30 clinical studies covering our products have been published, including two landmark clinical validation papers published in </w:t>
      </w:r>
      <w:r>
        <w:rPr>
          <w:rFonts w:ascii="Arial" w:cs="Arial" w:eastAsia="Arial" w:hAnsi="Arial"/>
          <w:sz w:val="18"/>
          <w:szCs w:val="18"/>
          <w:i w:val="1"/>
          <w:iCs w:val="1"/>
          <w:color w:val="auto"/>
        </w:rPr>
        <w:t>The New England Journal of Medicine</w:t>
      </w:r>
      <w:r>
        <w:rPr>
          <w:rFonts w:ascii="Arial" w:cs="Arial" w:eastAsia="Arial" w:hAnsi="Arial"/>
          <w:sz w:val="18"/>
          <w:szCs w:val="18"/>
          <w:color w:val="auto"/>
        </w:rPr>
        <w:t>. We continue to build upon our extensive library of clinical evidence. We also expect to continue expanding our offerings in thyroid cancer, lung cancer and interstitial lung diseases such as IPF as well as other cancer indications that we believe will benefit from our technology and approach.</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believe our focus on developing clinically useful tests that change patient care is enabling us to set new standards in genomic test reimbursement. Our flagship product, the Afirma classifier, is now covered for more than 270 million people in the U.S. for use in thyroid cancer diagnosis and our second commercial product, the Percepta classifier, is the first genomic test to gain Medicare coverage for improved lung cancer screening and diagnosis.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2017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three-month period ended September 30, 2017, as compared to the three-month period ended September 30, 2016:</w:t>
      </w:r>
    </w:p>
    <w:p>
      <w:pPr>
        <w:spacing w:after="0" w:line="239" w:lineRule="exact"/>
        <w:rPr>
          <w:sz w:val="20"/>
          <w:szCs w:val="20"/>
          <w:color w:val="auto"/>
        </w:rPr>
      </w:pPr>
    </w:p>
    <w:p>
      <w:pPr>
        <w:ind w:left="660" w:right="120" w:hanging="328"/>
        <w:spacing w:after="0" w:line="252" w:lineRule="auto"/>
        <w:tabs>
          <w:tab w:leader="none" w:pos="660" w:val="left"/>
        </w:tabs>
        <w:numPr>
          <w:ilvl w:val="0"/>
          <w:numId w:val="3"/>
        </w:numPr>
        <w:rPr>
          <w:rFonts w:ascii="Arial" w:cs="Arial" w:eastAsia="Arial" w:hAnsi="Arial"/>
          <w:sz w:val="20"/>
          <w:szCs w:val="20"/>
          <w:i w:val="1"/>
          <w:iCs w:val="1"/>
          <w:color w:val="auto"/>
        </w:rPr>
      </w:pPr>
      <w:r>
        <w:rPr>
          <w:rFonts w:ascii="Arial" w:cs="Arial" w:eastAsia="Arial" w:hAnsi="Arial"/>
          <w:sz w:val="18"/>
          <w:szCs w:val="18"/>
          <w:color w:val="auto"/>
        </w:rPr>
        <w:t>Revenue was $17.5 million, a decline of 6%. Revenue accrued for tests performed in the current year quarter increased 24%, offset by the impact of higher cash collections in the prior year quarter for tests performed prior to July 1, 2016;</w:t>
      </w:r>
    </w:p>
    <w:p>
      <w:pPr>
        <w:spacing w:after="0" w:line="1" w:lineRule="exact"/>
        <w:rPr>
          <w:rFonts w:ascii="Arial" w:cs="Arial" w:eastAsia="Arial" w:hAnsi="Arial"/>
          <w:sz w:val="20"/>
          <w:szCs w:val="20"/>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Genomic Test Volume was 6,533, an increase of 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Expenses were $23.9 million, an increase of 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and Comprehensive Loss was $7.0 million, an increase of 25%;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Per Common Share was $0.21 compared to $0.20;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Cash Burn, defined as net cash used in operating activities and net capital expenditures, was $5.8 million, an improvement of 23%;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was $41.2 million at September 30,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2017 Financial Results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nine-month period ended September 30, 2017, as compared to the nine-month period ended September 30,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was $52.4 million, an increase of 12%;</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Genomic Test Volume was 18,873, an increase of 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Expenses were $72.9 million, an increase of 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Loss and Comprehensive Loss was $22.6 million, an improvement of 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Loss Per Common Share was $0.67, an improvement of 31% from $0.97;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Burn was $19.1 million, an improvement of 31%.</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364" w:lineRule="exact"/>
        <w:rPr>
          <w:sz w:val="20"/>
          <w:szCs w:val="20"/>
          <w:color w:val="auto"/>
        </w:rPr>
      </w:pPr>
    </w:p>
    <w:p>
      <w:pPr>
        <w:ind w:left="660" w:right="180" w:hanging="328"/>
        <w:spacing w:after="0" w:line="288"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November 2017, the Company closed a $35.0 million senior secured credit facility, consisting of a $25.0 million term loan and a $10.0 million asset-based revolving line of credit to refinance its existing $25.0 million credit facility, reducing the current variable interest rate by over 50% and providing additional liquidity through a new revolving line of credit. The Company paid a $1.5 million exit fee at the close to its prior lender; and</w:t>
      </w:r>
    </w:p>
    <w:p>
      <w:pPr>
        <w:jc w:val="both"/>
        <w:ind w:left="660" w:right="240" w:hanging="328"/>
        <w:spacing w:after="0" w:line="30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October 2017, the Company amended and restated its Thyroid Cytopathology Partners (TCP) agreement. In return for lower fees, the Company agreed to extend the term for five years and to pay $1.75 million to Pathology Resource Consultants, TCP’s previous management company, over eight quarters. Based on current volumes, the Company believes the amendment will be immediately accretive to earnings as well as cash burn.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2017 and Recent Business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Achievements: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Gained 100 new accounts for our next-generation Afirma GSC and continued to transition existing accounts;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Grew genomic test volume by 14% in the third quarter of 2017, compared to the third quarter of 2016;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Generated our first commercial revenue for the Percepta Bronchial Genomic Classifier and expanded its use to over 70 institutions; and</w:t>
      </w:r>
    </w:p>
    <w:p>
      <w:pPr>
        <w:spacing w:after="0" w:line="20" w:lineRule="exact"/>
        <w:rPr>
          <w:rFonts w:ascii="Arial" w:cs="Arial" w:eastAsia="Arial" w:hAnsi="Arial"/>
          <w:sz w:val="17"/>
          <w:szCs w:val="17"/>
          <w:color w:val="auto"/>
        </w:rPr>
      </w:pPr>
    </w:p>
    <w:p>
      <w:pPr>
        <w:ind w:left="660" w:right="20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Launched the Screen Together awareness campaign with the Lung Cancer Initiative of North Carolina to increase lung cancer screening awareness among high-risk people.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Progress:</w:t>
      </w:r>
    </w:p>
    <w:p>
      <w:pPr>
        <w:spacing w:after="0" w:line="225" w:lineRule="exact"/>
        <w:rPr>
          <w:sz w:val="20"/>
          <w:szCs w:val="20"/>
          <w:color w:val="auto"/>
        </w:rPr>
      </w:pPr>
    </w:p>
    <w:p>
      <w:pPr>
        <w:ind w:left="660" w:right="20" w:hanging="328"/>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contracted lives for the Afirma classifier by 13 million through the execution of five new contracts, including four Blues plans. This brings the total number of contracted lives for the test to 176 million and increases from last quarter the number of contracted Blues lives by 35% to 45 million; and</w:t>
      </w:r>
    </w:p>
    <w:p>
      <w:pPr>
        <w:ind w:left="660" w:right="600" w:hanging="328"/>
        <w:spacing w:after="0" w:line="32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Received preliminary 2018 Medicare pricing indicating that the Afirma classifier price will increase from $3,220 to $3,600. Pending a public comment period, the final rates are scheduled to begin January 1, 2018, as part of the Protecting Access to Medicare Act of 2014 (PAMA).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Evidence Development:</w:t>
      </w:r>
    </w:p>
    <w:p>
      <w:pPr>
        <w:spacing w:after="0" w:line="225" w:lineRule="exact"/>
        <w:rPr>
          <w:sz w:val="20"/>
          <w:szCs w:val="20"/>
          <w:color w:val="auto"/>
        </w:rPr>
      </w:pPr>
    </w:p>
    <w:p>
      <w:pPr>
        <w:ind w:left="660" w:right="38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Presented data from five studies (two oral and three poster presentations) highlighting the Afirma GSC’s advances in informing both benign and cancerous subtypes of thyroid nodules at the 87th Annual Meeting of the American Thyroid Association (ATA);</w:t>
      </w:r>
    </w:p>
    <w:p>
      <w:pPr>
        <w:spacing w:after="0" w:line="1"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Delivered podium presentation of clinical utility data for the Percepta classifier at the CHEST Annual Meeting. Findings showed that the use of Percepta reduces the number of invasive procedures by 50% in patients whom the test classifies as low-risk for lung cancer following an inconclusive bronchoscopy result; and</w:t>
      </w:r>
    </w:p>
    <w:p>
      <w:pPr>
        <w:spacing w:after="0" w:line="1" w:lineRule="exact"/>
        <w:rPr>
          <w:rFonts w:ascii="Arial" w:cs="Arial" w:eastAsia="Arial" w:hAnsi="Arial"/>
          <w:sz w:val="18"/>
          <w:szCs w:val="18"/>
          <w:color w:val="auto"/>
        </w:rPr>
      </w:pPr>
    </w:p>
    <w:p>
      <w:pPr>
        <w:ind w:left="660" w:right="10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Received acceptance of an abstract demonstrating clinical utility of the Envisia Genomic Classifier in the diagnosis of idiopathic pulmonary fibrosis for presentation at the PFF Summit in November.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Reported Genomic Test Volume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performance depends on the number of genomic tests that we perform and report as completed in our CLIA laboratories. Factors impacting the number of tests that we report as completed include, but are not limited to:</w:t>
      </w:r>
    </w:p>
    <w:p>
      <w:pPr>
        <w:spacing w:after="0" w:line="170" w:lineRule="exact"/>
        <w:rPr>
          <w:sz w:val="20"/>
          <w:szCs w:val="20"/>
          <w:color w:val="auto"/>
        </w:rPr>
      </w:pPr>
    </w:p>
    <w:p>
      <w:pPr>
        <w:ind w:left="5620" w:right="3220" w:hanging="4721"/>
        <w:spacing w:after="0" w:line="559" w:lineRule="auto"/>
        <w:tabs>
          <w:tab w:leader="none" w:pos="130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samples that we receive that meet the medical indication for each test performed; 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401"/>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quantity and quality of the sample received;</w:t>
      </w:r>
    </w:p>
    <w:p>
      <w:pPr>
        <w:spacing w:after="0" w:line="23" w:lineRule="exact"/>
        <w:rPr>
          <w:rFonts w:ascii="Arial" w:cs="Arial" w:eastAsia="Arial" w:hAnsi="Arial"/>
          <w:sz w:val="18"/>
          <w:szCs w:val="18"/>
          <w:color w:val="auto"/>
        </w:rPr>
      </w:pPr>
    </w:p>
    <w:p>
      <w:pPr>
        <w:ind w:left="1300" w:hanging="401"/>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receipt of the necessary documentation, such as physician order and patient consent, required to perform, bill and collect for our tests;</w:t>
      </w:r>
    </w:p>
    <w:p>
      <w:pPr>
        <w:spacing w:after="0" w:line="20" w:lineRule="exact"/>
        <w:rPr>
          <w:rFonts w:ascii="Arial" w:cs="Arial" w:eastAsia="Arial" w:hAnsi="Arial"/>
          <w:sz w:val="17"/>
          <w:szCs w:val="17"/>
          <w:color w:val="auto"/>
        </w:rPr>
      </w:pPr>
    </w:p>
    <w:p>
      <w:pPr>
        <w:ind w:left="1300" w:hanging="401"/>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patient's ability to pay or provide necessary insurance coverage for the tests performed;</w:t>
      </w:r>
    </w:p>
    <w:p>
      <w:pPr>
        <w:spacing w:after="0" w:line="9" w:lineRule="exact"/>
        <w:rPr>
          <w:rFonts w:ascii="Arial" w:cs="Arial" w:eastAsia="Arial" w:hAnsi="Arial"/>
          <w:sz w:val="18"/>
          <w:szCs w:val="18"/>
          <w:color w:val="auto"/>
        </w:rPr>
      </w:pPr>
    </w:p>
    <w:p>
      <w:pPr>
        <w:ind w:left="1300" w:hanging="401"/>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time it takes us to perform our tests and report the results;</w:t>
      </w:r>
    </w:p>
    <w:p>
      <w:pPr>
        <w:spacing w:after="0" w:line="9" w:lineRule="exact"/>
        <w:rPr>
          <w:rFonts w:ascii="Arial" w:cs="Arial" w:eastAsia="Arial" w:hAnsi="Arial"/>
          <w:sz w:val="18"/>
          <w:szCs w:val="18"/>
          <w:color w:val="auto"/>
        </w:rPr>
      </w:pPr>
    </w:p>
    <w:p>
      <w:pPr>
        <w:ind w:left="1300" w:hanging="401"/>
        <w:spacing w:after="0" w:line="25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seasonality inherent in our business, such as the impact of work days per period, timing of industry conferences and the timing of when patient deductibles are exceeded, which also impacts the reimbursement we receive from insurers; and</w:t>
      </w:r>
    </w:p>
    <w:p>
      <w:pPr>
        <w:ind w:left="1300" w:hanging="401"/>
        <w:spacing w:after="0" w:line="261"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prior authorization or meet other requirements instituted by payers, benefit managers, or regulators necessary to be paid for our tests.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generate substantially all our revenue from genomic testing services, including the rendering of a cytopathology diagnosis as part of the Afirma solution. We do not accrue revenue for tests performed and reported that do not meet our accrual criteria. For the Afirma classifier, we do not accrue revenue for approximately 5%-10% of the tests that we perform and report as complete due principally to insufficient RNA from which to render a result and tests performed for which we do not reasonably expect to be paid. For tests that we perform that do not meet our accrual criteria, we recognize revenue upon cash receipt.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Adoption of and Reimbursement for our Products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Revenue growth depends on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will increase as more payers make a positive coverage decision and as payers enter into contracts with us, which should enhance our accrued revenue and cash collections. To drive increased adoption of Afirma, we increased our sales force over the last several years, along with increasing our marketing efforts. We have hired institutional channel managers to focus on the institutional segment, where accounts generally send us fine needle aspirations, or FNAs, for the Afirma genomic classifier only, and account managers, dedicated to serving existing accounts, thereby freeing up our product specialists to focus on transacting new business. If we are unable to expand the base of prescribing physicians and penetration within these accounts at an acceptable rate, or if we are not able to execute our strategy for increasing reimbursement, we may not be able to effectively increase our revenue. We expect to continue to see pressure from payers to limit the utilization of tests, generally, and we believe more payers are deploying costs containment tactics, such as pre-authorization and employing laboratory benefit managers to reduce utilization rates.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Recognize Revenue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recognize revenue on an accrual basis when we are able to make a reasonable estimate of reimbursement at the time delivery is complete. In the first period in which revenue is accrued for a particular payer or test, there generally is a one-time increase in revenue. Until we have contracts with payers or can reasonably estimate the amount that will ultimately be received, we recognize the related revenue on the cash basis. As we commercialize new products, we will need to be able to make a reasonable estimate of the amount that will ultimately be received from each payer for each new product offering prior to being able to recognize the related revenue on an accrual basis. Because the timing and amount of cash payments received from payers as well as one-time increases in revenue from newly accrued payers are difficult to predict, we expect that our revenue may fluctuate significantly in any given quarter.</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2017, cumulative amounts billed at list price for tests processed which were not recognized as revenue upon delivery of a patient report because our accrual revenue recognition criteria were not met and for which we have not collected cash or written off as uncollectible, totaled approximately $159.5 million.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2016, cumulative amounts billed at list price for tests processed which were not recognized as revenue upon delivery of a patient report because our accrual revenue recognition criteria were not met and for which we have not collected cash or written off as uncollectible, totaled $161.2 million. Of this amount, we recognized revenue of approximately $0.3 million and $2.2 million in the three and nine months ended September 30, 2017, respectively, when cash was received.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revenue from previously performed but unpaid tests. Revenue from these tests, if any, may not be equal to the billed amount due to a number of factors, including differences in reimbursement rates, the amounts of patient co-payments and co-insurance, the existence of secondary payers and claims denials.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when we increase our list price, as we did in July 2015, it will increase the cumulative amounts billed. In addition, payer contracts generally include the right of offset and payers may offset payments prior to resolving disputes over tests performed.</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Generally, we calculate the average Afirma genomic classifier reimbursement from all payers, whether they are on the cash or an accrual basis, for tests that are on average a year old, since it can take a significant period of time to collect from some payers. Except in situations where we believe the rate we reasonably expect to collect varies due to a coverage decision, contract, more recent reimbursement data or evidence to the contrary, we use an average of reimbursement for tests provided over four quarters as it reduces the effects of temporary volatility and seasonal effects. Thus the average reimbursement per Afirma genomic classifier represents the total cash collected to date against Afirma genomic classifier tests performed during the relevant period divided by the number of these tests performed during that same period.</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average Afirma genomic classifier reimbursement rate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 For the quarter ended September 30, 2017, on average we accrued between $2,400 and $2,500 for the Afirma genomic classifier tests that met our revenue recognition standard, which was between 90% - 95% of the reported Afirma classifier test volume.</w:t>
      </w:r>
    </w:p>
    <w:p>
      <w:pPr>
        <w:spacing w:after="0" w:line="173"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From the third quarter of 2016 to the third quarter of 2017, we accrued between $1.7 and $2.2 million in revenue per quarter from providing cytopathology services associated with our Afirma solution.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incur expense for tests in the period in which the test is conducted and recognize revenue for tests in the period in which our revenue recognition criteria are met. Accordingly, any revenue that we recognize as a result of cash collection in respect of previously performed but unpaid tests will favorably impact our liquidity and results of operations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Additional Products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currently rely on sales of Afirma to generate most of our revenue. In May 2014, we commercially launched our Afirma Malignancy Classifiers, which we believe enhances our Afirma Thyroid FNA Analysis as a comprehensive way to manage thyroid nodule patients and serve our current base of prescribing physicians. We are also pursuing development or acquisition of products for additional diseases to increase and diversify our revenue. We launched the Percepta classifier in April 2015. Additionally, we introduced in October 2016 a solution for diagnosing interstitial lung disease, our Envisia Genomic Classifier, that will offer an alternative to surgery by developing a genomic signature to classify samples collected through less invasive bronchoscopy techniques. We expect to continue to invest heavily in research and development in order to expand the capabilities of our solutions and to develop additional products. Our success in developing or acquiring new products will be important in our efforts to grow our business by expanding the potential market for our products and diversifying our sources of revenue.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Our Research and Development Expenses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Genzyme Co-promotion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From January 2012 through September 9, 2016, we were party to a Co-Promotion Agreement with Genzyme to market the Afirma solution in the United States. The agreement required that we pay a certain percentage of our cash receipts from the sale of the Afirma solution to Genzyme, which percentage decreased over time. We received a $10.0 million upfront co-promotion fee from Genzyme under the Co-Promotion Agreement, which we deferred and amortized over the life of the agreement until the agreement was terminated effective September 9, 2016. The final payments totaling $4.0 million under the Agreement were made in September 2016.</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ex-U.S. agreement with Genzyme, we agreed to pay Genzyme 25% of net revenue from the sale of the Afirma solution in Brazil and Singapore over a five-year period commencing January 1, 2015. Effective July 6, 2017, the agreement was terminated and payments made under this agreement for the nine months ended September 30, 2017 were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Through September 30, 2017, we derived most of our revenue from the sale of Afirma. To date, we offer Afirma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in excess of 10% of revenue and their related revenue as a percentage of total revenue were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Nine Months Ended September 30,</w:t>
            </w:r>
          </w:p>
        </w:tc>
        <w:tc>
          <w:tcPr>
            <w:tcW w:w="440" w:type="dxa"/>
            <w:vAlign w:val="bottom"/>
            <w:tcBorders>
              <w:bottom w:val="single" w:sz="8" w:color="auto"/>
            </w:tcBorders>
          </w:tcPr>
          <w:p>
            <w:pPr>
              <w:spacing w:after="0"/>
              <w:rPr>
                <w:sz w:val="16"/>
                <w:szCs w:val="16"/>
                <w:color w:val="auto"/>
              </w:rPr>
            </w:pPr>
          </w:p>
        </w:tc>
      </w:tr>
      <w:tr>
        <w:trPr>
          <w:trHeight w:val="264"/>
        </w:trPr>
        <w:tc>
          <w:tcPr>
            <w:tcW w:w="60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156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1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22"/>
                <w:szCs w:val="22"/>
                <w:color w:val="auto"/>
              </w:rPr>
            </w:pPr>
          </w:p>
        </w:tc>
      </w:tr>
      <w:tr>
        <w:trPr>
          <w:trHeight w:val="250"/>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UnitedHealthcare</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0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69"/>
        </w:trPr>
        <w:tc>
          <w:tcPr>
            <w:tcW w:w="50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tests performed, we recognize the related revenue upon delivery of a patient report to the prescribing physician based on the amount that we expect to ultimately receive. We determine the amount we expect to ultimately receive based on a per payer, per contract or agreement basis. Upon ultimate collection, the amount received where reimbursement was estimated is compared to previous estimates and the amount accrued is adjusted accordingly. In other situations, where we cannot reasonably estimate the amount that will be ultimately received, we recognize revenue on the cash basis.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we recognize revenue on an accrual basis and later determine the judgments underlying estimated reimbursement change, our financial results could be negatively impacted in future quarters.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components of our cost of revenue are laboratory expenses, sample collection expenses, compensation expense, license fees and royalties, depreciation and amortization,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revenue will be high and will increase disproportionately our aggregate cost of revenue until we achieve efficiencies in processing these new tests. We are currently commercializing the Afirma GSC, Percepta and Envisia tests, and we expect to run suboptimal batch sizes, run quality control batches, test batches, registry samples and generally incur costs that may suppress or reduce gross margins.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Research and development expenses include expenses incurred to develop our technology, collect clinical samples and conduct clinical studies to develop and support our products. These expenses consist of compensation expenses, direct research and development expenses such as prototype materials,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expect to incur significant research and development expenses as we continue to invest in research and development activities related to developing additional products and evaluating various platforms. We incurred research and development expenses in 2016 for the development and launch of Envisia and for the continued development and support of the Afirma and Percepta tests. For the remainder of 2017, we expect to incur research and development expenses on ongoing evidence development for our Afirma, Percepta and Envisia classifiers.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Selling and marketing expenses consist of compensation expenses, direct marketing expenses, professional fees, other expenses such as travel and communications costs and allocation of facility and information technology expenses. In addition, co-promotion fees paid to Genzyme, net of amortization of the upfront fee received, are included in selling and marketing expenses through the September 9, 2016 termination date of our U.S. co-promotion agreement. We have expanded our internal sales force and increased our marketing spending as we transitioned out of the Genzyme relationship, with these costs offset by the elimination of the co-promotion fee. We have also incurred increased selling and marketing expense as a result of investments in our lung product portfolio and believe total selling and marketing expenses will continue to increase as we launch and promote our new tests.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and miscellaneous expenses offset by allocation of facility and information technology expenses to other functions. For the nine months ended September 30, 2017, approximately 61% of the headcount classified as general and administrative encompass our billing and customer care teams. We expect general and administrative expenses to continue to increase as we build our general and administration infrastructure and to stabilize thereafter.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Intangible asset amortization began in April 2015 when we launched the Percepta test. The finite-lived intangible asset with a cost of $16.0 million is being amortized over 15 years, using the straight-line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attributable to our borrowings under our credit agreement and the loan and security agreement that it replaced.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income (expense), net consists primarily of sublease rental income and interest income received from payers and from our cash equivalents.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Comparison of the Three and Nine Months Ended September 30, 2017 and 2016 (In Thousands of Dollars, Except Percentages and Genomic Classifiers Results Reported)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31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w w:val="96"/>
              </w:rPr>
              <w:t>Three Months Ended September 30,</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7"/>
              </w:rPr>
              <w:t>Nine Months Ended September 30,</w:t>
            </w:r>
          </w:p>
        </w:tc>
        <w:tc>
          <w:tcPr>
            <w:tcW w:w="900" w:type="dxa"/>
            <w:vAlign w:val="bottom"/>
            <w:tcBorders>
              <w:bottom w:val="single" w:sz="8" w:color="auto"/>
            </w:tcBorders>
          </w:tcPr>
          <w:p>
            <w:pPr>
              <w:spacing w:after="0"/>
              <w:rPr>
                <w:sz w:val="24"/>
                <w:szCs w:val="24"/>
                <w:color w:val="auto"/>
              </w:rPr>
            </w:pPr>
          </w:p>
        </w:tc>
      </w:tr>
      <w:tr>
        <w:trPr>
          <w:trHeight w:val="264"/>
        </w:trPr>
        <w:tc>
          <w:tcPr>
            <w:tcW w:w="1020" w:type="dxa"/>
            <w:vAlign w:val="bottom"/>
            <w:tcBorders>
              <w:bottom w:val="single" w:sz="8" w:color="CCEEFF"/>
            </w:tcBorders>
          </w:tcPr>
          <w:p>
            <w:pPr>
              <w:spacing w:after="0"/>
              <w:rPr>
                <w:sz w:val="22"/>
                <w:szCs w:val="22"/>
                <w:color w:val="auto"/>
              </w:rPr>
            </w:pPr>
          </w:p>
        </w:tc>
        <w:tc>
          <w:tcPr>
            <w:tcW w:w="20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17,519</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11"/>
              <w:spacing w:after="0"/>
              <w:rPr>
                <w:sz w:val="20"/>
                <w:szCs w:val="20"/>
                <w:color w:val="auto"/>
              </w:rPr>
            </w:pPr>
            <w:r>
              <w:rPr>
                <w:rFonts w:ascii="Arial" w:cs="Arial" w:eastAsia="Arial" w:hAnsi="Arial"/>
                <w:sz w:val="18"/>
                <w:szCs w:val="18"/>
                <w:color w:val="auto"/>
                <w:w w:val="94"/>
              </w:rPr>
              <w:t>(6)%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52,357</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Operating expense:</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31"/>
              <w:spacing w:after="0"/>
              <w:rPr>
                <w:sz w:val="20"/>
                <w:szCs w:val="20"/>
                <w:color w:val="auto"/>
              </w:rPr>
            </w:pPr>
            <w:r>
              <w:rPr>
                <w:rFonts w:ascii="Arial" w:cs="Arial" w:eastAsia="Arial" w:hAnsi="Arial"/>
                <w:sz w:val="18"/>
                <w:szCs w:val="18"/>
                <w:color w:val="auto"/>
                <w:w w:val="94"/>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w:t>
            </w:r>
          </w:p>
        </w:tc>
      </w:tr>
      <w:tr>
        <w:trPr>
          <w:trHeight w:val="243"/>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3,046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4,006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right="31"/>
              <w:spacing w:after="0"/>
              <w:rPr>
                <w:sz w:val="20"/>
                <w:szCs w:val="20"/>
                <w:color w:val="auto"/>
              </w:rPr>
            </w:pPr>
            <w:r>
              <w:rPr>
                <w:rFonts w:ascii="Arial" w:cs="Arial" w:eastAsia="Arial" w:hAnsi="Arial"/>
                <w:sz w:val="18"/>
                <w:szCs w:val="18"/>
                <w:color w:val="auto"/>
                <w:w w:val="95"/>
              </w:rPr>
              <w:t>(24)%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10,679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11,734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(9)%</w:t>
            </w: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11"/>
              <w:spacing w:after="0"/>
              <w:rPr>
                <w:sz w:val="20"/>
                <w:szCs w:val="20"/>
                <w:color w:val="auto"/>
              </w:rPr>
            </w:pPr>
            <w:r>
              <w:rPr>
                <w:rFonts w:ascii="Arial" w:cs="Arial" w:eastAsia="Arial" w:hAnsi="Arial"/>
                <w:sz w:val="18"/>
                <w:szCs w:val="18"/>
                <w:color w:val="auto"/>
                <w:w w:val="88"/>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r>
      <w:tr>
        <w:trPr>
          <w:trHeight w:val="243"/>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5,520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5,763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right="11"/>
              <w:spacing w:after="0"/>
              <w:rPr>
                <w:sz w:val="20"/>
                <w:szCs w:val="20"/>
                <w:color w:val="auto"/>
              </w:rPr>
            </w:pPr>
            <w:r>
              <w:rPr>
                <w:rFonts w:ascii="Arial" w:cs="Arial" w:eastAsia="Arial" w:hAnsi="Arial"/>
                <w:sz w:val="18"/>
                <w:szCs w:val="18"/>
                <w:color w:val="auto"/>
                <w:w w:val="94"/>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17,731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18,062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(2)%</w:t>
            </w: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31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23,887</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center"/>
              <w:ind w:right="11"/>
              <w:spacing w:after="0"/>
              <w:rPr>
                <w:sz w:val="20"/>
                <w:szCs w:val="20"/>
                <w:color w:val="auto"/>
              </w:rPr>
            </w:pPr>
            <w:r>
              <w:rPr>
                <w:rFonts w:ascii="Arial" w:cs="Arial" w:eastAsia="Arial" w:hAnsi="Arial"/>
                <w:sz w:val="18"/>
                <w:szCs w:val="18"/>
                <w:color w:val="auto"/>
                <w:w w:val="92"/>
              </w:rPr>
              <w:t>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72,851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71,959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1%</w:t>
            </w:r>
          </w:p>
        </w:tc>
      </w:tr>
      <w:tr>
        <w:trPr>
          <w:trHeight w:val="27"/>
        </w:trPr>
        <w:tc>
          <w:tcPr>
            <w:tcW w:w="10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4"/>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31"/>
              <w:spacing w:after="0"/>
              <w:rPr>
                <w:sz w:val="20"/>
                <w:szCs w:val="20"/>
                <w:color w:val="auto"/>
              </w:rPr>
            </w:pPr>
            <w:r>
              <w:rPr>
                <w:rFonts w:ascii="Arial" w:cs="Arial" w:eastAsia="Arial" w:hAnsi="Arial"/>
                <w:sz w:val="18"/>
                <w:szCs w:val="18"/>
                <w:color w:val="auto"/>
                <w:w w:val="94"/>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(18)%</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right="11"/>
              <w:spacing w:after="0"/>
              <w:rPr>
                <w:sz w:val="20"/>
                <w:szCs w:val="20"/>
                <w:color w:val="auto"/>
              </w:rPr>
            </w:pPr>
            <w:r>
              <w:rPr>
                <w:rFonts w:ascii="Arial" w:cs="Arial" w:eastAsia="Arial" w:hAnsi="Arial"/>
                <w:sz w:val="18"/>
                <w:szCs w:val="18"/>
                <w:color w:val="auto"/>
                <w:w w:val="92"/>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24%</w:t>
            </w:r>
          </w:p>
        </w:tc>
      </w:tr>
      <w:tr>
        <w:trPr>
          <w:trHeight w:val="27"/>
        </w:trPr>
        <w:tc>
          <w:tcPr>
            <w:tcW w:w="1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center"/>
              <w:ind w:right="31"/>
              <w:spacing w:after="0"/>
              <w:rPr>
                <w:sz w:val="20"/>
                <w:szCs w:val="20"/>
                <w:color w:val="auto"/>
              </w:rPr>
            </w:pPr>
            <w:r>
              <w:rPr>
                <w:rFonts w:ascii="Arial" w:cs="Arial" w:eastAsia="Arial" w:hAnsi="Arial"/>
                <w:sz w:val="18"/>
                <w:szCs w:val="18"/>
                <w:color w:val="auto"/>
                <w:w w:val="91"/>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178%</w:t>
            </w:r>
          </w:p>
        </w:tc>
      </w:tr>
      <w:tr>
        <w:trPr>
          <w:trHeight w:val="297"/>
        </w:trPr>
        <w:tc>
          <w:tcPr>
            <w:tcW w:w="31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loss and comprehensive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(7,049)</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jc w:val="center"/>
              <w:ind w:right="31"/>
              <w:spacing w:after="0"/>
              <w:rPr>
                <w:sz w:val="20"/>
                <w:szCs w:val="20"/>
                <w:color w:val="auto"/>
              </w:rPr>
            </w:pPr>
            <w:r>
              <w:rPr>
                <w:rFonts w:ascii="Arial" w:cs="Arial" w:eastAsia="Arial" w:hAnsi="Arial"/>
                <w:sz w:val="18"/>
                <w:szCs w:val="18"/>
                <w:color w:val="auto"/>
                <w:w w:val="94"/>
              </w:rPr>
              <w:t>25%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(22,564)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(26,955)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4,391</w:t>
            </w: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5"/>
              </w:rPr>
              <w:t>(16)%</w:t>
            </w:r>
          </w:p>
        </w:tc>
      </w:tr>
      <w:tr>
        <w:trPr>
          <w:trHeight w:val="210"/>
        </w:trPr>
        <w:tc>
          <w:tcPr>
            <w:tcW w:w="310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Other Operating Data:</w:t>
            </w: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Genomic classifiers reported</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6,533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5,740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right="31"/>
              <w:spacing w:after="0"/>
              <w:rPr>
                <w:sz w:val="20"/>
                <w:szCs w:val="20"/>
                <w:color w:val="auto"/>
              </w:rPr>
            </w:pPr>
            <w:r>
              <w:rPr>
                <w:rFonts w:ascii="Arial" w:cs="Arial" w:eastAsia="Arial" w:hAnsi="Arial"/>
                <w:sz w:val="18"/>
                <w:szCs w:val="18"/>
                <w:color w:val="auto"/>
                <w:w w:val="94"/>
              </w:rPr>
              <w:t>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18,873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16,924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1,949</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12%</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incurred a net loss of $7.0 million and $22.6 million for the three and nine months ended September 30, 2017 compared to a net loss of $5.6 million and $27.0 million in the same periods in 2016. As of September 30, 2017, we had an accumulated deficit of $202.6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 recognized on the accrual basis and cash basis for the three and nine months ended September 30, 2017 and 2016 was as follows (in thousands of dollars):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w w:val="98"/>
              </w:rPr>
              <w:t>Three Months Ended September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2"/>
              </w:rPr>
              <w:t>Nine Months Ended September 30,</w:t>
            </w:r>
          </w:p>
        </w:tc>
        <w:tc>
          <w:tcPr>
            <w:tcW w:w="800" w:type="dxa"/>
            <w:vAlign w:val="bottom"/>
            <w:tcBorders>
              <w:bottom w:val="single" w:sz="8" w:color="auto"/>
            </w:tcBorders>
          </w:tcPr>
          <w:p>
            <w:pPr>
              <w:spacing w:after="0"/>
              <w:rPr>
                <w:sz w:val="16"/>
                <w:szCs w:val="16"/>
                <w:color w:val="auto"/>
              </w:rPr>
            </w:pPr>
          </w:p>
        </w:tc>
      </w:tr>
      <w:tr>
        <w:trPr>
          <w:trHeight w:val="264"/>
        </w:trPr>
        <w:tc>
          <w:tcPr>
            <w:tcW w:w="35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7"/>
              </w:rPr>
              <w:t>Change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w:t>
            </w: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 on the accrual basis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17,257</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50,007</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31,478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18,529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Revenue recognized on the cash basis</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4,700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2,350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15,350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(13,000)</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57"/>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17,519</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18,603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52,357</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46,828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5,529</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Revenue decreased $1.1 million, or 6%, for the three months ended September 30, 2017 compared to the same period in 2016. Revenue recognized on the accrual basis increased $3.4 million, or 24%, for the three months ended September 30, 2017 compared to the same period in 2016, primarily due to an increase in accrued genomic classifiers revenue of $3.5 million to $15.2 million for the three months ended September 30, 2017 compared to $11.7 million for the same period in 2016. The increase in accrued genomic classifiers revenue is due to a volume increase of 16% of accrued tests from increased adoption of Afirma and an average accrual rate increase of 12% from higher historical payer collections resulting from more coverage and contracts with payers. Commencing from the quarter ended September 30, 2016, we had sufficient information developed to support reasonable estimates of the amount of revenue to accrue upon test delivery for a number of payers that had been previously recognized on the cash basis and as a result, we accrued revenue for substantially all of our test volume. The cash basis revenue for unaccrued tests delivered prior to July 1, 2016 decreased $4.4 million, or 94%, for the three months ended September 30, 2017 as compared to the same period in 2016.</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Revenue increased $5.5 million, or 12%, for the nine months ended September 30, 2017 compared to the same period in 2016. Revenue recognized on the accrual basis increased $18.5 million, or 59%, for the nine months ended September 30, 2017 compared to the same period in 2016, due to increased adoption of Afirma and, increases in the accrual rates for Afirma from higher historical reimbursement from payers. Commencing from the quarter ended September 30, 2016, we had sufficient information developed to support reasonable estimates of the amount of revenue to accrue upon test delivery for a number of payers that had been previously recognized on the cash basis and as a result, we accrued revenue for substantially all of our test volume. The cash basis revenue for unaccrued tests delivered prior to July 1, 2016 decreased $13.0 million, or 85%, for the nine months ended September 30, 2017 as compared to the same period in 2016.</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4"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Comparison of the three and nine months ended September 30, 2017 and 2016 was as follows (in thousands of dollars, except percentages):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w w:val="96"/>
              </w:rPr>
              <w:t>Three Months Ended 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7"/>
              </w:rPr>
              <w:t>Nine Months Ended September 30,</w:t>
            </w:r>
          </w:p>
        </w:tc>
        <w:tc>
          <w:tcPr>
            <w:tcW w:w="760" w:type="dxa"/>
            <w:vAlign w:val="bottom"/>
            <w:tcBorders>
              <w:bottom w:val="single" w:sz="8" w:color="auto"/>
            </w:tcBorders>
          </w:tcPr>
          <w:p>
            <w:pPr>
              <w:spacing w:after="0"/>
              <w:rPr>
                <w:sz w:val="16"/>
                <w:szCs w:val="16"/>
                <w:color w:val="auto"/>
              </w:rPr>
            </w:pPr>
          </w:p>
        </w:tc>
      </w:tr>
      <w:tr>
        <w:trPr>
          <w:trHeight w:val="264"/>
        </w:trPr>
        <w:tc>
          <w:tcPr>
            <w:tcW w:w="3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jc w:val="center"/>
              <w:ind w:right="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jc w:val="center"/>
              <w:ind w:right="52"/>
              <w:spacing w:after="0"/>
              <w:rPr>
                <w:sz w:val="20"/>
                <w:szCs w:val="20"/>
                <w:color w:val="auto"/>
              </w:rPr>
            </w:pPr>
            <w:r>
              <w:rPr>
                <w:rFonts w:ascii="Arial" w:cs="Arial" w:eastAsia="Arial" w:hAnsi="Arial"/>
                <w:sz w:val="14"/>
                <w:szCs w:val="14"/>
                <w:b w:val="1"/>
                <w:bCs w:val="1"/>
                <w:color w:val="auto"/>
              </w:rPr>
              <w:t>%</w:t>
            </w:r>
          </w:p>
        </w:tc>
      </w:tr>
      <w:tr>
        <w:trPr>
          <w:trHeight w:val="250"/>
        </w:trPr>
        <w:tc>
          <w:tcPr>
            <w:tcW w:w="3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Laboratory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3,686</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3,152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88"/>
              </w:rPr>
              <w:t>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10,295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9,560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32"/>
              <w:spacing w:after="0"/>
              <w:rPr>
                <w:sz w:val="20"/>
                <w:szCs w:val="20"/>
                <w:color w:val="auto"/>
              </w:rPr>
            </w:pPr>
            <w:r>
              <w:rPr>
                <w:rFonts w:ascii="Arial" w:cs="Arial" w:eastAsia="Arial" w:hAnsi="Arial"/>
                <w:sz w:val="18"/>
                <w:szCs w:val="18"/>
                <w:color w:val="auto"/>
                <w:w w:val="92"/>
              </w:rPr>
              <w:t>8%</w:t>
            </w:r>
          </w:p>
        </w:tc>
      </w:tr>
      <w:tr>
        <w:trPr>
          <w:trHeight w:val="27"/>
        </w:trPr>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Sample collection costs</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right="32"/>
              <w:spacing w:after="0"/>
              <w:rPr>
                <w:sz w:val="20"/>
                <w:szCs w:val="20"/>
                <w:color w:val="auto"/>
              </w:rPr>
            </w:pPr>
            <w:r>
              <w:rPr>
                <w:rFonts w:ascii="Arial" w:cs="Arial" w:eastAsia="Arial" w:hAnsi="Arial"/>
                <w:sz w:val="18"/>
                <w:szCs w:val="18"/>
                <w:color w:val="auto"/>
                <w:w w:val="92"/>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right="32"/>
              <w:spacing w:after="0"/>
              <w:rPr>
                <w:sz w:val="20"/>
                <w:szCs w:val="20"/>
                <w:color w:val="auto"/>
              </w:rPr>
            </w:pPr>
            <w:r>
              <w:rPr>
                <w:rFonts w:ascii="Arial" w:cs="Arial" w:eastAsia="Arial" w:hAnsi="Arial"/>
                <w:sz w:val="18"/>
                <w:szCs w:val="18"/>
                <w:color w:val="auto"/>
                <w:w w:val="94"/>
              </w:rPr>
              <w:t>(3)%</w:t>
            </w: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88"/>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2,773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52"/>
              <w:spacing w:after="0"/>
              <w:rPr>
                <w:sz w:val="20"/>
                <w:szCs w:val="20"/>
                <w:color w:val="auto"/>
              </w:rPr>
            </w:pPr>
            <w:r>
              <w:rPr>
                <w:rFonts w:ascii="Arial" w:cs="Arial" w:eastAsia="Arial" w:hAnsi="Arial"/>
                <w:sz w:val="18"/>
                <w:szCs w:val="18"/>
                <w:color w:val="auto"/>
                <w:w w:val="94"/>
              </w:rPr>
              <w:t>17%</w:t>
            </w:r>
          </w:p>
        </w:tc>
      </w:tr>
      <w:tr>
        <w:trPr>
          <w:trHeight w:val="27"/>
        </w:trPr>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License fees and royalties</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right="32"/>
              <w:spacing w:after="0"/>
              <w:rPr>
                <w:sz w:val="20"/>
                <w:szCs w:val="20"/>
                <w:color w:val="auto"/>
              </w:rPr>
            </w:pPr>
            <w:r>
              <w:rPr>
                <w:rFonts w:ascii="Arial" w:cs="Arial" w:eastAsia="Arial" w:hAnsi="Arial"/>
                <w:sz w:val="18"/>
                <w:szCs w:val="18"/>
                <w:color w:val="auto"/>
                <w:w w:val="91"/>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color w:val="auto"/>
                <w:w w:val="94"/>
              </w:rPr>
              <w:t>10%</w:t>
            </w: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88"/>
              </w:rPr>
              <w:t>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52"/>
              <w:spacing w:after="0"/>
              <w:rPr>
                <w:sz w:val="20"/>
                <w:szCs w:val="20"/>
                <w:color w:val="auto"/>
              </w:rPr>
            </w:pPr>
            <w:r>
              <w:rPr>
                <w:rFonts w:ascii="Arial" w:cs="Arial" w:eastAsia="Arial" w:hAnsi="Arial"/>
                <w:sz w:val="18"/>
                <w:szCs w:val="18"/>
                <w:color w:val="auto"/>
                <w:w w:val="94"/>
              </w:rPr>
              <w:t>12%</w:t>
            </w:r>
          </w:p>
        </w:tc>
      </w:tr>
      <w:tr>
        <w:trPr>
          <w:trHeight w:val="27"/>
        </w:trPr>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right="32"/>
              <w:spacing w:after="0"/>
              <w:rPr>
                <w:sz w:val="20"/>
                <w:szCs w:val="20"/>
                <w:color w:val="auto"/>
              </w:rPr>
            </w:pPr>
            <w:r>
              <w:rPr>
                <w:rFonts w:ascii="Arial" w:cs="Arial" w:eastAsia="Arial" w:hAnsi="Arial"/>
                <w:sz w:val="18"/>
                <w:szCs w:val="18"/>
                <w:color w:val="auto"/>
                <w:w w:val="88"/>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color w:val="auto"/>
                <w:w w:val="94"/>
              </w:rPr>
              <w:t>21%</w:t>
            </w: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Allocations</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1,317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32"/>
              <w:spacing w:after="0"/>
              <w:rPr>
                <w:sz w:val="20"/>
                <w:szCs w:val="20"/>
                <w:color w:val="auto"/>
              </w:rPr>
            </w:pPr>
            <w:r>
              <w:rPr>
                <w:rFonts w:ascii="Arial" w:cs="Arial" w:eastAsia="Arial" w:hAnsi="Arial"/>
                <w:sz w:val="18"/>
                <w:szCs w:val="18"/>
                <w:color w:val="auto"/>
                <w:w w:val="92"/>
              </w:rPr>
              <w:t>1%</w:t>
            </w:r>
          </w:p>
        </w:tc>
      </w:tr>
      <w:tr>
        <w:trPr>
          <w:trHeight w:val="27"/>
        </w:trPr>
        <w:tc>
          <w:tcPr>
            <w:tcW w:w="3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r>
      <w:tr>
        <w:trPr>
          <w:trHeight w:val="257"/>
        </w:trPr>
        <w:tc>
          <w:tcPr>
            <w:tcW w:w="3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6,367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88"/>
              </w:rPr>
              <w:t>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20,426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18,947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2"/>
              </w:rPr>
              <w:t>8%</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Cost of revenue increased $802,000, or 13%, for the three months ended September 30, 2017 compared to the same period in 2016. Given our corporate focus on Afirma genomic classifier growth, Afirma classifier tests increased by 13%, offsetting a 7% decrease in cytopathology tests. The increase in laboratory costs is due to increased Afirma classifier test volume and costs associated with the next generation Afirma GSC, partially offset by a decrease in cytopathology fees related to a decrease in FNA samples processed. The increase in compensation expense is associated with the mix shift to relatively more Afirma classifier versus cytopathology tests, as more labor hours are incurred on Afirma classifier tests compared to cytopathology tests and at a higher average employee cost, as well as an average laboratory headcount increase of 15%. The decrease in license fees and royalties is due to lower revenue and the shift to the Afirma GSC that does not incur a separate license fee.</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Cost of revenue increased $1.5 million, or 8%, for the nine months ended September 30, 2017 compared to the same period in 2016. Given our corporate focus on Afirma genomic classifier growth, Afirma classifier tests increased by 11%, offsetting a 6% decrease in cytopathology tests. The increase in laboratory costs is due to increased Afirma classifier test volume and costs associated with the next generation Afirma GSC, partially offset by a decrease in cytopathology fees related to a decrease in FNA samples processed. The increase in compensation expense is associated with the mix shift to relatively more Afirma classifier versus cytopathology tests, as more labor hours are incurred on Afirma classifier tests compared to cytopathology tests and at a higher average employee cost, as well as an average laboratory headcount increase of 14%. The increase in license fees and royalties is due to higher revenue. The increase in other expenses is primarily due to equipment maintenance costs and laboratory supplies.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Comparison of the three and nine months ended September 30, 2017 and 2016 is as follows (in thousands of dollars, except percentages):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w w:val="96"/>
              </w:rPr>
              <w:t>Three Months Ended 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6"/>
              </w:rPr>
              <w:t>Nine Months Ended September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jc w:val="center"/>
              <w:ind w:right="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jc w:val="center"/>
              <w:ind w:right="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1,863</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2,071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91"/>
              </w:rPr>
              <w:t>(10)%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6,212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5,953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right="12"/>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Direct research and development expense</w:t>
            </w:r>
          </w:p>
        </w:tc>
        <w:tc>
          <w:tcPr>
            <w:tcW w:w="220" w:type="dxa"/>
            <w:vAlign w:val="bottom"/>
            <w:shd w:val="clear" w:color="auto" w:fill="CCEEFF"/>
          </w:tcPr>
          <w:p>
            <w:pPr>
              <w:spacing w:after="0"/>
              <w:rPr>
                <w:sz w:val="21"/>
                <w:szCs w:val="2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1,074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vMerge w:val="restart"/>
            <w:shd w:val="clear" w:color="auto" w:fill="CCEEFF"/>
          </w:tcPr>
          <w:p>
            <w:pPr>
              <w:jc w:val="center"/>
              <w:ind w:right="32"/>
              <w:spacing w:after="0"/>
              <w:rPr>
                <w:sz w:val="20"/>
                <w:szCs w:val="20"/>
                <w:color w:val="auto"/>
              </w:rPr>
            </w:pPr>
            <w:r>
              <w:rPr>
                <w:rFonts w:ascii="Arial" w:cs="Arial" w:eastAsia="Arial" w:hAnsi="Arial"/>
                <w:sz w:val="18"/>
                <w:szCs w:val="18"/>
                <w:color w:val="auto"/>
                <w:w w:val="91"/>
              </w:rPr>
              <w:t>(60)%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3,295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vMerge w:val="restart"/>
            <w:shd w:val="clear" w:color="auto" w:fill="CCEEFF"/>
          </w:tcPr>
          <w:p>
            <w:pPr>
              <w:jc w:val="center"/>
              <w:ind w:right="32"/>
              <w:spacing w:after="0"/>
              <w:rPr>
                <w:sz w:val="20"/>
                <w:szCs w:val="20"/>
                <w:color w:val="auto"/>
              </w:rPr>
            </w:pPr>
            <w:r>
              <w:rPr>
                <w:rFonts w:ascii="Arial" w:cs="Arial" w:eastAsia="Arial" w:hAnsi="Arial"/>
                <w:sz w:val="18"/>
                <w:szCs w:val="18"/>
                <w:color w:val="auto"/>
                <w:w w:val="95"/>
              </w:rPr>
              <w:t>(39)%</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94"/>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right="12"/>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right="32"/>
              <w:spacing w:after="0"/>
              <w:rPr>
                <w:sz w:val="20"/>
                <w:szCs w:val="20"/>
                <w:color w:val="auto"/>
              </w:rPr>
            </w:pPr>
            <w:r>
              <w:rPr>
                <w:rFonts w:ascii="Arial" w:cs="Arial" w:eastAsia="Arial" w:hAnsi="Arial"/>
                <w:sz w:val="18"/>
                <w:szCs w:val="18"/>
                <w:color w:val="auto"/>
                <w:w w:val="94"/>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32"/>
              <w:spacing w:after="0"/>
              <w:rPr>
                <w:sz w:val="20"/>
                <w:szCs w:val="20"/>
                <w:color w:val="auto"/>
              </w:rPr>
            </w:pPr>
            <w:r>
              <w:rPr>
                <w:rFonts w:ascii="Arial" w:cs="Arial" w:eastAsia="Arial" w:hAnsi="Arial"/>
                <w:sz w:val="18"/>
                <w:szCs w:val="18"/>
                <w:color w:val="auto"/>
                <w:w w:val="94"/>
              </w:rPr>
              <w:t>16%</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91"/>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right="32"/>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Allocations</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center"/>
              <w:ind w:right="32"/>
              <w:spacing w:after="0"/>
              <w:rPr>
                <w:sz w:val="20"/>
                <w:szCs w:val="20"/>
                <w:color w:val="auto"/>
              </w:rPr>
            </w:pPr>
            <w:r>
              <w:rPr>
                <w:rFonts w:ascii="Arial" w:cs="Arial" w:eastAsia="Arial" w:hAnsi="Arial"/>
                <w:sz w:val="18"/>
                <w:szCs w:val="18"/>
                <w:color w:val="auto"/>
                <w:w w:val="91"/>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center"/>
              <w:ind w:right="12"/>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57"/>
        </w:trPr>
        <w:tc>
          <w:tcPr>
            <w:tcW w:w="332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4,006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91"/>
              </w:rPr>
              <w:t>(24)%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10,679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11,734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center"/>
              <w:ind w:right="12"/>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452"/>
              <w:spacing w:after="0"/>
              <w:rPr>
                <w:sz w:val="20"/>
                <w:szCs w:val="20"/>
                <w:color w:val="auto"/>
              </w:rPr>
            </w:pPr>
            <w:r>
              <w:rPr>
                <w:rFonts w:ascii="Arial" w:cs="Arial" w:eastAsia="Arial" w:hAnsi="Arial"/>
                <w:sz w:val="18"/>
                <w:szCs w:val="18"/>
                <w:color w:val="auto"/>
                <w:w w:val="99"/>
              </w:rPr>
              <w:t>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Research and development expense decreased $960,000, or 24%, for the three months ended September 30, 2017 compared to the same period in 2016. The decrease in compensation expense was primarily due to lower incentive compensation. The decrease in direct research and development expense was due to a lesser amount of materials purchased for research and development experiments following the completion of several major projects.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 decreased $1.1 million, or 9%, for the nine months ended September 30, 2017 compared to the same period in 2016. The increase in compensation expense was primarily due to a 10% increase in average headcount partially offset by lower incentive compensation. The decrease in direct research and development expense was due to a lesser amount of materials purchased for research and development experiments following the completion of several major projects.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Comparison of the three and nine months ended September 30, 2017 and 2016 is as follows (in thousands of dollars, except percentages):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w w:val="95"/>
              </w:rPr>
              <w:t>Three Months Ended 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5"/>
              </w:rPr>
              <w:t>Nine Months Ended September 30,</w:t>
            </w:r>
          </w:p>
        </w:tc>
        <w:tc>
          <w:tcPr>
            <w:tcW w:w="800" w:type="dxa"/>
            <w:vAlign w:val="bottom"/>
            <w:tcBorders>
              <w:bottom w:val="single" w:sz="8" w:color="auto"/>
            </w:tcBorders>
          </w:tcPr>
          <w:p>
            <w:pPr>
              <w:spacing w:after="0"/>
              <w:rPr>
                <w:sz w:val="16"/>
                <w:szCs w:val="16"/>
                <w:color w:val="auto"/>
              </w:rPr>
            </w:pPr>
          </w:p>
        </w:tc>
      </w:tr>
      <w:tr>
        <w:trPr>
          <w:trHeight w:val="264"/>
        </w:trPr>
        <w:tc>
          <w:tcPr>
            <w:tcW w:w="3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jc w:val="center"/>
              <w:ind w:right="12"/>
              <w:spacing w:after="0"/>
              <w:rPr>
                <w:sz w:val="20"/>
                <w:szCs w:val="20"/>
                <w:color w:val="auto"/>
              </w:rPr>
            </w:pPr>
            <w:r>
              <w:rPr>
                <w:rFonts w:ascii="Arial" w:cs="Arial" w:eastAsia="Arial" w:hAnsi="Arial"/>
                <w:sz w:val="14"/>
                <w:szCs w:val="14"/>
                <w:b w:val="1"/>
                <w:bCs w:val="1"/>
                <w:color w:val="auto"/>
              </w:rPr>
              <w:t>%</w:t>
            </w:r>
          </w:p>
        </w:tc>
      </w:tr>
      <w:tr>
        <w:trPr>
          <w:trHeight w:val="236"/>
        </w:trPr>
        <w:tc>
          <w:tcPr>
            <w:tcW w:w="3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 expense:</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4,321</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3,372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88"/>
              </w:rPr>
              <w:t>28%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13,056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10,801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color w:val="auto"/>
                <w:w w:val="94"/>
              </w:rPr>
              <w:t>21%</w:t>
            </w:r>
          </w:p>
        </w:tc>
      </w:tr>
      <w:tr>
        <w:trPr>
          <w:trHeight w:val="27"/>
        </w:trPr>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marketing expense</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right="12"/>
              <w:spacing w:after="0"/>
              <w:rPr>
                <w:sz w:val="20"/>
                <w:szCs w:val="20"/>
                <w:color w:val="auto"/>
              </w:rPr>
            </w:pPr>
            <w:r>
              <w:rPr>
                <w:rFonts w:ascii="Arial" w:cs="Arial" w:eastAsia="Arial" w:hAnsi="Arial"/>
                <w:sz w:val="18"/>
                <w:szCs w:val="18"/>
                <w:color w:val="auto"/>
                <w:w w:val="88"/>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right="12"/>
              <w:spacing w:after="0"/>
              <w:rPr>
                <w:sz w:val="20"/>
                <w:szCs w:val="20"/>
                <w:color w:val="auto"/>
              </w:rPr>
            </w:pPr>
            <w:r>
              <w:rPr>
                <w:rFonts w:ascii="Arial" w:cs="Arial" w:eastAsia="Arial" w:hAnsi="Arial"/>
                <w:sz w:val="18"/>
                <w:szCs w:val="18"/>
                <w:color w:val="auto"/>
                <w:w w:val="94"/>
              </w:rPr>
              <w:t>93%</w:t>
            </w: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Genzyme co-promotion expense, net</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color w:val="auto"/>
                <w:w w:val="92"/>
              </w:rPr>
              <w:t>(100)%</w:t>
            </w:r>
          </w:p>
        </w:tc>
      </w:tr>
      <w:tr>
        <w:trPr>
          <w:trHeight w:val="27"/>
        </w:trPr>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right="12"/>
              <w:spacing w:after="0"/>
              <w:rPr>
                <w:sz w:val="20"/>
                <w:szCs w:val="20"/>
                <w:color w:val="auto"/>
              </w:rPr>
            </w:pPr>
            <w:r>
              <w:rPr>
                <w:rFonts w:ascii="Arial" w:cs="Arial" w:eastAsia="Arial" w:hAnsi="Arial"/>
                <w:sz w:val="18"/>
                <w:szCs w:val="18"/>
                <w:color w:val="auto"/>
                <w:w w:val="91"/>
              </w:rPr>
              <w:t>212%</w:t>
            </w: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88"/>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3,180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2,543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color w:val="auto"/>
                <w:w w:val="94"/>
              </w:rPr>
              <w:t>25%</w:t>
            </w:r>
          </w:p>
        </w:tc>
      </w:tr>
      <w:tr>
        <w:trPr>
          <w:trHeight w:val="27"/>
        </w:trPr>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Allocations</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center"/>
              <w:ind w:right="12"/>
              <w:spacing w:after="0"/>
              <w:rPr>
                <w:sz w:val="20"/>
                <w:szCs w:val="20"/>
                <w:color w:val="auto"/>
              </w:rPr>
            </w:pPr>
            <w:r>
              <w:rPr>
                <w:rFonts w:ascii="Arial" w:cs="Arial" w:eastAsia="Arial" w:hAnsi="Arial"/>
                <w:sz w:val="18"/>
                <w:szCs w:val="18"/>
                <w:color w:val="auto"/>
                <w:w w:val="92"/>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w:t>
            </w:r>
          </w:p>
        </w:tc>
      </w:tr>
      <w:tr>
        <w:trPr>
          <w:trHeight w:val="257"/>
        </w:trPr>
        <w:tc>
          <w:tcPr>
            <w:tcW w:w="332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7,885</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7,087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88"/>
              </w:rPr>
              <w:t>11%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23,215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22,416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4%</w:t>
            </w:r>
          </w:p>
        </w:tc>
      </w:tr>
      <w:tr>
        <w:trPr>
          <w:trHeight w:val="20"/>
        </w:trPr>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Selling and marketing expense increased $798,000, or 11%, for the three months ended September 30, 2017 compared to the same period in 2016. The increase in compensation expense was due to a 24% increase in average headcount mainly from increases of our sales and marketing personnel due to the termination of the Genzyme co-promotion agreement. The increase in direct marketing expense was due to higher trade shows and marketing costs. The decrease in Genzyme co-promotion expense, net, reflects the termination of the Genzyme co-promotion agreement effective September 9, 2016. The increase in professional fees is due to consulting expenses. The increase in other expenses is primarily due to travel and communication costs associated with the 24% increase in average headcount.</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Selling and marketing expense increased $799,000, or 4%, for the nine months ended September 30, 2017 compared to the same period in 2016. The increase in compensation expense was due to a 23% increase in average headcount mainly from increases of our sales and marketing personnel due to the termination of the Genzyme co-promotion agreement. The increase in direct marketing expense was due to corporate rebranding expenses, trade shows and marketing costs. The decrease in Genzyme co-promotion expense, net, reflects the termination of the Genzyme co-promotion agreement effective September 9, 2016. The increase in professional fees is due to consulting expenses. The increase in other expenses is primarily due to travel and communication costs associated with the 23% increase in average headcount.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Comparison of the three and nine months ended September 30, 2017 and 2016 is as follows (in thousands of dollars, except percentages):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w w:val="97"/>
              </w:rPr>
              <w:t>Three Months Ended 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6"/>
              </w:rPr>
              <w:t>Nine Months Ended September 30,</w:t>
            </w:r>
          </w:p>
        </w:tc>
        <w:tc>
          <w:tcPr>
            <w:tcW w:w="780" w:type="dxa"/>
            <w:vAlign w:val="bottom"/>
            <w:tcBorders>
              <w:bottom w:val="single" w:sz="8" w:color="auto"/>
            </w:tcBorders>
          </w:tcPr>
          <w:p>
            <w:pPr>
              <w:spacing w:after="0"/>
              <w:rPr>
                <w:sz w:val="16"/>
                <w:szCs w:val="16"/>
                <w:color w:val="auto"/>
              </w:rPr>
            </w:pPr>
          </w:p>
        </w:tc>
      </w:tr>
      <w:tr>
        <w:trPr>
          <w:trHeight w:val="264"/>
        </w:trPr>
        <w:tc>
          <w:tcPr>
            <w:tcW w:w="3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jc w:val="center"/>
              <w:ind w:right="3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jc w:val="center"/>
              <w:ind w:right="32"/>
              <w:spacing w:after="0"/>
              <w:rPr>
                <w:sz w:val="20"/>
                <w:szCs w:val="20"/>
                <w:color w:val="auto"/>
              </w:rPr>
            </w:pPr>
            <w:r>
              <w:rPr>
                <w:rFonts w:ascii="Arial" w:cs="Arial" w:eastAsia="Arial" w:hAnsi="Arial"/>
                <w:sz w:val="14"/>
                <w:szCs w:val="14"/>
                <w:b w:val="1"/>
                <w:bCs w:val="1"/>
                <w:color w:val="auto"/>
              </w:rPr>
              <w:t>%</w:t>
            </w:r>
          </w:p>
        </w:tc>
      </w:tr>
      <w:tr>
        <w:trPr>
          <w:trHeight w:val="236"/>
        </w:trPr>
        <w:tc>
          <w:tcPr>
            <w:tcW w:w="3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3,476</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3,893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right="52"/>
              <w:spacing w:after="0"/>
              <w:rPr>
                <w:sz w:val="20"/>
                <w:szCs w:val="20"/>
                <w:color w:val="auto"/>
              </w:rPr>
            </w:pPr>
            <w:r>
              <w:rPr>
                <w:rFonts w:ascii="Arial" w:cs="Arial" w:eastAsia="Arial" w:hAnsi="Arial"/>
                <w:sz w:val="18"/>
                <w:szCs w:val="18"/>
                <w:color w:val="auto"/>
                <w:w w:val="91"/>
              </w:rPr>
              <w:t>(11)%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11,464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11,847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right="12"/>
              <w:spacing w:after="0"/>
              <w:rPr>
                <w:sz w:val="20"/>
                <w:szCs w:val="20"/>
                <w:color w:val="auto"/>
              </w:rPr>
            </w:pPr>
            <w:r>
              <w:rPr>
                <w:rFonts w:ascii="Arial" w:cs="Arial" w:eastAsia="Arial" w:hAnsi="Arial"/>
                <w:sz w:val="18"/>
                <w:szCs w:val="18"/>
                <w:color w:val="auto"/>
                <w:w w:val="94"/>
              </w:rPr>
              <w:t>(3)%</w:t>
            </w:r>
          </w:p>
        </w:tc>
      </w:tr>
      <w:tr>
        <w:trPr>
          <w:trHeight w:val="27"/>
        </w:trPr>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color w:val="auto"/>
                <w:w w:val="92"/>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12"/>
              <w:spacing w:after="0"/>
              <w:rPr>
                <w:sz w:val="20"/>
                <w:szCs w:val="20"/>
                <w:color w:val="auto"/>
              </w:rPr>
            </w:pPr>
            <w:r>
              <w:rPr>
                <w:rFonts w:ascii="Arial" w:cs="Arial" w:eastAsia="Arial" w:hAnsi="Arial"/>
                <w:sz w:val="18"/>
                <w:szCs w:val="18"/>
                <w:color w:val="auto"/>
                <w:w w:val="92"/>
              </w:rPr>
              <w:t>4%</w:t>
            </w: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Occupancy costs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right="52"/>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right="32"/>
              <w:spacing w:after="0"/>
              <w:rPr>
                <w:sz w:val="20"/>
                <w:szCs w:val="20"/>
                <w:color w:val="auto"/>
              </w:rPr>
            </w:pPr>
            <w:r>
              <w:rPr>
                <w:rFonts w:ascii="Arial" w:cs="Arial" w:eastAsia="Arial" w:hAnsi="Arial"/>
                <w:sz w:val="18"/>
                <w:szCs w:val="18"/>
                <w:color w:val="auto"/>
                <w:w w:val="95"/>
              </w:rPr>
              <w:t>(18)%</w:t>
            </w:r>
          </w:p>
        </w:tc>
      </w:tr>
      <w:tr>
        <w:trPr>
          <w:trHeight w:val="27"/>
        </w:trPr>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color w:val="auto"/>
                <w:w w:val="92"/>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32"/>
              <w:spacing w:after="0"/>
              <w:rPr>
                <w:sz w:val="20"/>
                <w:szCs w:val="20"/>
                <w:color w:val="auto"/>
              </w:rPr>
            </w:pPr>
            <w:r>
              <w:rPr>
                <w:rFonts w:ascii="Arial" w:cs="Arial" w:eastAsia="Arial" w:hAnsi="Arial"/>
                <w:sz w:val="18"/>
                <w:szCs w:val="18"/>
                <w:color w:val="auto"/>
                <w:w w:val="94"/>
              </w:rPr>
              <w:t>13%</w:t>
            </w: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right="52"/>
              <w:spacing w:after="0"/>
              <w:rPr>
                <w:sz w:val="20"/>
                <w:szCs w:val="20"/>
                <w:color w:val="auto"/>
              </w:rPr>
            </w:pPr>
            <w:r>
              <w:rPr>
                <w:rFonts w:ascii="Arial" w:cs="Arial" w:eastAsia="Arial" w:hAnsi="Arial"/>
                <w:sz w:val="18"/>
                <w:szCs w:val="18"/>
                <w:color w:val="auto"/>
                <w:w w:val="88"/>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2,508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2,434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right="12"/>
              <w:spacing w:after="0"/>
              <w:rPr>
                <w:sz w:val="20"/>
                <w:szCs w:val="20"/>
                <w:color w:val="auto"/>
              </w:rPr>
            </w:pPr>
            <w:r>
              <w:rPr>
                <w:rFonts w:ascii="Arial" w:cs="Arial" w:eastAsia="Arial" w:hAnsi="Arial"/>
                <w:sz w:val="18"/>
                <w:szCs w:val="18"/>
                <w:color w:val="auto"/>
                <w:w w:val="92"/>
              </w:rPr>
              <w:t>3%</w:t>
            </w:r>
          </w:p>
        </w:tc>
      </w:tr>
      <w:tr>
        <w:trPr>
          <w:trHeight w:val="27"/>
        </w:trPr>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Allocations</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color w:val="auto"/>
                <w:w w:val="94"/>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center"/>
              <w:ind w:right="32"/>
              <w:spacing w:after="0"/>
              <w:rPr>
                <w:sz w:val="20"/>
                <w:szCs w:val="20"/>
                <w:color w:val="auto"/>
              </w:rPr>
            </w:pPr>
            <w:r>
              <w:rPr>
                <w:rFonts w:ascii="Arial" w:cs="Arial" w:eastAsia="Arial" w:hAnsi="Arial"/>
                <w:sz w:val="18"/>
                <w:szCs w:val="18"/>
                <w:color w:val="auto"/>
                <w:w w:val="99"/>
              </w:rPr>
              <w:t>—%</w:t>
            </w:r>
          </w:p>
        </w:tc>
      </w:tr>
      <w:tr>
        <w:trPr>
          <w:trHeight w:val="257"/>
        </w:trPr>
        <w:tc>
          <w:tcPr>
            <w:tcW w:w="332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5,520</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5,763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center"/>
              <w:ind w:right="52"/>
              <w:spacing w:after="0"/>
              <w:rPr>
                <w:sz w:val="20"/>
                <w:szCs w:val="20"/>
                <w:color w:val="auto"/>
              </w:rPr>
            </w:pPr>
            <w:r>
              <w:rPr>
                <w:rFonts w:ascii="Arial" w:cs="Arial" w:eastAsia="Arial" w:hAnsi="Arial"/>
                <w:sz w:val="18"/>
                <w:szCs w:val="18"/>
                <w:color w:val="auto"/>
                <w:w w:val="94"/>
              </w:rPr>
              <w:t>(4)%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17,731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18,062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center"/>
              <w:ind w:right="12"/>
              <w:spacing w:after="0"/>
              <w:rPr>
                <w:sz w:val="20"/>
                <w:szCs w:val="20"/>
                <w:color w:val="auto"/>
              </w:rPr>
            </w:pPr>
            <w:r>
              <w:rPr>
                <w:rFonts w:ascii="Arial" w:cs="Arial" w:eastAsia="Arial" w:hAnsi="Arial"/>
                <w:sz w:val="18"/>
                <w:szCs w:val="18"/>
                <w:color w:val="auto"/>
                <w:w w:val="94"/>
              </w:rPr>
              <w:t>(2)%</w:t>
            </w:r>
          </w:p>
        </w:tc>
      </w:tr>
      <w:tr>
        <w:trPr>
          <w:trHeight w:val="20"/>
        </w:trPr>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 decreased $243,000, or 4%, for the three months ended September 30, 2017 compared to the same period in 2016. The decrease in compensation expense was due to lower incentive compensation expense, partially offset by a 6% increase in average headcount for the three months ended September 30, 2017 as compared to the same period in 2016.</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General and administrative expense decreased $331,000, or 2%, for the nine months ended September 30, 2017 compared to the same period in 2016. The decrease in compensation expense was due to lower incentive compensation, partially offset by a 8% increase in average headcount for the nine months ended September 30, 2017 as compared to the same period in 2016. The increase in professional fees expense was mainly due to higher legal expenses offset by lower accounting and consulting expenses. The decrease in occupancy costs was largely due to incurring facilities expenses for the three months ended March 31, 2016 for our current South San Francisco facility, as well as our previous space, for which the lease ended in March 2016. The increase in depreciation and amortization expenses was due to more assets put into service.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increased $16,000 for the three months ended September 30, 2017 compared to the same period in 2016 due to our debt principal increasing from our election to pay interest in-kind for the quarters ended September 30, 2016 and interest from a capital lease entered into in December 2016.</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expense increased $472,000 for the nine months ended September 30, 2017 compared to the same period in 2016 due to higher interest on the term loan of $25.0 million under a credit agreement entered into in March 2016 and interest from a capital lease entered in December 2016, compared to the interest, end-of-term payment, prepayment penalty and write-off of debt issuance costs on the prior loan and security agreement that was paid off in March 2016, which had a lower nominal principal balance of $5.0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income, net, increased $86,000 for the three months ended September 30, 2017 compared to the same period in 2016 primarily due to higher interest income from our money market investments.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income, net, increased $226,000 for the nine months ended September 30, 2017 compared to the same period in 2016 primarily due to higher interest income from our money market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incurred net losses since our inception. For the nine months ended September 30, 2017, we had a net loss of $22.6 million, and as of September 30, 2017, we had an accumulated deficit of $202.6 million. We expect to incur additional losses in the future and may never achieve revenue sufficient to offset our expenses.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our existing cash and cash equivalents of $41.2 million as of September 30, 2017 and our revenue during the next 12 months will be sufficient to meet our anticipated cash requirements for at least the next 12 months.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inception through September 30, 2017, we have received $251.1 million in net proceeds from various sources to finance our operations, including net proceeds of $78.6 million from sales of our preferred stock, net proceeds of $59.2 million from our IPO, net proceeds of $37.3 million from our sale of common stock in a private placement, net proceeds of $32.1 million from our sale of common stock in a public offering, $10.0 million from the Genzyme co-promotion agreement, net borrowings of $4.9 million under our loan and security agreement which was repaid in full in March 2016, net borrowings of $24.5 million under our credit agreement described below, $4.1 million from the exercise of stock options and purchases of stock under our employee stock purchase plan and conversion of accrued interest to long-term debt of $0.4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and Security Agreement</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November 3, 2017, we entered into a loan and security agreement (the “Loan and Security Agreement”) with Silicon Valley Bank. The Loan and Security Agreement allows us to borrow up to $35.0 million, with a $25.0 million advance term loan (the “Term Loan Advance”) and a revolving line of credit of up to $10.0 million (the “Revolving Line of Credit”), subject to, with respect to the Revolving Line of Credit, a borrowing base of 85% of eligible accounts receivable. The Term Loan Advance was advanced upon the closing of the Loan and Security Agreement. Borrowings under the Loan and Security Agreement mature in October 2022. The Term Loan Advance bears interest at a variable rate equal to (i) the thirty-day U.S. London Interbank Offer Rate (“LIBOR”) plus (ii) 4.20%, with a minimum rate of 5.43% per annum. Principal amounts outstanding under the Revolving Line of Credit bear interest at a variable rate equal to (i) LIBOR plus (ii) 3.50%, with a minimum rate of 4.70% per annum. We are also required to pay an annual facility fee on the Revolving Line of Credit of $25,000.</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prepay the outstanding principal amount under the Term Loan Advance plus accrued and unpaid interest and, if the Term Loan Advance is repaid in full, a prepayment premium. The prepayment premium will equal (i) $750,000, if the prepayment is made on or before November 3, 2018, (ii) $500,000, if the prepayment is made after November 3, 2018 and on or prior to November 3, 2019 and (iii) $250,000, if the prepayment is made after November 3, 2019. In addition, a final payment on the Term Loan Advance in the amount of $1.2 million is due upon the earlier of the maturity date of the Term Loan Advance or its payment in full.</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Loan and Security Agreement contains customary representations, warranties, and events of default, as well as affirmative and negative covenants. The negative covenants include, among other provisions, covenants that limit or restrict our ability to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Loan and Security Agreement also requires us to comply with certain financial covenants, including maintaining certain revenue levels tested quarterly on a trailing twelve-month basis. However, failure to maintain the revenue levels will not be considered a default if we maintain liquidity of at least $40.0 million.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obligations under the Loan and Security Agreement are secured by substantially all of our assets (excluding intellectual property), subject to certain customary exceptions.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2016, we entered into a credit agreement, or Credit Agreement, with Visium Healthcare Partners, LP, or Visium. Under the Credit Agreement, two term loans were available to us with an aggregate principal amount of up to $40.0 million. We drew down the initial $25.0 million term loan, or Term Loan, on March 30, 2016. On or prior to June 30, 2017, we were permitted to request a second term loan of up to $15.0 million; however, we did not draw down the second term loan and it expired. The Term Loan matures on March 31, 2022.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Loan bears interest at a fixed rate of 12.0% per annum, payable quarterly at the end of each March, June,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September and December. No principal payments will be due during an interest-only period, commencing on the funding date for the Term Loan, or Borrowing Date, and continuing through and including March 31, 2020. We are obligated to repay the outstanding principal amount under the Term Loan in eight equal installments during the final two years under the Credit Agreement. For any quarterly interest payment through and including the 16th interest payment date after the Borrowing Date, so long as no event of default has occurred and is then continuing, we may elect to pay interest in cash on the outstanding principal amount of the Term Loan at a fixed rate of 9.0%, with the remaining 3.0% of the 12.0% interest paid-in-kind by adding such paid-in-kind interest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outstanding principal amount of the Term Loan. We elected to pay interest in-kind for the quarters ended June 30, 2016 and September 30, 2016 and have recorded $385,000 of paid-in-kind interest through September 30, 2017.</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may prepay the outstanding principal amount under the Term Loan subject to a minimum of $5.0 million of principal amount or a whole multiple of $1.0 million in excess thereof plus accrued and unpaid interest and a prepayment premium. The prepayment premium will be assessed on the principal amount repaid and will equal (i) 24.0% less the aggregate amount of all interest payments in cash, if the prepayment is made on or prior to March 31, 2018,</w:t>
      </w:r>
    </w:p>
    <w:p>
      <w:pPr>
        <w:jc w:val="both"/>
        <w:ind w:firstLine="8"/>
        <w:spacing w:after="0" w:line="255" w:lineRule="auto"/>
        <w:tabs>
          <w:tab w:leader="none" w:pos="2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4.0%, if the prepayment is made after March 31, 2018 and on or prior to March 31, 2019, (iii) 2.0%, if the prepayment is made after March 31, 2019 and on or prior to March 31, 2020, and (iv) 1.0%, if the prepayment is made after March 31, 2020 and on or prior to March 31, 2021. After March 31, 2021 there is no prepayment premium.</w:t>
      </w:r>
    </w:p>
    <w:p>
      <w:pPr>
        <w:spacing w:after="0" w:line="19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obligations under the Credit Agreement are secured by a security interest in substantially all of our assets. The Credit Agreement contains customary representations, warranties and events of default, as well as affirmative and negative covenants. The negative covenants include, among other provisions, covenants that limit or restrict our ability to incur liens, make investments, incur indebtedness, merge with or acquire other entities, dispose of assets, make dividends or other distributions to holders of its equity interests, engage in any material new line of business or enter into certain transactions with affiliates, in each case subject to certain exceptions. The Credit Agreement also includes financial covenants requiring minimum cash and cash equivalents balances and minimum revenues. To the extent we form or acquire certain subsidiaries domiciled in the United States, those subsidiaries are required to be guarantors of our obligations under the Credit Agreement. As of September 30, 2017, we were in compliance with the loan covenants.</w:t>
      </w:r>
    </w:p>
    <w:p>
      <w:pPr>
        <w:spacing w:after="0" w:line="5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entry into the Loan and Security Agreement discussed above, we terminated the Credit Agreement with Visium, wherein all commitments were terminated, all liens were released and all outstanding principal and interest and fees accrued thereunder were repaid in the aggregate amount of $27.3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Loan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June 2013, we entered into a loan and security agreement as subsequently amended, or the 2013 Loan Agreement, with a financial institution that provided for borrowings of up to $10.0 million in aggregate. Borrowings under the 2013 Loan Agreement totaled $5.0 million, which was outstanding at January 1, 2015 and into 2016 until such amount was repaid upon us entering into the Credit Agreement discussed above.</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expect that our near- and longer-term liquidity requirements will continue to consist of costs to run our laboratories, selling and marketing expenses, research and development expenses, general and administrative expenses, working capital, debt service, capital expenditures and general corporate expenses associated with the growth of our business. However, we may also use cash to acquire or invest in complementary businesses, technologies, services or products that would change our cash requirements. If we are not able to generate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restrictions on our cash pursuant to the terms of loan and security agreements and other operating restrictions that could adversely affect our ability to conduct our business. Our current credit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nine months ended September 30, 2017 and 2016 (in thousands of dollars):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73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1020" w:type="dxa"/>
            <w:vAlign w:val="bottom"/>
            <w:tcBorders>
              <w:bottom w:val="single" w:sz="8" w:color="CCEEFF"/>
            </w:tcBorders>
          </w:tcPr>
          <w:p>
            <w:pPr>
              <w:spacing w:after="0"/>
              <w:rPr>
                <w:sz w:val="22"/>
                <w:szCs w:val="22"/>
                <w:color w:val="auto"/>
              </w:rPr>
            </w:pPr>
          </w:p>
        </w:tc>
        <w:tc>
          <w:tcPr>
            <w:tcW w:w="73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used in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Cash used in investing activities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(3,762)</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20,127</w:t>
            </w:r>
          </w:p>
        </w:tc>
      </w:tr>
      <w:tr>
        <w:trPr>
          <w:trHeight w:val="27"/>
        </w:trPr>
        <w:tc>
          <w:tcPr>
            <w:tcW w:w="1020" w:type="dxa"/>
            <w:vAlign w:val="bottom"/>
            <w:shd w:val="clear" w:color="auto" w:fill="CCEEFF"/>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Cash used in operating activities for the nine months ended September 30, 2017 was $18.1 million. The net loss of $22.6 million was offset primarily by $4.8 million of stock-based compensation expense and $2.8 million of depreciation and amortization, which includes $0.8 million of intangible asset amortization. Cash used as a result of changes in operating assets and liabilities of $3.3 million was primarily due to an increase in accounts receivable of $2.9 million, and a net decrease in accounts payable, accrued liabilities and deferred rent of $0.3 million, primarily from the payment of annual bonuses for 2016.</w:t>
      </w:r>
    </w:p>
    <w:p>
      <w:pPr>
        <w:spacing w:after="0" w:line="15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Cash used in operating activities for the nine months ended September 30, 2016 was $23.8 million. The net loss of $27.0 million includes non-cash charges of $0.9 million in amortization of the deferred fee received from Genzyme, offset primarily by $4.7 million of stock-based compensation expense, $2.6 million of depreciation and amortization, which includes $0.8 million of intangible asset amortization, $0.4 million from the conversion of accrued interest to long-term debt, and $0.3 million in interest and prepayment penalty relating to the repayment of our borrowings under our previous loan and security agreement. Cash used as a result of changes in operating assets and liabilities of $4.0 million was primarily due to an increase in accounts receivable of $2.9 million and a decrease in accrued liabilities and deferred rent of $1.1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used in investing activities for the nine months ended September 30, 2017 was $0.9 million, mainly comprising $1.5 million for the acquisition of property and equipment, partially offset by $0.4 million of proceeds from the sale of property and equipment.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used in investing activities for the nine months ended September 30, 2016 was $3.8 million for the acquisition of property and equipment, primarily for the build out of office space and laboratory for our South San Francisco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Cash provided by financing activities for the nine months ended September 30, 2017 was $1.0 million, consisting of $1.0 million in proceeds from the purchase of stock under our ESPP and exercise of options to purchase our common stock and $0.2 million in cost reimbursements received related to our issuance of common stock in a public offering in the fourth quarter of 2016, offset by capital lease payments of $0.2 million during the period.</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Cash provided by financing activities for the nine months ended September 30, 2016 was $20.1 million. The financing activities for the nine months ended September 30, 2016 consisted of $24.5 million of net proceeds from the draw down of the Term Loan and $1.0 million from the exercise of options to purchase our common stock, partially offset by the payment of $5.0 million for the remaining principal balance and a $0.3 million of end-of-term payment and prepayment penalty related to our previous loan and security agreement that we repaid on March 30,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material changes during the interim period in the contractual obligations presented in our Form 10-K for the year ended December 31, 2016 filed with the Securities and Exchange Commission on March 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 May 2014, the Financial Accounting Standards Board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to supersede nearly all existing revenue recognition guidance under GAAP. The core principle of ASU 2014-09 is to recognize revenues when promised goods or services are transferred to customers in an amount that reflects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4"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consideration that is expected to be received for those goods or services. ASU 2014-09 defines a five-step process to achieve this core principle and, in doing so, it is possible more judgment and estimates may be required within the revenue recognition process than are required under existing GAAP. We will adopt the new revenue standard as of January 1, 2018 using the modified retrospective method. We have completed our assessment of the five steps of this ASU and believe that the adoption of this ASU will not result in a material cumulative catch-up adjustment under the modified retrospective method, or have a material impact on our financial position or results of operations.</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In February 2016, the FASB issued ASU No. 2016-2, </w:t>
      </w:r>
      <w:r>
        <w:rPr>
          <w:rFonts w:ascii="Arial" w:cs="Arial" w:eastAsia="Arial" w:hAnsi="Arial"/>
          <w:sz w:val="18"/>
          <w:szCs w:val="18"/>
          <w:i w:val="1"/>
          <w:iCs w:val="1"/>
          <w:color w:val="auto"/>
        </w:rPr>
        <w:t>Leases</w:t>
      </w:r>
      <w:r>
        <w:rPr>
          <w:rFonts w:ascii="Arial" w:cs="Arial" w:eastAsia="Arial" w:hAnsi="Arial"/>
          <w:sz w:val="18"/>
          <w:szCs w:val="18"/>
          <w:color w:val="auto"/>
        </w:rPr>
        <w:t>. This ASU is aimed at making leasing activities more transparent and comparable, and requires substantially all leases be recognized by lessees on their balance sheet as a right-of-use</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asset and corresponding lease liability, including leases currently accounted for as operating leases. The ASU will be effective for interim and annual periods beginning after December 15, 2018. Entities are required to use a modified retrospective approach for leases that exist or are entered into after the beginning of the earliest comparative period in the financial statements. Full retrospective application is prohibited and early adoption is permitted. We are currently evaluating the potential effect of this standard on our financial statements.</w:t>
      </w:r>
    </w:p>
    <w:p>
      <w:pPr>
        <w:spacing w:after="0" w:line="190" w:lineRule="exact"/>
        <w:rPr>
          <w:sz w:val="20"/>
          <w:szCs w:val="20"/>
          <w:color w:val="auto"/>
        </w:rPr>
      </w:pPr>
    </w:p>
    <w:p>
      <w:pPr>
        <w:jc w:val="both"/>
        <w:ind w:firstLine="567"/>
        <w:spacing w:after="0" w:line="293" w:lineRule="auto"/>
        <w:rPr>
          <w:sz w:val="20"/>
          <w:szCs w:val="20"/>
          <w:color w:val="auto"/>
        </w:rPr>
      </w:pPr>
      <w:r>
        <w:rPr>
          <w:rFonts w:ascii="Arial" w:cs="Arial" w:eastAsia="Arial" w:hAnsi="Arial"/>
          <w:sz w:val="16"/>
          <w:szCs w:val="16"/>
          <w:color w:val="auto"/>
        </w:rPr>
        <w:t xml:space="preserve">In March 2016, the FASB issued ASU 2016-9,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related to the tax effects of share-based awards. The ASU requires that all the tax effects of share-based awards be recorded through the income statement, thereby simplifying the current guidance that requires excess tax benefits and certain excess tax deficiencies to be recorded in equity. This ASU also permits an election for the impact of forfeitures on the recognition of expense for share-based payment awards where forfeitures can be estimated or recognized when they occur. This ASU is effective for interim and annual periods beginning after December 15, 2016. We adopted this ASU as of January 1, 2017 and elected to continue using our forfeiture estimation method for share-based payment awards. This ASU was adopted prospectively and the impact of adoption on our financial statements was not material.</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 Restricted Cash.</w:t>
      </w:r>
      <w:r>
        <w:rPr>
          <w:rFonts w:ascii="Arial" w:cs="Arial" w:eastAsia="Arial" w:hAnsi="Arial"/>
          <w:sz w:val="18"/>
          <w:szCs w:val="18"/>
          <w:color w:val="auto"/>
        </w:rPr>
        <w:t xml:space="preserve"> This ASU requires that restricted cash and restricted cash equivalents be included with cash and cash equivalents when reconciling the beginning-of-period and end-of-period total amounts shown on the statement of cash flows. The ASU will be effective for interim and annual periods beginning after December 15, 2017. We do not anticipate that the adoption of this ASU will have a significant impact on our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We had cash and cash equivalents of $41.2 million as of September 30, 2017 which include bank deposits and money market funds. Such interest-bearing instruments carry a degree of risk; however, a hypothetical 10% change in interest rates during any of the periods presented would not have had a material impact on our unaudited interim condensed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identified in connection with the evaluation identified above that occurred during the quarter ended September 30, 2017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with a history of losses, and we expect to incur net losses for the foreseeable future and may never achieve or sustain profitability.</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incurred net losses since our inception. For the nine months ended September 30, 2017, we had a net loss of $22.6 million and as of September 30, 2017, we had an accumulated deficit of $202.6 million. We expect to incur additional losses in the future, and we may never achieve revenue sufficient to offset our expenses. Over the next couple of years, we expect to continue to devote substantially all of our resources to increase adoption of, and reimbursement for our Afirma tests, Percepta, our lung cancer test which we launched in April 2015, Envisia, our test for idiopathic pulmonary fibrosis, or IPF, which we launched in October 2016, and the development of additional tests. We may never achieve or sustain profitability, and our failure to achieve and sustain profitability in the future could cause the market price of our common stock to decline.</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financial results currently depend mainly on sales of our Afirma tests, and we will need to generate sufficient revenue from this and other diagnostic solutions to grow our business.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Most of our revenue to date has been derived from the sale of our Afirma tests, which are used in the diagnosis of thyroid cancer. Over the next few years, we expect to continue to derive a substantial portion of our revenue from sales of our Afirma tests. In the third quarter of 2017, we began recognizing revenue from the sale of our Percepta test, used in the diagnosis of lung cancer. We also launched our Envisia test to help improve the diagnosis of interstitial lung disease, specifically IPF, in October 2016. Once genomic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positive coverage decisions and therefore, we may never realize revenue from tests we commercialize. In addition, we are in various stages of research and development for other diagnostic solutions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Afirma and Percepta tests, or successfully obtain coverage and reimbursement for our Envisia test or develop and commercialize other solutions, our revenue and our ability to achieve and sustain profitability would be impaired, and the market price of our common stock could decline.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successfully transition to our next-generation Afirma GSC, our business, operating results and competitive position could be harmed.</w:t>
      </w:r>
    </w:p>
    <w:p>
      <w:pPr>
        <w:spacing w:after="0" w:line="2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in the process of transitioning our customers to our next-generation Afirma Genomic Sequencing Classifier, or GSC, that uses a new technology platform for the Afirma genomic classifier testing. There are risks associated with this transition that include, but are not limited to, operational implementation, reimbursement, and customer adoption risks. If we are unable to effectively transition to the new platform, our business, financial condition and results of operations could be adversely effected and our reputation and competitive position could be harmed.</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Revenue for tests performed on patients covered by Medicare and UnitedHealthcare was 26% and 14%, respectively, of our revenue for the nine months ended September 30, 2017, compared with 27% and 12%, respectively, for the nine months ended September 30, 2016. The percentage of our revenue derived from significant payers is expected to fluctuate from period to period as our revenue increases,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with jurisdiction at that time, issued coverage and payment determinations for the Afirma Gene Expression Classifier, or GEC. On a five-year rotational basis, Medicare requests bids for its regional MAC services. Any future changes in the MAC processing or coding for Medicare claims for the Afirma GEC or Afirma GSC could result in a change in the coverage or reimbursement rates for such products, or the loss of coverage.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March 1, 2015, a separate Current Procedural Terminology code, or CPT code, for the Afirma GEC was issued. In September 2017, we received preliminary 2018 Medicare pricing indicating that the Afirma classifier price will increase from $3,220 to $3,600. The preliminary Afirma classifier rate is based on the median of private payer payments submitted by us as part of the market-based payment reforms mandated through the Protecting Access to Medicare Act of 2014, or PAMA. Pending a public comment period, the final rates are scheduled to begin January 1, 2018, as part of PAMA. We cannot assure you that the preliminary rate will not be reduced prior to effectiveness. If there is a decrease in the current Medicare payment rate for our tests, our revenue from Medicare will decrease and the payment rates for some of our commercial payers may also decrease if they tie their allowable rates to the Medicare rate, which could have an adverse effect on our business, financial condition and results of operations.</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Although we have entered into contracts with certain third-party payers that establish in-network allowable rates of reimbursement for our Afirma tests, payers may suspend or discontinue reimbursement at any time, may require or increase co-payments from patients, or may reduce the reimbursement rates paid to us. Any such actions could have a negative effect on our revenue.</w:t>
      </w:r>
    </w:p>
    <w:p>
      <w:pPr>
        <w:spacing w:after="0" w:line="18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18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pre-authorized and appropriate for the specific patient;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supported by peer-reviewed publications;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in clinical practice guidelines.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do not have a contracted rate of reimbursement with many payers for the Afirma or Percepta tests, and we do not have any contracted reimbursement with any payers with respect to the Envisia test. Without a contracted rate for reimbursement, our claims are often denied upon submission, and we must appeal the claims. The appeals process is time consuming and expensive, and may not result in payment. In cases where there is no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15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expect to continue to focus substantial resources on increasing adoption, coverage and reimbursement for the Afirma classifiers, the Percepta classifier, launched in April 2015, and the Envisia classifier, launched in October 2016, as well as any other future tests we may develop. We believe it will take several years to achieve coverage and contracted reimbursement with a majority of third-party payers. However, we cannot predict whether, under what circumstances, or at what payment levels payers will reimburse for our tests. Also, payer consolidation is underway and creates uncertainty as to whether coverage and contracts with existing payers will remain in effect. Finally, commercial payers may tie their allowable rates to Medicare rates, and should Medicare reduce their rates as they did with the Afirma test in September 2016, we may be negatively impacted.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physicians decide not to order our tests.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are unable to create or maintain demand for our tests in sufficient volume, we may not become profitable. To generate demand, we will need to continue to educate physicians about the benefits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Afirma genomic classifier is included in most physician practice guidelines in the United States for the assessment of patients with thyroid nodules. However, historical practice recommended a full or partial thyroidectomy in cases where cytopathology results were indeterminate to confirm a diagnosis. Our lung products are not yet integrated into practice guidelines and physicians may be reluctant to order tests that are not recommended in these guidelines. Because our diagnostic services are performed by our certified laboratory under the Clinical Laboratory Improvement Amendments of 1988, or CLIA, rather than by the local laboratory or pathology practice, pathologists may be reluctant to support our testing services as well. Guidelines that include our classifiers currently may subsequently be revised to recommend 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how we recognize revenue, our quarterly operating results are likely to fluctuate.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For tests performed where we have an agreed upon reimbursement rate or we are able to reasonably estimate the amount that will ultimately be realized at the time delivery of a patient report is complete, such as in the case of Medicare and certain other payers, we recognize the related revenue upon delivery of the patient report to the prescribing physician based on the amount we expect to ultimately realize. We determine the amount we expect to ultimately realize based on a per payer, per contract or agreement basis. In the first period in which revenue is accrued for a particular payer, a one-time increase in revenue generally occurs. Upon ultimate collection, the amount received where reimbursement was estimated is compared to previous estimates and the amount accrued is adjusted accordingly. In situations where we cannot reasonably estimate the amount that will ultimately be collected, we recognize revenue on the cash basis. We cannot be certain as to when we will receive payment for our diagnostic tests, and we must appeal negative payment decisions, which delays collections. Should we recognize revenue from payers on an accrual basis and later determine the judgments underlying estimated reimbursement change, or were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for research analysts and for investors to accurately forecast our revenue and operating results. If our revenue or operating results fall below expectations, the price of our common stock would likely decline.</w:t>
      </w:r>
    </w:p>
    <w:p>
      <w:pPr>
        <w:spacing w:after="0" w:line="16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chips and other materials used to perform our tests, and we may not be able to find replacements or transition to alternative suppliers.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rely on sole suppliers for critical supply of reagents, equipment, chips and other materials that we use to perform our tests. We also purchase components used in our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are otherwise unusable, if we cannot obtain acceptable substitute materials, or if we elect to change suppliers, an interruption in test processing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supply were available. If our test volume decreases or we switch suppliers, we may hold excess inventory with expiration dates that occur before use which would adversely affect our losses and cash flow position. As we introduce any new test, we may experience supply issues as we ramp test volume.</w:t>
      </w:r>
    </w:p>
    <w:p>
      <w:pPr>
        <w:spacing w:after="0" w:line="1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depend on a specialized cytopathology practice to perform the cytopathology component of our Afirma test, and our ability to perform our diagnostic solution would be harmed if we were required to secure a replacement.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rely on Thyroid Cytopathology Partners, P.A., or TCP, to provide cytopathology professional diagnoses on thyroid fine needle aspiration, or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is effective through October 31, 2022, and thereafter automatically renews every year unless either party provides notice of intent not to renew at least 12 months prior to the end of the then-current term.</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TCP were not able to support our current test volume or future increases in test volume or to provide the quality of services we require, or if we were unable to agree on commercial terms and our relationship with TCP were to terminate,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support demand for our commercial tests, our business could suffer.</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demand for our tests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Patient Protection and Affordable Care Act, as amended by the Health Care and Education Affordability Reconciliation Act, collectively the ACA, enacted in March 2010, made changes that significantly affected the pharmaceutical and medical device industries and clinical laboratories. Effective January 1, 2013, the ACA included a 2.3% excise tax on the sale of certain medical devices sold outside of the retail setting. Although a moratorium has been imposed on this excise tax for 2016 and 2017, the excise tax is scheduled to be restored in 2018.</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In addition, the ACA establishes an Independent Payment Advisory Board, or IPAB, to reduce the per capita rate of growth in Medicare spending. The IPAB has broad discretion to propose policies to reduce expenditures, which may have a negative effect on payment rates for services. The IPAB proposals could have affected payments for clinical laboratory services beginning in 2016 and may affect those for hospital services beginning in 2020. We are monitoring the effect of the ACA to determine the trends and changes that may be necessitated by the legislation, any of which may potentially affect our business.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beginning of 2017, the U.S. Congress and the Administration took actions to repeal the ACA and indicated an intent to replace it with another act and efforts to repeal or amend the ACA are ongoing. We cannot predict if, or when, the ACA will be repealed or amended, and cannot quantify the effect of new legislation on our business.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CMS announced plans to bundle payments for clinical laboratory diagnostic tests together with other services performed during hospital outpatient visits under the Hospital Outpatient Prospective Payment System. For calendar year 2016, CMS maintained an exemption for molecular pathology tests from this bundling provision. It is possible that this exemption could be removed by CMS in future rule making, which might result in lower reimbursement for tests performed in this setting.</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Protecting Access to Medicare Act of 2014, or PAMA, includes a substantial new payment system for clinical laboratory tests under the CLFS. Under PAMA, laboratories that receive the majority of their Medicare revenues from payments made under the CLFS would report initially and then on a subsequent three year basis thereafter (or annually for advanced diagnostic laboratory tests, or ADLTs), private payer payment rates and volumes for their tests. The private payer rate will be calculated based on claims whose adjudication is final and will include patient deductible and co-insurance amounts. The new market based rates are scheduled to take effect January 1, 2018. We believe that the final PAMA regulations are generally favorable to us. We submitted the Afirma genomic classifier data required under PAMA before the March 31, 2017 deadline. On September 25, 2017, CMS published the preliminary 2018 rates for clinical diagnostic laboratory tests, with the reimbursement rate for the Afirma genomic classifier expected to increase from $3,220 to $3,600 for calendar year 2018. The CMS plans to finalize the rates in November 2017. Additionally, we believe our Afirma genomic classifier as well as our Percepta and Envisia classifiers would be considered ADLTs and that we can determine when to seek ADLT status. We cannot assure you that reimbursement rates under the final regulations for tests like ours will not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of Medicare billing rules, we may not receive reimbursement for all tests provided to Medicare patients.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Under current Medicare billing rules, payment for our tests performed on Medicare beneficiaries who were hospital inpatients at the time the tissue samples were obtained and whose tests were ordered less than 14 days from discharge must be bundled into the payment that the hospital receives for the inpatient services provided. Medicare billing rules also require hospitals to bill for our tests when ordered for hospital outpatients less than 14 days following the date of the hospital procedure where the tissue samples were obtained. Accordingly, we are required to bill individual hospitals for tests performed on Medicare beneficiaries during these time frames. We cannot ensure that hospitals will pay us for tests performed that fall under these rules.</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Revisions to the rule proposed in July 2017 would allow the performing laboratory to bill Medicare directly for certain tests performed on tissue samples collected from hospital outpatients, even when those tests are ordered less than 14 days after the date of tissue collection. CMS is expected to announce the adoption of these proposed revisions and changes to this billing policy later in 2017 and, if adopted, these changes could go into effect as early as January 1, 2018. To the extent revisions to the billing policy would permit us to bill Medicare directly for tests previously required to be billed to hospitals, we would no longer bill hospitals for such tests. While we believe the impact of these proposed revisions, if enacted, would be favorable to us, we cannot predict with certainty the potential impact on our business. CMS may change this regulatory policy in the future, which could negatively impact our business.</w:t>
      </w:r>
    </w:p>
    <w:p>
      <w:pPr>
        <w:spacing w:after="0" w:line="16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the FDA were to begin regulating our tests, we could incur substantial costs and delays associated with trying to obtain premarket clearance or approval.</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Clinical laboratory tests have long been subject to comprehensive regulations under CLIA, as well as by applicable state laws. Most laboratory developed tests, or LDTs, are not currently subject to regulation by the U.S. Food and Drug Administration, or FDA, although reagents, instruments, software or components provided by third parties and used to perform LDTs may be subject to regulation. While the FDA maintains its authority to regulate LDTs, it has chosen to exercise its enforcement discretion not to regulate LDTs as medical devices. We believe that the Afirma, Percepta and Envisia classifiers are LDTs. In October 2014, the FDA issued draft guidance, entitled "Framework for Regulatory Oversight of LDTs," proposing the phased-in enforcement of premarket review requirements for most LDTs. The framework is similar to previously issued guidance. There is no timeframe in which the FDA must issue final guidance documents. If the guidance were enacted, our tests could be required to comply with FDA regulations applicable to medical devices.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2017, the FDA issued a “Discussion Paper on Laboratory Developed Tests” following input it received from multiple stakeholders who had commented on its 2014 draft guidance. While the FDA specifically states in its Discussion Paper that it does not represent a final version of the LDT draft guidance documents that were published in 2014, it is designed to provide a possible approach to spark further dialogue. The suggested LDT framework could grandfather many types of LDTs without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requiring new premarket review or quality management requirements. It also suggests a four-year phased implementation of market authorization requirements for some types of tests.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March 2017, a draft bill titled "The Diagnostics Accuracy and Innovation Act" was released for discussion. The bill proposes a risk-based approach to regulate LDTs and creates a new in vitro clinical test category, which includes LDTs, and a regulatory structure under the FDA. As proposed, the bill grandfathers existing tests and gives companies five years to augment test development pipelines to ensure new tests have the data necessary for FDA approval. We cannot predict if this draft bill will become legislation and cannot quantify the effect of this draft bill on our business.</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the FDA were to require us to seek clearance or approval for our existing tests or any of our future products for clinical use, we may not be able to obtain such approvals on a timely basis, or at all. While we believe our current tests would likely qualify for the “grandfathered” tests treatment, there can be no assurance of what the FDA might ultimately require if it issued final guidance. If premarket reviews were required, our business could be negatively impacted if we were required to stop selling our products pending their clearance or approval. In addition, the launch of any new products that we develop could be delayed by the implementation of future FDA guidance. The cost of complying with premarket review requirements, including obtaining clinical data, could be significant.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Any such enforcement action would have a material adverse effect on our business, financial condition and operations. In addition, our sample collection containers are listed as Class I devices with the FDA. If the FDA were to determine that they are not Class I devices, we would be required to file 510(k) applications and obtain FDA clearance to use the containers, which could be time consuming and expensive.</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Some of the materials we use for our tests and that we may use for future tests are labeled for research use only. In November 2013, the FDA finalized guidance regarding the sale and use of products labeled for research or investigational-use only. Among other things, the guidance advises that the FDA continues to be concerned about distribution of research or investigational-use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 the product in question. The FDA has advised that if evidence demonstrates that a product is inappropriately labeled for research or investigational-use only, the device would be misbranded and adulterated within the meaning of the Federal Food, Drug and Cosmetic Act. Some of the reagents, instruments, software or components obtained by us from suppliers for use in our products are currently labeled as research or investigational-use only products. If the FDA were to undertake enforcement actions, some of our suppliers might cease selling research or investigational-use only products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principal competition for our tests comes from traditional methods used by physicians to diagnose and manage patient care decisions. For example, with our Afirma genomic classifier,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genomic classifier to change clinical practice.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Rosetta Genomics Ltd., and others who are developing new products or technologies that may compete with our tests. In the future, we may also face competition from companies developing new products or technologies.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With the Percepta and Envisia tests, we believe our primary competition will similarly come from traditional methods used by physicians to diagnose the related diseases. For the Percepta test, we expect competition from companies focused on lung cancer such as Integrated Diagnostics, Inc. We also anticipate facing potential competition from companies offering or developing approaches for assessing malignancy risk in patients with lung nodules using alternative samples, such as blood, urine or sputum. However, such “liquid biopsies” are often used earlier in the diagnostic paradigm — for instance, to screen for cancer — or to gauge risk of recurrence or response to treatment.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general, we also face competition from commercial laboratories, such as Laboratory Corporation of America Holdings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members of our senior management team or our inability to attract and retain key personnel could adversely affect our business.</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particularly in the San Francisco Bay Area.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As a public company located in the San Francisco Bay Area, we also face intense competition for highly skilled finance and accounting personnel. If we are unable to attract and retain finance and accounting personnel experienced in public company financial reporting, we risk being unable to close our books and file our public documents on a timely basis. Additionally, our success depends on our ability to attract and retain qualified sales people. We recently significantly expanded our sales force as we transitioned out of our Genzyme Corporation co-promotion agreement in the United States. There can be no assurance that we will be successful in maintaining and growing our business. Additionally, as we increase our sales channels for new tests we commercialize, including the Percepta and Envisia tests, we may have difficulties recruiting and training additional sales personnel or retaining qualified salespeople, which could cause a delay or decline in the rate of adoption of our tests.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 will, which means that either we or the employee may terminate their employment at any time. We do not carry key man insurance for any of our employees.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adversely affect our operations. If we are unable to manage our growth effectively, it may be difficult for us to execute our business strategy and our business could be harmed.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Billing for our diagnostic tests is complex, and we must dedicate substantial time and resources to the billing process to be paid.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Billing for clinical laboratory testing services is complex, time-consuming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Several factors make the billing process complex, including:</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w:t>
      </w:r>
    </w:p>
    <w:p>
      <w:pPr>
        <w:spacing w:after="0" w:line="26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 of government audits related to billing Medicare;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disputes among payers as to which party is responsible for payment;</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differences in coverage and in information and billing requirements among payers, including the need for prior authorization and/or advanced notification;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patient co-payments or co-insurance;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to billing codes used for our tests;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Standard industry billing codes, known as CPT codes, that we use to bill for cytopathology do not generally exist for our proprietary molecular diagnostic tests. Therefore, until such time that we are awarded and are able to use a designated CPT code specific to our tests, we use “miscellaneous” codes for claim submissions. These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such as the one for the Afirma GEC that became effective January 1, 2016,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16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 determination, there is a risk that we may be required to return some portion of prior payments we have received.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a third-party provider to transmit claims to payers, and any delay in transmitting claims could have an adverse effect on our revenue.</w:t>
      </w:r>
    </w:p>
    <w:p>
      <w:pPr>
        <w:spacing w:after="0" w:line="24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future success will depend in part on our ability to successfully transition from our relationship with Genzyme to co-promote Afirma in the United States.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sell Afirma in the United States through our internal sales team and, until recently, also through a co-promotion agreement with Genzyme Corporation, which we terminated effective September 9, 2016. In connection with the transition, we have hired additional sales personnel to sell our Afirma tests. If we are unsuccessful in transitioning the sales and marketing of the Afirma test from Genzyme solely to our internal sales and marketing personnel, we may experience declining test volumes and associated declines in revenue. We may not be able to market or sell the Afirma test effectively enough to maintain or increase demand for the test, or without significant additional sales and marketing efforts and expense. Our failure to do so successfully without the benefit of Genzyme’s efforts could have an adverse effect on our business, financial condition and results of operations.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continually seek to develop enhancements to our current test offerings and additional diagnostic solutions that requires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We launched the Percepta test in April 2015 and the Envisia test in October 2016. We still must complete studies that meet the clinical evidence required to obtain reimbursement, which studies are currently underway.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develop and commercialize diagnostic tests, we need to:</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successful analytical and clinical studies;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scale our laboratory processes to accommodate new tests;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products.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product development process involves a high degree of risk and may take several years. Our product development efforts may fail for many reasons, including:</w:t>
      </w:r>
    </w:p>
    <w:p>
      <w:pPr>
        <w:spacing w:after="0" w:line="170"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identify a genomic signature in biomarker discovery;</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secure sufficient numbers of samples at an acceptable cost and on an acceptable timeframe to conduct analytical and clinical studies;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prospectively-defined endpoints of the study or if we fail to sufficiently demonstrate analytical validity, we might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choose to abandon the development of the product, which could harm our business. In addition, competitors may develop and commercialize competing products or technologies faster than us or at a lower cost.</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acquired Allegro Diagnostics Corp. in September 2014, and we may pursue additional acquisitions of complementary businesses or assets, as well as technology licensing arrangements as part of our business strategy. We also may pursue strategic alliances that leverage our core technology and industry experience to expand our offerings or distribution, or make investments in other companies. To date, we have limited experience with respect to acquisitions and the formation of strategic alliances and joint ventures. We may not be able to integrate acquisitions successfully into our existing business, and we could assume unknown or contingent liabilities. In addition, we may not realize the expected benefits of an acquisition or investment. Any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current credit agreement contains covenants that could limit our ability to sell debt securities or obtain additional debt financing arrangements, which could affect our ability to finance acquisitions or investments other than through the issuance of stock.</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comply with federal and state licensing requirements, we could lose the ability to perform our tests or experience disruptions to our business.</w:t>
      </w:r>
    </w:p>
    <w:p>
      <w:pPr>
        <w:spacing w:after="0" w:line="26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quality standards, personnel qualifications and responsibilities, facility administration, general laboratory systems, quality assessment, quality control, pre-analytic, analytic, and post-analytic systems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make random inspections of our clinical reference laboratories.</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are also required to maintain state licenses to conduct testing in our laboratories. California, New York, Texas, among other states’ laws, require that we maintain a license and comply with state regulation as a clinical laboratory. Other states may have similar requirements or may adopt similar requirements in the future. In addition, both of our clinical laboratories are required to be licensed on a test-specific basis by New York State. We have received approval for the Afirma and Percepta tests. We will be required to obtain approval for other tests we may offer in the future. If we were to lose our CLIA certificate or California license for our South San Francisco laboratory, whether as a result of revocation, suspension or limitation, we would no longer be able to perform our molecular tests,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patients decide not to use our tests.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ACA has also resulted in increases in premiums and reductions in coverage for some patients. In addition, Congressional efforts to repeal the ACA could result in an increase in uninsured patients. These events may result in patients delaying or forgoing medical checkups or treatment due to their inability to pay for our tests, which could have an adverse effect on our revenue.</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70" w:lineRule="exact"/>
        <w:rPr>
          <w:sz w:val="20"/>
          <w:szCs w:val="20"/>
          <w:color w:val="auto"/>
        </w:rPr>
      </w:pPr>
    </w:p>
    <w:p>
      <w:pPr>
        <w:jc w:val="both"/>
        <w:ind w:left="980" w:hanging="324"/>
        <w:spacing w:after="0" w:line="276"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spacing w:after="0" w:line="172" w:lineRule="exact"/>
        <w:rPr>
          <w:rFonts w:ascii="Arial" w:cs="Arial" w:eastAsia="Arial" w:hAnsi="Arial"/>
          <w:sz w:val="17"/>
          <w:szCs w:val="17"/>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Medicare billing and payment regulations applicable to clinical laboratories;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81"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86"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65"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False Claims Act, which imposes liability on any person or entity that, among other things, knowingly presents, or causes to be presented, a false or fraudulent claim for payment to the federal government;</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181"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70" w:lineRule="exact"/>
        <w:rPr>
          <w:rFonts w:ascii="Arial" w:cs="Arial" w:eastAsia="Arial" w:hAnsi="Arial"/>
          <w:sz w:val="18"/>
          <w:szCs w:val="18"/>
          <w:color w:val="auto"/>
        </w:rPr>
      </w:pPr>
    </w:p>
    <w:p>
      <w:pPr>
        <w:jc w:val="both"/>
        <w:ind w:left="980" w:right="2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980" w:right="2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Foreign Corrupt Practices Act of 1977, and other similar laws, which apply to our international activities; and</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unclaimed property (escheat) laws and regulations, which may require us to turn over to governmental authorities the property of others held by us that has been unclaimed for a specified period of time.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 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181" w:lineRule="exact"/>
        <w:rPr>
          <w:sz w:val="20"/>
          <w:szCs w:val="20"/>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by us to obtain regulatory approvals where required for the use of our solutions in various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tissue samples, including infrastructure conditions and transportation delays;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associated with establishing laboratory partners, including proper sample collection techniques, inventory management, sample logistics, billing and promotional activities;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not able to process tests locally;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revenue and results of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product liability or errors and omissions liability, we could face substantial liabilities that exceed our resources.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Percepta and Envisia tests, as well as tests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8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our laboratory in South San Francisco becomes inoperable due to an earthquake or either of our laboratories becomes inoperable for any other reason, we will be unable to perform our testing services and our business will be harmed.</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perform all of the Afirma, Percepta and Envisia genomic classifier testing at our laboratory in South San Francisco, California. Our laboratory in Austin, Texas accepts and stores substantially all Afirma FNA samples pending transfer to our California laboratory for genomic test processing.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23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we need which could delay our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expect continued capital expenditures and operating losses over the next few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current credit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69"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0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In addition, in October 2015, the European Court of Justice invalidated a safe-harbor agreement between the United States and European Union member-states, which addressed how U.S. companies handle personal information of European customers. On May 4, 2016, the European Commission published a new Regulation and a new Directive regarding personal data privacy. The Regulation went into force on May 24, 2016 and shall apply beginning May 25, 2018. The Directive went into force on May 5, 2016 and EU member states must transpose it into their national law by May 6, 2018. As a result, we may need to modify the way we treat such information. Complying with these various laws could cause us to incur substantial costs or require us to change our business practices, systems and compliance procedures in a manner adverse to our business.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3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property effectively, our business would be harmed.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We have thirteen issued patents that expire between 2029 and 2032 related to methods used in the Afirma diagnostic platform, in addition to fourteen pending U.S. utility patent applications, one pending Patent Cooperation Treaty, or PCT, patent application and four U.S. provisional patent applications. Some of these U.S. utility patent applications have pending foreign counterparts. We also exclusively licensed intellectual property, including rights to four issued patents that will expire between 2030 and 2032, and three pending U.S. utility patent applications in the thyroid space that would expire between 2030 and 2033 once issued, related to methods that are used in the Afirma diagnostic test, some of which have foreign counterparts. In the lung diagnostic space, we have exclusively licensed intellectual property rights to eighteen pending patent applications and nine issued patents. Patents issuing from the licensed portfolio will expire between 2024 and 2028. In addition, we own a pending U.S. patent application and pending foreign counterpart patent applications in Australia, Canada, China, Europe, Japan, and South Korea related to our Percepta test. We also own one U.S. patent application and one counterpart European patent application related to another lung disease, and two pending U.S. patent applications, five patent applications abroad, and one PCT patent application related to Envisia. Any patents granted from our current lung cancer patent applications will expire no earlier than 2035 and those from the interstitial lung disease patent applications will expire no earlier than 2034. 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not registered certain of our trademarks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may be limited and may result in increased future tax liability to us.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incurred net losses since our inception and may never achieve profitability. To the extent that we continue to generate taxable losses, unused losses will carry forward to offset future taxable income, if any, until such unused losses expire. We may be unable to use these losses to offset income before those unused losses expire. Generally, a change of more than 50% in the ownership of a corporation’s stock, by value, over a three-year period constitutes an ownership change for U.S. federal income tax purposes. An ownership change may limit a company’s ability to use its net operating loss carryforwards attributable to the period prior to such change. In the event we have undergone an ownership change under Section 382 of the Internal Revenue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Code, if we earn net taxable income, our ability to use our pre-change net operating loss carryforwards to offset U.S. federal taxable income may become subject to limitations, which could potentially result in increased future tax liability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8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5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an emerging growth company, as defined under the Securities Act of 1933, or the Securities Act. We will remain an emerging growth company until December 31, 2018,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 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If some investors find our common stock less attractive as a result of any choices to reduce future disclosure we may make, there may be a less active trading market for our common stock and our stock price may be more volatile.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trading price of our common stock is likely to continue to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commercial relationships or capital commitments;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payers, including governmental payers;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our revenue, due in part to the way in which we recognize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major change in our management;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if the trading volume of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our business and our competitors.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Insiders have substantial control over us and will be able to influence corporate matters.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October 27, 2017, directors and executive officers and their affiliates beneficially owned, in the aggregate, 23%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third-party from acquiring control over 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47"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 million shares of undesignated preferred stock;</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never paid dividends on any of our capital stock and currently intend to retain any future earnings to fund the growth of our business. In addition, our credit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3, 2017, the Company entered into a loan and security agreement (the “Loan and Security Agreement”) with Silicon Valley Bank. In connection with the entry into the Loan and Security Agreement, the Company terminated that certain credit agreement (the “Prior Credit Facility”) by and between the Company and Visium Healthcare Partners, LP, dated March 25, 2016 as amended on December 14, 2016, which Prior Credit Facility had a borrowing capacity of $40.0 million, and the loan documents relating thereto. The Prior Credit Facility was terminated as of November 3, 2017, wherein all commitments were terminated, all liens were released and all outstanding principal and interest and fees accrued thereunder were repaid in the aggregate amount of $27.3 million.</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Loan and Security Agreement allows the Company to borrow up to $35.0 million, with a $25.0 million advance term loan (the “Term Loan Advance”) and a revolving line of credit of up to $10.0 million (the “Revolving Line of Credit”), subject to, with respect to the Revolving Line of Credit, a borrowing base of 85% of eligible accounts receivable. The Term Loan Advance was advanced upon the closing of the Loan and Security Agreement. Borrowings under the Loan and Security Agreement mature in October 2022. The Term Loan Advance bears interest at a variable rate equal to (i) the thirty-day U.S. London Interbank Offer Rate (“LIBOR”) plus (ii) 4.20%, with a minimum rate of 5.43% per annum. Principal amounts outstanding under the Revolving Line of Credit bear interest at a variable rate equal to (i) LIBOR plus (ii) 3.50%, with a minimum rate of 4.70% per annum. The Company is also required to pay an annual facility fee on the Revolving Line of Credit of $25,000.</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may prepay the outstanding principal amount under the Term Loan Advance plus accrued and unpaid interest and, if the Term Loan Advance is repaid in full, a prepayment premium. The prepayment premium will equal (i) $750,000, if the prepayment is made on or before November 3, 2018, (ii) $500,000, if the prepayment is made after November 3, 2018 and on or prior to November 3, 2019 and (iii) $250,000, if the prepayment is made after November 3, 2019. In addition, a final payment on the Term Loan Advance in the amount of $1,187,500 is due upon the earlier of the maturity date of the Term Loan Advance or its payment in full.</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Loan and Security Agreement contains customary representations, warranties, and events of default, as well as affirmative and negative covenants. The negative covenants include, among other provisions, covenants that limit or restrict the Company’s ability to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Loan and Security Agreement also requires the Company to comply with certain financial covenants, including maintaining certain revenue levels tested quarterly on a trailing twelve-month basis. However, failure to maintain the revenue levels will not be considered a default if the Company maintains liquidity of at least $40.0 million.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obligations under the Loan and Security Agreement are secured by substantially all of its assets (excluding intellectual property), subject to certain customary exceptions.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net proceeds from the Term Loan Advance were used towards the full repayment of the outstanding balance under the Prior Credit Facility.</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description of the Loan and Security Agreement does not purport to be complete and is qualified in its entirety by reference to the Loan and Security Agreement, a copy of which the Company expects to file as an exhibit to the Company’s Annual Report on Form 10-K for the year ending December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1700" w:type="dxa"/>
            <w:vAlign w:val="bottom"/>
            <w:gridSpan w:val="8"/>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ind w:left="20"/>
              <w:spacing w:after="0"/>
              <w:rPr>
                <w:sz w:val="20"/>
                <w:szCs w:val="20"/>
                <w:color w:val="auto"/>
              </w:rPr>
            </w:pPr>
            <w:r>
              <w:rPr>
                <w:rFonts w:ascii="Arial" w:cs="Arial" w:eastAsia="Arial" w:hAnsi="Arial"/>
                <w:sz w:val="14"/>
                <w:szCs w:val="14"/>
                <w:b w:val="1"/>
                <w:bCs w:val="1"/>
                <w:color w:val="auto"/>
              </w:rPr>
              <w:t>Exhibit</w:t>
            </w:r>
          </w:p>
        </w:tc>
        <w:tc>
          <w:tcPr>
            <w:tcW w:w="68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180" w:type="dxa"/>
            <w:vAlign w:val="bottom"/>
            <w:gridSpan w:val="4"/>
            <w:vMerge w:val="restart"/>
          </w:tcPr>
          <w:p>
            <w:pPr>
              <w:ind w:left="4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12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1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60" w:type="dxa"/>
            <w:vAlign w:val="bottom"/>
            <w:gridSpan w:val="4"/>
          </w:tcPr>
          <w:p>
            <w:pPr>
              <w:spacing w:after="0"/>
              <w:rPr>
                <w:sz w:val="17"/>
                <w:szCs w:val="17"/>
                <w:color w:val="auto"/>
              </w:rPr>
            </w:pPr>
          </w:p>
        </w:tc>
        <w:tc>
          <w:tcPr>
            <w:tcW w:w="400" w:type="dxa"/>
            <w:vAlign w:val="bottom"/>
            <w:gridSpan w:val="2"/>
          </w:tcPr>
          <w:p>
            <w:pPr>
              <w:jc w:val="right"/>
              <w:spacing w:after="0" w:line="202"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gridSpan w:val="5"/>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Second Amendment to Lease Agreement dated August 14, 2017 between the Company and BRI 1868 Riata, LLC.</w:t>
              </w:r>
            </w:hyperlink>
          </w:p>
        </w:tc>
        <w:tc>
          <w:tcPr>
            <w:tcW w:w="0" w:type="dxa"/>
            <w:vAlign w:val="bottom"/>
          </w:tcPr>
          <w:p>
            <w:pPr>
              <w:spacing w:after="0"/>
              <w:rPr>
                <w:sz w:val="1"/>
                <w:szCs w:val="1"/>
                <w:color w:val="auto"/>
              </w:rPr>
            </w:pPr>
          </w:p>
        </w:tc>
      </w:tr>
      <w:tr>
        <w:trPr>
          <w:trHeight w:val="20"/>
        </w:trPr>
        <w:tc>
          <w:tcPr>
            <w:tcW w:w="1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sz w:val="21"/>
                <w:szCs w:val="21"/>
                <w:color w:val="auto"/>
              </w:rPr>
            </w:pPr>
          </w:p>
        </w:tc>
        <w:tc>
          <w:tcPr>
            <w:tcW w:w="400" w:type="dxa"/>
            <w:vAlign w:val="bottom"/>
            <w:gridSpan w:val="2"/>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20" w:type="dxa"/>
            <w:vAlign w:val="bottom"/>
            <w:gridSpan w:val="5"/>
          </w:tcPr>
          <w:p>
            <w:pPr>
              <w:ind w:left="40"/>
              <w:spacing w:after="0"/>
              <w:rPr>
                <w:rFonts w:ascii="Arial" w:cs="Arial" w:eastAsia="Arial" w:hAnsi="Arial"/>
                <w:sz w:val="18"/>
                <w:szCs w:val="18"/>
                <w:color w:val="0000EE"/>
              </w:rPr>
            </w:pPr>
            <w:hyperlink w:anchor="page72">
              <w:r>
                <w:rPr>
                  <w:rFonts w:ascii="Arial" w:cs="Arial" w:eastAsia="Arial" w:hAnsi="Arial"/>
                  <w:sz w:val="18"/>
                  <w:szCs w:val="18"/>
                  <w:color w:val="0000EE"/>
                </w:rPr>
                <w:t>Principal Executive Officer’s Certification Pursuant to Section 302 of the Sarbanes-Oxley Act of 2002</w:t>
              </w:r>
            </w:hyperlink>
          </w:p>
        </w:tc>
        <w:tc>
          <w:tcPr>
            <w:tcW w:w="0" w:type="dxa"/>
            <w:vAlign w:val="bottom"/>
          </w:tcPr>
          <w:p>
            <w:pPr>
              <w:spacing w:after="0"/>
              <w:rPr>
                <w:sz w:val="1"/>
                <w:szCs w:val="1"/>
                <w:color w:val="auto"/>
              </w:rPr>
            </w:pPr>
          </w:p>
        </w:tc>
      </w:tr>
      <w:tr>
        <w:trPr>
          <w:trHeight w:val="20"/>
        </w:trPr>
        <w:tc>
          <w:tcPr>
            <w:tcW w:w="11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60" w:type="dxa"/>
            <w:vAlign w:val="bottom"/>
            <w:tcBorders>
              <w:left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gridSpan w:val="7"/>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20" w:type="dxa"/>
            <w:vAlign w:val="bottom"/>
            <w:gridSpan w:val="5"/>
          </w:tcPr>
          <w:p>
            <w:pPr>
              <w:ind w:left="40"/>
              <w:spacing w:after="0"/>
              <w:rPr>
                <w:rFonts w:ascii="Arial" w:cs="Arial" w:eastAsia="Arial" w:hAnsi="Arial"/>
                <w:sz w:val="18"/>
                <w:szCs w:val="18"/>
                <w:color w:val="0000EE"/>
              </w:rPr>
            </w:pPr>
            <w:hyperlink w:anchor="page73">
              <w:r>
                <w:rPr>
                  <w:rFonts w:ascii="Arial" w:cs="Arial" w:eastAsia="Arial" w:hAnsi="Arial"/>
                  <w:sz w:val="18"/>
                  <w:szCs w:val="18"/>
                  <w:color w:val="0000EE"/>
                </w:rPr>
                <w:t>Principal Financial Officer’s Certification Pursuant to Section 302 of the Sarbanes-Oxley Act of 2002</w:t>
              </w:r>
            </w:hyperlink>
          </w:p>
        </w:tc>
        <w:tc>
          <w:tcPr>
            <w:tcW w:w="0" w:type="dxa"/>
            <w:vAlign w:val="bottom"/>
          </w:tcPr>
          <w:p>
            <w:pPr>
              <w:spacing w:after="0"/>
              <w:rPr>
                <w:sz w:val="1"/>
                <w:szCs w:val="1"/>
                <w:color w:val="auto"/>
              </w:rPr>
            </w:pPr>
          </w:p>
        </w:tc>
      </w:tr>
      <w:tr>
        <w:trPr>
          <w:trHeight w:val="20"/>
        </w:trPr>
        <w:tc>
          <w:tcPr>
            <w:tcW w:w="11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gridSpan w:val="7"/>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20" w:type="dxa"/>
            <w:vAlign w:val="bottom"/>
            <w:gridSpan w:val="5"/>
          </w:tcPr>
          <w:p>
            <w:pPr>
              <w:ind w:left="40"/>
              <w:spacing w:after="0"/>
              <w:rPr>
                <w:rFonts w:ascii="Arial" w:cs="Arial" w:eastAsia="Arial" w:hAnsi="Arial"/>
                <w:sz w:val="18"/>
                <w:szCs w:val="18"/>
                <w:color w:val="0000EE"/>
              </w:rPr>
            </w:pPr>
            <w:hyperlink w:anchor="page74">
              <w:r>
                <w:rPr>
                  <w:rFonts w:ascii="Arial" w:cs="Arial" w:eastAsia="Arial" w:hAnsi="Arial"/>
                  <w:sz w:val="18"/>
                  <w:szCs w:val="18"/>
                  <w:color w:val="0000EE"/>
                </w:rPr>
                <w:t>Certification Pursuant to 18 U.S.C. § 1350 (Section 906 of the Sarbanes-Oxley Act of 2002)</w:t>
              </w:r>
            </w:hyperlink>
          </w:p>
        </w:tc>
        <w:tc>
          <w:tcPr>
            <w:tcW w:w="0" w:type="dxa"/>
            <w:vAlign w:val="bottom"/>
          </w:tcPr>
          <w:p>
            <w:pPr>
              <w:spacing w:after="0"/>
              <w:rPr>
                <w:sz w:val="1"/>
                <w:szCs w:val="1"/>
                <w:color w:val="auto"/>
              </w:rPr>
            </w:pPr>
          </w:p>
        </w:tc>
      </w:tr>
      <w:tr>
        <w:trPr>
          <w:trHeight w:val="20"/>
        </w:trPr>
        <w:tc>
          <w:tcPr>
            <w:tcW w:w="1180" w:type="dxa"/>
            <w:vAlign w:val="bottom"/>
            <w:gridSpan w:val="3"/>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40" w:type="dxa"/>
            <w:vAlign w:val="bottom"/>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gridSpan w:val="7"/>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20" w:type="dxa"/>
            <w:vAlign w:val="bottom"/>
            <w:gridSpan w:val="5"/>
          </w:tcPr>
          <w:p>
            <w:pPr>
              <w:ind w:left="40"/>
              <w:spacing w:after="0"/>
              <w:rPr>
                <w:rFonts w:ascii="Arial" w:cs="Arial" w:eastAsia="Arial" w:hAnsi="Arial"/>
                <w:sz w:val="18"/>
                <w:szCs w:val="18"/>
                <w:color w:val="0000EE"/>
              </w:rPr>
            </w:pPr>
            <w:hyperlink w:anchor="page75">
              <w:r>
                <w:rPr>
                  <w:rFonts w:ascii="Arial" w:cs="Arial" w:eastAsia="Arial" w:hAnsi="Arial"/>
                  <w:sz w:val="18"/>
                  <w:szCs w:val="18"/>
                  <w:color w:val="0000EE"/>
                </w:rPr>
                <w:t>Certification Pursuant to 18 U.S.C. § 1350 (Section 906 of the Sarbanes-Oxley Act of 2002)</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40" w:type="dxa"/>
            <w:vAlign w:val="bottom"/>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gridSpan w:val="6"/>
          </w:tcPr>
          <w:p>
            <w:pPr>
              <w:jc w:val="right"/>
              <w:ind w:right="40"/>
              <w:spacing w:after="0"/>
              <w:rPr>
                <w:sz w:val="20"/>
                <w:szCs w:val="20"/>
                <w:color w:val="auto"/>
              </w:rPr>
            </w:pPr>
            <w:r>
              <w:rPr>
                <w:rFonts w:ascii="Arial" w:cs="Arial" w:eastAsia="Arial" w:hAnsi="Arial"/>
                <w:sz w:val="18"/>
                <w:szCs w:val="18"/>
                <w:color w:val="auto"/>
                <w:w w:val="95"/>
              </w:rPr>
              <w:t>101.INS</w:t>
            </w:r>
          </w:p>
        </w:tc>
        <w:tc>
          <w:tcPr>
            <w:tcW w:w="100" w:type="dxa"/>
            <w:vAlign w:val="bottom"/>
          </w:tcPr>
          <w:p>
            <w:pPr>
              <w:spacing w:after="0"/>
              <w:rPr>
                <w:sz w:val="24"/>
                <w:szCs w:val="24"/>
                <w:color w:val="auto"/>
              </w:rPr>
            </w:pPr>
          </w:p>
        </w:tc>
        <w:tc>
          <w:tcPr>
            <w:tcW w:w="9220" w:type="dxa"/>
            <w:vAlign w:val="bottom"/>
            <w:gridSpan w:val="5"/>
          </w:tcPr>
          <w:p>
            <w:pPr>
              <w:ind w:left="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420" w:type="dxa"/>
            <w:vAlign w:val="bottom"/>
          </w:tcPr>
          <w:p>
            <w:pPr>
              <w:spacing w:after="0"/>
              <w:rPr>
                <w:sz w:val="23"/>
                <w:szCs w:val="23"/>
                <w:color w:val="auto"/>
              </w:rPr>
            </w:pPr>
          </w:p>
        </w:tc>
        <w:tc>
          <w:tcPr>
            <w:tcW w:w="1280" w:type="dxa"/>
            <w:vAlign w:val="bottom"/>
            <w:gridSpan w:val="7"/>
          </w:tcPr>
          <w:p>
            <w:pPr>
              <w:jc w:val="right"/>
              <w:ind w:right="4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3"/>
                <w:szCs w:val="23"/>
                <w:color w:val="auto"/>
              </w:rPr>
            </w:pPr>
          </w:p>
        </w:tc>
        <w:tc>
          <w:tcPr>
            <w:tcW w:w="9220" w:type="dxa"/>
            <w:vAlign w:val="bottom"/>
            <w:gridSpan w:val="5"/>
          </w:tcPr>
          <w:p>
            <w:pPr>
              <w:ind w:left="4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70"/>
        </w:trPr>
        <w:tc>
          <w:tcPr>
            <w:tcW w:w="420" w:type="dxa"/>
            <w:vAlign w:val="bottom"/>
          </w:tcPr>
          <w:p>
            <w:pPr>
              <w:spacing w:after="0"/>
              <w:rPr>
                <w:sz w:val="23"/>
                <w:szCs w:val="23"/>
                <w:color w:val="auto"/>
              </w:rPr>
            </w:pPr>
          </w:p>
        </w:tc>
        <w:tc>
          <w:tcPr>
            <w:tcW w:w="1280" w:type="dxa"/>
            <w:vAlign w:val="bottom"/>
            <w:gridSpan w:val="7"/>
          </w:tcPr>
          <w:p>
            <w:pPr>
              <w:jc w:val="right"/>
              <w:ind w:right="4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3"/>
                <w:szCs w:val="23"/>
                <w:color w:val="auto"/>
              </w:rPr>
            </w:pPr>
          </w:p>
        </w:tc>
        <w:tc>
          <w:tcPr>
            <w:tcW w:w="9220" w:type="dxa"/>
            <w:vAlign w:val="bottom"/>
            <w:gridSpan w:val="5"/>
          </w:tcPr>
          <w:p>
            <w:pPr>
              <w:ind w:left="4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70"/>
        </w:trPr>
        <w:tc>
          <w:tcPr>
            <w:tcW w:w="420" w:type="dxa"/>
            <w:vAlign w:val="bottom"/>
          </w:tcPr>
          <w:p>
            <w:pPr>
              <w:spacing w:after="0"/>
              <w:rPr>
                <w:sz w:val="23"/>
                <w:szCs w:val="23"/>
                <w:color w:val="auto"/>
              </w:rPr>
            </w:pPr>
          </w:p>
        </w:tc>
        <w:tc>
          <w:tcPr>
            <w:tcW w:w="1280" w:type="dxa"/>
            <w:vAlign w:val="bottom"/>
            <w:gridSpan w:val="7"/>
          </w:tcPr>
          <w:p>
            <w:pPr>
              <w:jc w:val="right"/>
              <w:ind w:right="4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3"/>
                <w:szCs w:val="23"/>
                <w:color w:val="auto"/>
              </w:rPr>
            </w:pPr>
          </w:p>
        </w:tc>
        <w:tc>
          <w:tcPr>
            <w:tcW w:w="9220" w:type="dxa"/>
            <w:vAlign w:val="bottom"/>
            <w:gridSpan w:val="5"/>
          </w:tcPr>
          <w:p>
            <w:pPr>
              <w:ind w:left="4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70"/>
        </w:trPr>
        <w:tc>
          <w:tcPr>
            <w:tcW w:w="420" w:type="dxa"/>
            <w:vAlign w:val="bottom"/>
          </w:tcPr>
          <w:p>
            <w:pPr>
              <w:spacing w:after="0"/>
              <w:rPr>
                <w:sz w:val="23"/>
                <w:szCs w:val="23"/>
                <w:color w:val="auto"/>
              </w:rPr>
            </w:pPr>
          </w:p>
        </w:tc>
        <w:tc>
          <w:tcPr>
            <w:tcW w:w="1280" w:type="dxa"/>
            <w:vAlign w:val="bottom"/>
            <w:gridSpan w:val="7"/>
          </w:tcPr>
          <w:p>
            <w:pPr>
              <w:jc w:val="right"/>
              <w:ind w:right="4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3"/>
                <w:szCs w:val="23"/>
                <w:color w:val="auto"/>
              </w:rPr>
            </w:pPr>
          </w:p>
        </w:tc>
        <w:tc>
          <w:tcPr>
            <w:tcW w:w="9220" w:type="dxa"/>
            <w:vAlign w:val="bottom"/>
            <w:gridSpan w:val="5"/>
          </w:tcPr>
          <w:p>
            <w:pPr>
              <w:ind w:left="4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70"/>
        </w:trPr>
        <w:tc>
          <w:tcPr>
            <w:tcW w:w="420" w:type="dxa"/>
            <w:vAlign w:val="bottom"/>
          </w:tcPr>
          <w:p>
            <w:pPr>
              <w:spacing w:after="0"/>
              <w:rPr>
                <w:sz w:val="23"/>
                <w:szCs w:val="23"/>
                <w:color w:val="auto"/>
              </w:rPr>
            </w:pPr>
          </w:p>
        </w:tc>
        <w:tc>
          <w:tcPr>
            <w:tcW w:w="1280" w:type="dxa"/>
            <w:vAlign w:val="bottom"/>
            <w:gridSpan w:val="7"/>
          </w:tcPr>
          <w:p>
            <w:pPr>
              <w:jc w:val="right"/>
              <w:ind w:right="4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3"/>
                <w:szCs w:val="23"/>
                <w:color w:val="auto"/>
              </w:rPr>
            </w:pPr>
          </w:p>
        </w:tc>
        <w:tc>
          <w:tcPr>
            <w:tcW w:w="9220" w:type="dxa"/>
            <w:vAlign w:val="bottom"/>
            <w:gridSpan w:val="5"/>
          </w:tcPr>
          <w:p>
            <w:pPr>
              <w:ind w:left="4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351"/>
        </w:trPr>
        <w:tc>
          <w:tcPr>
            <w:tcW w:w="4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5"/>
            <w:vMerge w:val="restart"/>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7"/>
        </w:trPr>
        <w:tc>
          <w:tcPr>
            <w:tcW w:w="10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840" w:right="200" w:hanging="1400"/>
        <w:spacing w:after="0" w:line="257" w:lineRule="auto"/>
        <w:tabs>
          <w:tab w:leader="none" w:pos="1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240" w:top="114" w:right="6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VERACYTE, INC.</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S.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Keith S. Kennedy</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5"/>
          </w:tcPr>
          <w:p>
            <w:pPr>
              <w:jc w:val="center"/>
              <w:ind w:right="15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4"/>
        </w:trPr>
        <w:tc>
          <w:tcPr>
            <w:tcW w:w="1360" w:type="dxa"/>
            <w:vAlign w:val="bottom"/>
            <w:gridSpan w:val="4"/>
          </w:tcPr>
          <w:p>
            <w:pPr>
              <w:ind w:left="4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5"/>
            <w:vMerge w:val="restart"/>
          </w:tcPr>
          <w:p>
            <w:pPr>
              <w:ind w:left="4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3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90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360" w:type="dxa"/>
            <w:vAlign w:val="bottom"/>
            <w:gridSpan w:val="4"/>
          </w:tcPr>
          <w:p>
            <w:pPr>
              <w:jc w:val="right"/>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140" w:type="dxa"/>
            <w:vAlign w:val="bottom"/>
          </w:tcPr>
          <w:p>
            <w:pPr>
              <w:spacing w:after="0"/>
              <w:rPr>
                <w:sz w:val="17"/>
                <w:szCs w:val="17"/>
                <w:color w:val="auto"/>
              </w:rPr>
            </w:pPr>
          </w:p>
        </w:tc>
        <w:tc>
          <w:tcPr>
            <w:tcW w:w="9920" w:type="dxa"/>
            <w:vAlign w:val="bottom"/>
            <w:gridSpan w:val="6"/>
          </w:tcPr>
          <w:p>
            <w:pPr>
              <w:ind w:left="20"/>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Second Amendment to Lease Agreement dated August 14, 2017 between the Company and BRI 1868 Riata, LLC.</w:t>
              </w:r>
            </w:hyperlink>
          </w:p>
        </w:tc>
        <w:tc>
          <w:tcPr>
            <w:tcW w:w="0" w:type="dxa"/>
            <w:vAlign w:val="bottom"/>
          </w:tcPr>
          <w:p>
            <w:pPr>
              <w:spacing w:after="0"/>
              <w:rPr>
                <w:sz w:val="1"/>
                <w:szCs w:val="1"/>
                <w:color w:val="auto"/>
              </w:rPr>
            </w:pPr>
          </w:p>
        </w:tc>
      </w:tr>
      <w:tr>
        <w:trPr>
          <w:trHeight w:val="250"/>
        </w:trPr>
        <w:tc>
          <w:tcPr>
            <w:tcW w:w="960" w:type="dxa"/>
            <w:vAlign w:val="bottom"/>
            <w:gridSpan w:val="2"/>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20" w:type="dxa"/>
            <w:vAlign w:val="bottom"/>
            <w:tcBorders>
              <w:top w:val="single" w:sz="8" w:color="0000FF"/>
              <w:bottom w:val="single" w:sz="8" w:color="0000FF"/>
            </w:tcBorders>
          </w:tcPr>
          <w:p>
            <w:pPr>
              <w:jc w:val="right"/>
              <w:spacing w:after="0"/>
              <w:rPr>
                <w:rFonts w:ascii="Arial" w:cs="Arial" w:eastAsia="Arial" w:hAnsi="Arial"/>
                <w:sz w:val="18"/>
                <w:szCs w:val="18"/>
                <w:color w:val="0000FF"/>
                <w:w w:val="85"/>
              </w:rPr>
            </w:pPr>
            <w:hyperlink w:anchor="page72">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3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72">
              <w:r>
                <w:rPr>
                  <w:rFonts w:ascii="Arial" w:cs="Arial" w:eastAsia="Arial" w:hAnsi="Arial"/>
                  <w:sz w:val="18"/>
                  <w:szCs w:val="18"/>
                  <w:color w:val="0000FF"/>
                  <w:w w:val="91"/>
                </w:rPr>
                <w:t>Principal Executive Officer’s Certification Pursuant to Section 302 of the Sarbanes-Oxley Act of 2002</w:t>
              </w:r>
            </w:hyperlink>
          </w:p>
        </w:tc>
        <w:tc>
          <w:tcPr>
            <w:tcW w:w="860" w:type="dxa"/>
            <w:vAlign w:val="bottom"/>
            <w:tcBorders>
              <w:top w:val="single" w:sz="8" w:color="0000FF"/>
            </w:tcBorders>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gridSpan w:val="3"/>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0000FF"/>
                <w:w w:val="85"/>
              </w:rPr>
            </w:pPr>
            <w:hyperlink w:anchor="page73">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5"/>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Principal Financial Officer’s Certification Pursuant to Section 302 of the Sarbanes-Oxley Act of 2002</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spacing w:after="0"/>
              <w:rPr>
                <w:sz w:val="21"/>
                <w:szCs w:val="21"/>
                <w:color w:val="auto"/>
              </w:rPr>
            </w:pPr>
          </w:p>
        </w:tc>
        <w:tc>
          <w:tcPr>
            <w:tcW w:w="500" w:type="dxa"/>
            <w:vAlign w:val="bottom"/>
            <w:gridSpan w:val="3"/>
          </w:tcPr>
          <w:p>
            <w:pPr>
              <w:jc w:val="right"/>
              <w:spacing w:after="0"/>
              <w:rPr>
                <w:rFonts w:ascii="Arial" w:cs="Arial" w:eastAsia="Arial" w:hAnsi="Arial"/>
                <w:sz w:val="18"/>
                <w:szCs w:val="18"/>
                <w:color w:val="0000FF"/>
                <w:w w:val="97"/>
              </w:rPr>
            </w:pPr>
            <w:hyperlink w:anchor="page74">
              <w:r>
                <w:rPr>
                  <w:rFonts w:ascii="Arial" w:cs="Arial" w:eastAsia="Arial" w:hAnsi="Arial"/>
                  <w:sz w:val="18"/>
                  <w:szCs w:val="18"/>
                  <w:color w:val="0000FF"/>
                  <w:w w:val="97"/>
                </w:rPr>
                <w:t>32.</w:t>
              </w:r>
              <w:r>
                <w:rPr>
                  <w:rFonts w:ascii="Arial" w:cs="Arial" w:eastAsia="Arial" w:hAnsi="Arial"/>
                  <w:sz w:val="18"/>
                  <w:szCs w:val="18"/>
                  <w:u w:val="single" w:color="auto"/>
                  <w:color w:val="0000FF"/>
                  <w:w w:val="97"/>
                </w:rPr>
                <w:t>1**</w:t>
              </w:r>
            </w:hyperlink>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5"/>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Certification Pursuant to 18 U.S.C. § 1350 (Section 906 of the Sarbanes-Oxley Act of 2002)</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40" w:type="dxa"/>
            <w:vAlign w:val="bottom"/>
            <w:shd w:val="clear" w:color="auto" w:fill="0000FF"/>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spacing w:after="0"/>
              <w:rPr>
                <w:sz w:val="21"/>
                <w:szCs w:val="21"/>
                <w:color w:val="auto"/>
              </w:rPr>
            </w:pPr>
          </w:p>
        </w:tc>
        <w:tc>
          <w:tcPr>
            <w:tcW w:w="500" w:type="dxa"/>
            <w:vAlign w:val="bottom"/>
            <w:gridSpan w:val="3"/>
          </w:tcPr>
          <w:p>
            <w:pPr>
              <w:jc w:val="right"/>
              <w:spacing w:after="0"/>
              <w:rPr>
                <w:rFonts w:ascii="Arial" w:cs="Arial" w:eastAsia="Arial" w:hAnsi="Arial"/>
                <w:sz w:val="18"/>
                <w:szCs w:val="18"/>
                <w:color w:val="0000FF"/>
                <w:w w:val="97"/>
              </w:rPr>
            </w:pPr>
            <w:hyperlink w:anchor="page75">
              <w:r>
                <w:rPr>
                  <w:rFonts w:ascii="Arial" w:cs="Arial" w:eastAsia="Arial" w:hAnsi="Arial"/>
                  <w:sz w:val="18"/>
                  <w:szCs w:val="18"/>
                  <w:color w:val="0000FF"/>
                  <w:w w:val="97"/>
                </w:rPr>
                <w:t>32.</w:t>
              </w:r>
              <w:r>
                <w:rPr>
                  <w:rFonts w:ascii="Arial" w:cs="Arial" w:eastAsia="Arial" w:hAnsi="Arial"/>
                  <w:sz w:val="18"/>
                  <w:szCs w:val="18"/>
                  <w:u w:val="single" w:color="auto"/>
                  <w:color w:val="0000FF"/>
                  <w:w w:val="97"/>
                </w:rPr>
                <w:t>2**</w:t>
              </w:r>
            </w:hyperlink>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5"/>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Certification Pursuant to 18 U.S.C. § 1350 (Section 906 of the Sarbanes-Oxley Act of 2002)</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40" w:type="dxa"/>
            <w:vAlign w:val="bottom"/>
            <w:shd w:val="clear" w:color="auto" w:fill="0000FF"/>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360" w:type="dxa"/>
            <w:vAlign w:val="bottom"/>
            <w:gridSpan w:val="4"/>
          </w:tcPr>
          <w:p>
            <w:pPr>
              <w:jc w:val="right"/>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9920" w:type="dxa"/>
            <w:vAlign w:val="bottom"/>
            <w:gridSpan w:val="6"/>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360" w:type="dxa"/>
            <w:vAlign w:val="bottom"/>
            <w:gridSpan w:val="4"/>
          </w:tcPr>
          <w:p>
            <w:pPr>
              <w:jc w:val="right"/>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3"/>
                <w:szCs w:val="23"/>
                <w:color w:val="auto"/>
              </w:rPr>
            </w:pPr>
          </w:p>
        </w:tc>
        <w:tc>
          <w:tcPr>
            <w:tcW w:w="9920" w:type="dxa"/>
            <w:vAlign w:val="bottom"/>
            <w:gridSpan w:val="6"/>
          </w:tcPr>
          <w:p>
            <w:pPr>
              <w:ind w:left="2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70"/>
        </w:trPr>
        <w:tc>
          <w:tcPr>
            <w:tcW w:w="1360" w:type="dxa"/>
            <w:vAlign w:val="bottom"/>
            <w:gridSpan w:val="4"/>
          </w:tcPr>
          <w:p>
            <w:pPr>
              <w:jc w:val="right"/>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3"/>
                <w:szCs w:val="23"/>
                <w:color w:val="auto"/>
              </w:rPr>
            </w:pPr>
          </w:p>
        </w:tc>
        <w:tc>
          <w:tcPr>
            <w:tcW w:w="9920" w:type="dxa"/>
            <w:vAlign w:val="bottom"/>
            <w:gridSpan w:val="6"/>
          </w:tcPr>
          <w:p>
            <w:pPr>
              <w:ind w:left="2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70"/>
        </w:trPr>
        <w:tc>
          <w:tcPr>
            <w:tcW w:w="1360" w:type="dxa"/>
            <w:vAlign w:val="bottom"/>
            <w:gridSpan w:val="4"/>
          </w:tcPr>
          <w:p>
            <w:pPr>
              <w:jc w:val="right"/>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3"/>
                <w:szCs w:val="23"/>
                <w:color w:val="auto"/>
              </w:rPr>
            </w:pPr>
          </w:p>
        </w:tc>
        <w:tc>
          <w:tcPr>
            <w:tcW w:w="9920" w:type="dxa"/>
            <w:vAlign w:val="bottom"/>
            <w:gridSpan w:val="6"/>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70"/>
        </w:trPr>
        <w:tc>
          <w:tcPr>
            <w:tcW w:w="1360" w:type="dxa"/>
            <w:vAlign w:val="bottom"/>
            <w:gridSpan w:val="4"/>
          </w:tcPr>
          <w:p>
            <w:pPr>
              <w:jc w:val="right"/>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3"/>
                <w:szCs w:val="23"/>
                <w:color w:val="auto"/>
              </w:rPr>
            </w:pPr>
          </w:p>
        </w:tc>
        <w:tc>
          <w:tcPr>
            <w:tcW w:w="9920" w:type="dxa"/>
            <w:vAlign w:val="bottom"/>
            <w:gridSpan w:val="6"/>
          </w:tcPr>
          <w:p>
            <w:pPr>
              <w:ind w:left="2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70"/>
        </w:trPr>
        <w:tc>
          <w:tcPr>
            <w:tcW w:w="1360" w:type="dxa"/>
            <w:vAlign w:val="bottom"/>
            <w:gridSpan w:val="4"/>
          </w:tcPr>
          <w:p>
            <w:pPr>
              <w:jc w:val="right"/>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3"/>
                <w:szCs w:val="23"/>
                <w:color w:val="auto"/>
              </w:rPr>
            </w:pPr>
          </w:p>
        </w:tc>
        <w:tc>
          <w:tcPr>
            <w:tcW w:w="9920" w:type="dxa"/>
            <w:vAlign w:val="bottom"/>
            <w:gridSpan w:val="6"/>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351"/>
        </w:trPr>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920" w:type="dxa"/>
            <w:vAlign w:val="bottom"/>
            <w:gridSpan w:val="6"/>
            <w:vMerge w:val="restart"/>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7"/>
        </w:trPr>
        <w:tc>
          <w:tcPr>
            <w:tcW w:w="86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6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920" w:type="dxa"/>
            <w:vAlign w:val="bottom"/>
            <w:gridSpan w:val="6"/>
          </w:tcPr>
          <w:p>
            <w:pPr>
              <w:ind w:left="20"/>
              <w:spacing w:after="0"/>
              <w:rPr>
                <w:sz w:val="20"/>
                <w:szCs w:val="20"/>
                <w:color w:val="auto"/>
              </w:rPr>
            </w:pPr>
            <w:r>
              <w:rPr>
                <w:rFonts w:ascii="Arial" w:cs="Arial" w:eastAsia="Arial" w:hAnsi="Arial"/>
                <w:sz w:val="18"/>
                <w:szCs w:val="18"/>
                <w:color w:val="auto"/>
                <w:w w:val="93"/>
              </w:rPr>
              <w:t>In accordance with Item 601(b)(32)(ii) of Regulation S-K and SEC Release No. 34-47986, the certifications furnished in Exhibits 32.1</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20" w:type="dxa"/>
            <w:vAlign w:val="bottom"/>
            <w:gridSpan w:val="6"/>
          </w:tcPr>
          <w:p>
            <w:pPr>
              <w:ind w:left="20"/>
              <w:spacing w:after="0"/>
              <w:rPr>
                <w:sz w:val="20"/>
                <w:szCs w:val="20"/>
                <w:color w:val="auto"/>
              </w:rPr>
            </w:pPr>
            <w:r>
              <w:rPr>
                <w:rFonts w:ascii="Arial" w:cs="Arial" w:eastAsia="Arial" w:hAnsi="Arial"/>
                <w:sz w:val="18"/>
                <w:szCs w:val="18"/>
                <w:color w:val="auto"/>
                <w:w w:val="93"/>
              </w:rPr>
              <w:t>and 32.2 hereto are deemed to accompany this Form 10-Q and will not be deemed “filed” for purposes of Section 18 of the Securities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20" w:type="dxa"/>
            <w:vAlign w:val="bottom"/>
            <w:gridSpan w:val="6"/>
          </w:tcPr>
          <w:p>
            <w:pPr>
              <w:ind w:left="20"/>
              <w:spacing w:after="0"/>
              <w:rPr>
                <w:sz w:val="20"/>
                <w:szCs w:val="20"/>
                <w:color w:val="auto"/>
              </w:rPr>
            </w:pPr>
            <w:r>
              <w:rPr>
                <w:rFonts w:ascii="Arial" w:cs="Arial" w:eastAsia="Arial" w:hAnsi="Arial"/>
                <w:sz w:val="18"/>
                <w:szCs w:val="18"/>
                <w:color w:val="auto"/>
                <w:w w:val="94"/>
              </w:rPr>
              <w:t>Exchange Act of 1934 (the “Exchange Act”) or deemed to be incorporated by reference into any filing under the Exchange Act or the</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gridSpan w:val="6"/>
          </w:tcPr>
          <w:p>
            <w:pPr>
              <w:ind w:left="20"/>
              <w:spacing w:after="0"/>
              <w:rPr>
                <w:sz w:val="20"/>
                <w:szCs w:val="20"/>
                <w:color w:val="auto"/>
              </w:rPr>
            </w:pPr>
            <w:r>
              <w:rPr>
                <w:rFonts w:ascii="Arial" w:cs="Arial" w:eastAsia="Arial" w:hAnsi="Arial"/>
                <w:sz w:val="18"/>
                <w:szCs w:val="18"/>
                <w:color w:val="auto"/>
              </w:rPr>
              <w:t>Securities Act of 1933 except to the extent that the registrant specifically incorporates it by reference.</w:t>
            </w:r>
          </w:p>
        </w:tc>
        <w:tc>
          <w:tcPr>
            <w:tcW w:w="0" w:type="dxa"/>
            <w:vAlign w:val="bottom"/>
          </w:tcPr>
          <w:p>
            <w:pPr>
              <w:spacing w:after="0"/>
              <w:rPr>
                <w:sz w:val="1"/>
                <w:szCs w:val="1"/>
                <w:color w:val="auto"/>
              </w:rPr>
            </w:pPr>
          </w:p>
        </w:tc>
      </w:tr>
      <w:tr>
        <w:trPr>
          <w:trHeight w:val="486"/>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0" w:type="dxa"/>
            <w:vAlign w:val="bottom"/>
            <w:gridSpan w:val="3"/>
          </w:tcPr>
          <w:p>
            <w:pPr>
              <w:jc w:val="right"/>
              <w:ind w:right="2273"/>
              <w:spacing w:after="0"/>
              <w:rPr>
                <w:sz w:val="20"/>
                <w:szCs w:val="20"/>
                <w:color w:val="auto"/>
              </w:rPr>
            </w:pPr>
            <w:r>
              <w:rPr>
                <w:rFonts w:ascii="Arial" w:cs="Arial" w:eastAsia="Arial" w:hAnsi="Arial"/>
                <w:sz w:val="18"/>
                <w:szCs w:val="18"/>
                <w:color w:val="auto"/>
              </w:rPr>
              <w:t>52</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AMENDMENT TO LEASE AGREEMENT</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SECOND AMENDMENT TO LEASE AGREEMENT (this “</w:t>
      </w:r>
      <w:r>
        <w:rPr>
          <w:rFonts w:ascii="Arial" w:cs="Arial" w:eastAsia="Arial" w:hAnsi="Arial"/>
          <w:sz w:val="20"/>
          <w:szCs w:val="20"/>
          <w:u w:val="single" w:color="auto"/>
          <w:color w:val="auto"/>
        </w:rPr>
        <w:t>Second Amendment</w:t>
      </w:r>
      <w:r>
        <w:rPr>
          <w:rFonts w:ascii="Arial" w:cs="Arial" w:eastAsia="Arial" w:hAnsi="Arial"/>
          <w:sz w:val="20"/>
          <w:szCs w:val="20"/>
          <w:color w:val="auto"/>
        </w:rPr>
        <w:t>”) is entered into and executed on August 14, 2017 (the “</w:t>
      </w:r>
      <w:r>
        <w:rPr>
          <w:rFonts w:ascii="Arial" w:cs="Arial" w:eastAsia="Arial" w:hAnsi="Arial"/>
          <w:sz w:val="20"/>
          <w:szCs w:val="20"/>
          <w:u w:val="single" w:color="auto"/>
          <w:color w:val="auto"/>
        </w:rPr>
        <w:t>Effective Date</w:t>
      </w:r>
      <w:r>
        <w:rPr>
          <w:rFonts w:ascii="Arial" w:cs="Arial" w:eastAsia="Arial" w:hAnsi="Arial"/>
          <w:sz w:val="20"/>
          <w:szCs w:val="20"/>
          <w:color w:val="auto"/>
        </w:rPr>
        <w:t>”) by and between VERACYTE, INC., a Delaware corporation (“</w:t>
      </w:r>
      <w:r>
        <w:rPr>
          <w:rFonts w:ascii="Arial" w:cs="Arial" w:eastAsia="Arial" w:hAnsi="Arial"/>
          <w:sz w:val="20"/>
          <w:szCs w:val="20"/>
          <w:u w:val="single" w:color="auto"/>
          <w:color w:val="auto"/>
        </w:rPr>
        <w:t>Tenant</w:t>
      </w:r>
      <w:r>
        <w:rPr>
          <w:rFonts w:ascii="Arial" w:cs="Arial" w:eastAsia="Arial" w:hAnsi="Arial"/>
          <w:sz w:val="20"/>
          <w:szCs w:val="20"/>
          <w:color w:val="auto"/>
        </w:rPr>
        <w:t>”), and BRI 1868 RIATA, LLC, a Delaware limited liability company (“</w:t>
      </w:r>
      <w:r>
        <w:rPr>
          <w:rFonts w:ascii="Arial" w:cs="Arial" w:eastAsia="Arial" w:hAnsi="Arial"/>
          <w:sz w:val="20"/>
          <w:szCs w:val="20"/>
          <w:u w:val="single" w:color="auto"/>
          <w:color w:val="auto"/>
        </w:rPr>
        <w:t>Landlord</w:t>
      </w:r>
      <w:r>
        <w:rPr>
          <w:rFonts w:ascii="Arial" w:cs="Arial" w:eastAsia="Arial" w:hAnsi="Arial"/>
          <w:sz w:val="20"/>
          <w:szCs w:val="20"/>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ind w:firstLine="656"/>
        <w:spacing w:after="0" w:line="234" w:lineRule="auto"/>
        <w:tabs>
          <w:tab w:leader="none" w:pos="1103" w:val="left"/>
        </w:tabs>
        <w:numPr>
          <w:ilvl w:val="0"/>
          <w:numId w:val="22"/>
        </w:numPr>
        <w:rPr>
          <w:rFonts w:ascii="Arial" w:cs="Arial" w:eastAsia="Arial" w:hAnsi="Arial"/>
          <w:sz w:val="20"/>
          <w:szCs w:val="20"/>
          <w:color w:val="auto"/>
        </w:rPr>
      </w:pPr>
      <w:r>
        <w:rPr>
          <w:rFonts w:ascii="Arial" w:cs="Arial" w:eastAsia="Arial" w:hAnsi="Arial"/>
          <w:sz w:val="20"/>
          <w:szCs w:val="20"/>
          <w:color w:val="auto"/>
        </w:rPr>
        <w:t>Landlord, as successor-in-interest to Riata Holdings, L.P., a Delaware limited partnership, and Tenant are parties to that certain Lease Agreement dated November 28, 2012 (the “</w:t>
      </w:r>
      <w:r>
        <w:rPr>
          <w:rFonts w:ascii="Arial" w:cs="Arial" w:eastAsia="Arial" w:hAnsi="Arial"/>
          <w:sz w:val="20"/>
          <w:szCs w:val="20"/>
          <w:u w:val="single" w:color="auto"/>
          <w:color w:val="auto"/>
        </w:rPr>
        <w:t>Original Lease</w:t>
      </w:r>
      <w:r>
        <w:rPr>
          <w:rFonts w:ascii="Arial" w:cs="Arial" w:eastAsia="Arial" w:hAnsi="Arial"/>
          <w:sz w:val="20"/>
          <w:szCs w:val="20"/>
          <w:color w:val="auto"/>
        </w:rPr>
        <w:t>”, as amended by that certain First Amendment to Lease Agreement dated January 7, 2014, collectively the “</w:t>
      </w:r>
      <w:r>
        <w:rPr>
          <w:rFonts w:ascii="Arial" w:cs="Arial" w:eastAsia="Arial" w:hAnsi="Arial"/>
          <w:sz w:val="20"/>
          <w:szCs w:val="20"/>
          <w:u w:val="single" w:color="auto"/>
          <w:color w:val="auto"/>
        </w:rPr>
        <w:t>Lease</w:t>
      </w:r>
      <w:r>
        <w:rPr>
          <w:rFonts w:ascii="Arial" w:cs="Arial" w:eastAsia="Arial" w:hAnsi="Arial"/>
          <w:sz w:val="20"/>
          <w:szCs w:val="20"/>
          <w:color w:val="auto"/>
        </w:rPr>
        <w:t>”). The Lease covers the Premises, which is deemed to contain 10,364 rentable square feet (“</w:t>
      </w:r>
      <w:r>
        <w:rPr>
          <w:rFonts w:ascii="Arial" w:cs="Arial" w:eastAsia="Arial" w:hAnsi="Arial"/>
          <w:sz w:val="20"/>
          <w:szCs w:val="20"/>
          <w:u w:val="single" w:color="auto"/>
          <w:color w:val="auto"/>
        </w:rPr>
        <w:t>RSF</w:t>
      </w:r>
      <w:r>
        <w:rPr>
          <w:rFonts w:ascii="Arial" w:cs="Arial" w:eastAsia="Arial" w:hAnsi="Arial"/>
          <w:sz w:val="20"/>
          <w:szCs w:val="20"/>
          <w:color w:val="auto"/>
        </w:rPr>
        <w:t>”) known as Suite 5.100 and Suite 5.110, located on the first (1</w:t>
      </w:r>
      <w:r>
        <w:rPr>
          <w:rFonts w:ascii="Arial" w:cs="Arial" w:eastAsia="Arial" w:hAnsi="Arial"/>
          <w:sz w:val="25"/>
          <w:szCs w:val="25"/>
          <w:color w:val="auto"/>
          <w:vertAlign w:val="superscript"/>
        </w:rPr>
        <w:t>st</w:t>
      </w:r>
      <w:r>
        <w:rPr>
          <w:rFonts w:ascii="Arial" w:cs="Arial" w:eastAsia="Arial" w:hAnsi="Arial"/>
          <w:sz w:val="20"/>
          <w:szCs w:val="20"/>
          <w:color w:val="auto"/>
        </w:rPr>
        <w:t>) floor of the building known as Building 5 located at 12357-A Riata Trace Parkway, Austin, Texas 78727 (as defined and more particularly described in the Lease, the “</w:t>
      </w:r>
      <w:r>
        <w:rPr>
          <w:rFonts w:ascii="Arial" w:cs="Arial" w:eastAsia="Arial" w:hAnsi="Arial"/>
          <w:sz w:val="20"/>
          <w:szCs w:val="20"/>
          <w:u w:val="single" w:color="auto"/>
          <w:color w:val="auto"/>
        </w:rPr>
        <w:t>Building</w:t>
      </w:r>
      <w:r>
        <w:rPr>
          <w:rFonts w:ascii="Arial" w:cs="Arial" w:eastAsia="Arial" w:hAnsi="Arial"/>
          <w:sz w:val="20"/>
          <w:szCs w:val="20"/>
          <w:color w:val="auto"/>
        </w:rPr>
        <w:t>”), of the complex of office buildings commonly known as the Riata Corporate Park and Riata Crossing (defined in the Lease as the “</w:t>
      </w:r>
      <w:r>
        <w:rPr>
          <w:rFonts w:ascii="Arial" w:cs="Arial" w:eastAsia="Arial" w:hAnsi="Arial"/>
          <w:sz w:val="20"/>
          <w:szCs w:val="20"/>
          <w:u w:val="single" w:color="auto"/>
          <w:color w:val="auto"/>
        </w:rPr>
        <w:t>related complex</w:t>
      </w:r>
      <w:r>
        <w:rPr>
          <w:rFonts w:ascii="Arial" w:cs="Arial" w:eastAsia="Arial" w:hAnsi="Arial"/>
          <w:sz w:val="20"/>
          <w:szCs w:val="20"/>
          <w:color w:val="auto"/>
        </w:rPr>
        <w:t>” and referred to herein as the “</w:t>
      </w:r>
      <w:r>
        <w:rPr>
          <w:rFonts w:ascii="Arial" w:cs="Arial" w:eastAsia="Arial" w:hAnsi="Arial"/>
          <w:sz w:val="20"/>
          <w:szCs w:val="20"/>
          <w:u w:val="single" w:color="auto"/>
          <w:color w:val="auto"/>
        </w:rPr>
        <w:t>Complex</w:t>
      </w:r>
      <w:r>
        <w:rPr>
          <w:rFonts w:ascii="Arial" w:cs="Arial" w:eastAsia="Arial" w:hAnsi="Arial"/>
          <w:sz w:val="20"/>
          <w:szCs w:val="20"/>
          <w:color w:val="auto"/>
        </w:rPr>
        <w:t>”).</w:t>
      </w:r>
    </w:p>
    <w:p>
      <w:pPr>
        <w:spacing w:after="0" w:line="197" w:lineRule="exact"/>
        <w:rPr>
          <w:rFonts w:ascii="Arial" w:cs="Arial" w:eastAsia="Arial" w:hAnsi="Arial"/>
          <w:sz w:val="20"/>
          <w:szCs w:val="20"/>
          <w:color w:val="auto"/>
        </w:rPr>
      </w:pPr>
    </w:p>
    <w:p>
      <w:pPr>
        <w:ind w:left="1040" w:hanging="384"/>
        <w:spacing w:after="0"/>
        <w:tabs>
          <w:tab w:leader="none" w:pos="10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Term of the Lease is scheduled to expire on July 31, 2018.</w:t>
      </w:r>
    </w:p>
    <w:p>
      <w:pPr>
        <w:spacing w:after="0" w:line="215" w:lineRule="exact"/>
        <w:rPr>
          <w:rFonts w:ascii="Arial" w:cs="Arial" w:eastAsia="Arial" w:hAnsi="Arial"/>
          <w:sz w:val="20"/>
          <w:szCs w:val="20"/>
          <w:color w:val="auto"/>
        </w:rPr>
      </w:pPr>
    </w:p>
    <w:p>
      <w:pPr>
        <w:ind w:left="1200" w:hanging="544"/>
        <w:spacing w:after="0"/>
        <w:tabs>
          <w:tab w:leader="none" w:pos="12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Landlord and Tenant desire to extend the Term of the Lease and otherwise amend the Lease as set forth in this Second</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Amendment.</w:t>
      </w:r>
    </w:p>
    <w:p>
      <w:pPr>
        <w:spacing w:after="0" w:line="20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Accordingly, for good and valuable consideration which the parties acknowledge receiving, Landlord and Tenant agree, and the Lease is hereby amended, as follows: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22" w:lineRule="exact"/>
        <w:rPr>
          <w:sz w:val="20"/>
          <w:szCs w:val="20"/>
          <w:color w:val="auto"/>
        </w:rPr>
      </w:pPr>
    </w:p>
    <w:p>
      <w:pPr>
        <w:ind w:left="1000" w:hanging="344"/>
        <w:spacing w:after="0"/>
        <w:tabs>
          <w:tab w:leader="none" w:pos="100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Recitals</w:t>
      </w:r>
      <w:r>
        <w:rPr>
          <w:rFonts w:ascii="Arial" w:cs="Arial" w:eastAsia="Arial" w:hAnsi="Arial"/>
          <w:sz w:val="20"/>
          <w:szCs w:val="20"/>
          <w:color w:val="auto"/>
        </w:rPr>
        <w:t>. The Recitals are true and correct and are incorporated into this Second Amendment.</w:t>
      </w:r>
    </w:p>
    <w:p>
      <w:pPr>
        <w:spacing w:after="0" w:line="215" w:lineRule="exact"/>
        <w:rPr>
          <w:rFonts w:ascii="Arial" w:cs="Arial" w:eastAsia="Arial" w:hAnsi="Arial"/>
          <w:sz w:val="20"/>
          <w:szCs w:val="20"/>
          <w:color w:val="auto"/>
        </w:rPr>
      </w:pPr>
    </w:p>
    <w:p>
      <w:pPr>
        <w:ind w:firstLine="656"/>
        <w:spacing w:after="0" w:line="260" w:lineRule="auto"/>
        <w:tabs>
          <w:tab w:leader="none" w:pos="1049"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Application of Lease Terms</w:t>
      </w:r>
      <w:r>
        <w:rPr>
          <w:rFonts w:ascii="Arial" w:cs="Arial" w:eastAsia="Arial" w:hAnsi="Arial"/>
          <w:sz w:val="20"/>
          <w:szCs w:val="20"/>
          <w:color w:val="auto"/>
        </w:rPr>
        <w:t>. Capitalized terms used in this Second Amendment and not defined herein shall have the meanings ascribed to them in the Lease.</w:t>
      </w:r>
    </w:p>
    <w:p>
      <w:pPr>
        <w:spacing w:after="0" w:line="176" w:lineRule="exact"/>
        <w:rPr>
          <w:rFonts w:ascii="Arial" w:cs="Arial" w:eastAsia="Arial" w:hAnsi="Arial"/>
          <w:sz w:val="20"/>
          <w:szCs w:val="20"/>
          <w:color w:val="auto"/>
        </w:rPr>
      </w:pPr>
    </w:p>
    <w:p>
      <w:pPr>
        <w:jc w:val="both"/>
        <w:ind w:firstLine="656"/>
        <w:spacing w:after="0" w:line="278" w:lineRule="auto"/>
        <w:tabs>
          <w:tab w:leader="none" w:pos="102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Extension of Term</w:t>
      </w:r>
      <w:r>
        <w:rPr>
          <w:rFonts w:ascii="Arial" w:cs="Arial" w:eastAsia="Arial" w:hAnsi="Arial"/>
          <w:sz w:val="18"/>
          <w:szCs w:val="18"/>
          <w:color w:val="auto"/>
        </w:rPr>
        <w:t>. The Term of the Lease is hereby extended for a period to begin at 5:01 p.m. local Austin, Texas time on July 31, 2018 and to expire at 11:59 p.m. local Austin, Texas time on January 31, 2029 (the “</w:t>
      </w:r>
      <w:r>
        <w:rPr>
          <w:rFonts w:ascii="Arial" w:cs="Arial" w:eastAsia="Arial" w:hAnsi="Arial"/>
          <w:sz w:val="18"/>
          <w:szCs w:val="18"/>
          <w:u w:val="single" w:color="auto"/>
          <w:color w:val="auto"/>
        </w:rPr>
        <w:t>Expiration Date</w:t>
      </w:r>
      <w:r>
        <w:rPr>
          <w:rFonts w:ascii="Arial" w:cs="Arial" w:eastAsia="Arial" w:hAnsi="Arial"/>
          <w:sz w:val="18"/>
          <w:szCs w:val="18"/>
          <w:color w:val="auto"/>
        </w:rPr>
        <w:t>”), unless sooner terminated pursuant to the terms of the Lease, as amended hereby, or extended by written agreement of the parties. Except as set forth in Exhibit “H” attached to the Original Lease, Tenant shall have no option or right to extend or renew the Term beyond the above expiration date, and any provision of the Lease to the contrary is hereby deleted. All references in the Lease, as amended hereby, to the “Term” mean the Term as extended hereby.</w:t>
      </w:r>
    </w:p>
    <w:p>
      <w:pPr>
        <w:spacing w:after="0" w:line="165" w:lineRule="exact"/>
        <w:rPr>
          <w:rFonts w:ascii="Arial" w:cs="Arial" w:eastAsia="Arial" w:hAnsi="Arial"/>
          <w:sz w:val="18"/>
          <w:szCs w:val="18"/>
          <w:color w:val="auto"/>
        </w:rPr>
      </w:pPr>
    </w:p>
    <w:p>
      <w:pPr>
        <w:ind w:firstLine="656"/>
        <w:spacing w:after="0" w:line="260" w:lineRule="auto"/>
        <w:tabs>
          <w:tab w:leader="none" w:pos="1008"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Basic Rent</w:t>
      </w:r>
      <w:r>
        <w:rPr>
          <w:rFonts w:ascii="Arial" w:cs="Arial" w:eastAsia="Arial" w:hAnsi="Arial"/>
          <w:sz w:val="20"/>
          <w:szCs w:val="20"/>
          <w:color w:val="auto"/>
        </w:rPr>
        <w:t>. Effective on August 1, 2018 and continuing through the Expiration Date, Tenant shall pay Basic Rent for the Premises in the following amounts:</w:t>
      </w:r>
    </w:p>
    <w:p>
      <w:pPr>
        <w:sectPr>
          <w:pgSz w:w="11900" w:h="16838" w:orient="portrait"/>
          <w:cols w:equalWidth="0" w:num="1">
            <w:col w:w="11420"/>
          </w:cols>
          <w:pgMar w:left="240" w:top="576" w:right="239" w:bottom="1440" w:gutter="0" w:footer="0" w:header="0"/>
        </w:sectPr>
      </w:pPr>
    </w:p>
    <w:bookmarkStart w:id="55" w:name="page56"/>
    <w:bookmarkEnd w:id="55"/>
    <w:tbl>
      <w:tblPr>
        <w:tblLayout w:type="fixed"/>
        <w:tblInd w:w="30" w:type="dxa"/>
        <w:tblCellMar>
          <w:top w:w="0" w:type="dxa"/>
          <w:left w:w="0" w:type="dxa"/>
          <w:bottom w:w="0" w:type="dxa"/>
          <w:right w:w="0" w:type="dxa"/>
        </w:tblCellMar>
      </w:tblPr>
      <w:tr>
        <w:trPr>
          <w:trHeight w:val="247"/>
        </w:trPr>
        <w:tc>
          <w:tcPr>
            <w:tcW w:w="2880" w:type="dxa"/>
            <w:vAlign w:val="bottom"/>
            <w:tcBorders>
              <w:top w:val="single" w:sz="8" w:color="auto"/>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20"/>
                <w:szCs w:val="20"/>
                <w:b w:val="1"/>
                <w:bCs w:val="1"/>
                <w:color w:val="auto"/>
                <w:w w:val="90"/>
              </w:rPr>
              <w:t>Time Period</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Annual Basic Rent Rate Per</w:t>
            </w:r>
          </w:p>
        </w:tc>
        <w:tc>
          <w:tcPr>
            <w:tcW w:w="2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9"/>
              </w:rPr>
              <w:t>Annual Basic Rent</w:t>
            </w:r>
          </w:p>
        </w:tc>
        <w:tc>
          <w:tcPr>
            <w:tcW w:w="2820" w:type="dxa"/>
            <w:vAlign w:val="bottom"/>
            <w:tcBorders>
              <w:top w:val="single" w:sz="8" w:color="auto"/>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Monthly Basic Rent</w:t>
            </w:r>
          </w:p>
        </w:tc>
        <w:tc>
          <w:tcPr>
            <w:tcW w:w="0" w:type="dxa"/>
            <w:vAlign w:val="bottom"/>
          </w:tcPr>
          <w:p>
            <w:pPr>
              <w:spacing w:after="0"/>
              <w:rPr>
                <w:sz w:val="1"/>
                <w:szCs w:val="1"/>
                <w:color w:val="auto"/>
              </w:rPr>
            </w:pPr>
          </w:p>
        </w:tc>
      </w:tr>
      <w:tr>
        <w:trPr>
          <w:trHeight w:val="135"/>
        </w:trPr>
        <w:tc>
          <w:tcPr>
            <w:tcW w:w="2880" w:type="dxa"/>
            <w:vAlign w:val="bottom"/>
            <w:tcBorders>
              <w:left w:val="single" w:sz="8" w:color="auto"/>
              <w:right w:val="single" w:sz="8" w:color="auto"/>
            </w:tcBorders>
            <w:gridSpan w:val="3"/>
            <w:vMerge w:val="continue"/>
          </w:tcPr>
          <w:p>
            <w:pPr>
              <w:spacing w:after="0"/>
              <w:rPr>
                <w:sz w:val="11"/>
                <w:szCs w:val="11"/>
                <w:color w:val="auto"/>
              </w:rPr>
            </w:pP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9"/>
              </w:rPr>
              <w:t>RSF</w:t>
            </w:r>
          </w:p>
        </w:tc>
        <w:tc>
          <w:tcPr>
            <w:tcW w:w="2860" w:type="dxa"/>
            <w:vAlign w:val="bottom"/>
            <w:tcBorders>
              <w:right w:val="single" w:sz="8" w:color="auto"/>
            </w:tcBorders>
            <w:vMerge w:val="continue"/>
          </w:tcPr>
          <w:p>
            <w:pPr>
              <w:spacing w:after="0"/>
              <w:rPr>
                <w:sz w:val="11"/>
                <w:szCs w:val="11"/>
                <w:color w:val="auto"/>
              </w:rPr>
            </w:pPr>
          </w:p>
        </w:tc>
        <w:tc>
          <w:tcPr>
            <w:tcW w:w="28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20" w:type="dxa"/>
            <w:vAlign w:val="bottom"/>
            <w:tcBorders>
              <w:lef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2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520" w:type="dxa"/>
            <w:vAlign w:val="bottom"/>
            <w:tcBorders>
              <w:left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8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0"/>
              </w:rPr>
              <w:t>August 1, 2018 through July 31,</w:t>
            </w: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$23.00</w:t>
            </w: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$238,371.96</w:t>
            </w: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$19,864.33*</w:t>
            </w:r>
          </w:p>
        </w:tc>
        <w:tc>
          <w:tcPr>
            <w:tcW w:w="0" w:type="dxa"/>
            <w:vAlign w:val="bottom"/>
          </w:tcPr>
          <w:p>
            <w:pPr>
              <w:spacing w:after="0"/>
              <w:rPr>
                <w:sz w:val="1"/>
                <w:szCs w:val="1"/>
                <w:color w:val="auto"/>
              </w:rPr>
            </w:pPr>
          </w:p>
        </w:tc>
      </w:tr>
      <w:tr>
        <w:trPr>
          <w:trHeight w:val="129"/>
        </w:trPr>
        <w:tc>
          <w:tcPr>
            <w:tcW w:w="1720" w:type="dxa"/>
            <w:vAlign w:val="bottom"/>
            <w:tcBorders>
              <w:left w:val="single" w:sz="8" w:color="auto"/>
            </w:tcBorders>
            <w:gridSpan w:val="2"/>
            <w:vMerge w:val="restart"/>
          </w:tcPr>
          <w:p>
            <w:pPr>
              <w:jc w:val="center"/>
              <w:ind w:left="1061"/>
              <w:spacing w:after="0"/>
              <w:rPr>
                <w:sz w:val="20"/>
                <w:szCs w:val="20"/>
                <w:color w:val="auto"/>
              </w:rPr>
            </w:pPr>
            <w:r>
              <w:rPr>
                <w:rFonts w:ascii="Arial" w:cs="Arial" w:eastAsia="Arial" w:hAnsi="Arial"/>
                <w:sz w:val="20"/>
                <w:szCs w:val="20"/>
                <w:color w:val="auto"/>
                <w:w w:val="89"/>
              </w:rPr>
              <w:t>2019</w:t>
            </w:r>
          </w:p>
        </w:tc>
        <w:tc>
          <w:tcPr>
            <w:tcW w:w="1160" w:type="dxa"/>
            <w:vAlign w:val="bottom"/>
            <w:tcBorders>
              <w:right w:val="single" w:sz="8" w:color="auto"/>
            </w:tcBorders>
          </w:tcPr>
          <w:p>
            <w:pPr>
              <w:spacing w:after="0"/>
              <w:rPr>
                <w:sz w:val="11"/>
                <w:szCs w:val="11"/>
                <w:color w:val="auto"/>
              </w:rPr>
            </w:pPr>
          </w:p>
        </w:tc>
        <w:tc>
          <w:tcPr>
            <w:tcW w:w="2840" w:type="dxa"/>
            <w:vAlign w:val="bottom"/>
            <w:tcBorders>
              <w:right w:val="single" w:sz="8" w:color="auto"/>
            </w:tcBorders>
            <w:vMerge w:val="continue"/>
          </w:tcPr>
          <w:p>
            <w:pPr>
              <w:spacing w:after="0"/>
              <w:rPr>
                <w:sz w:val="11"/>
                <w:szCs w:val="11"/>
                <w:color w:val="auto"/>
              </w:rPr>
            </w:pPr>
          </w:p>
        </w:tc>
        <w:tc>
          <w:tcPr>
            <w:tcW w:w="2860" w:type="dxa"/>
            <w:vAlign w:val="bottom"/>
            <w:tcBorders>
              <w:right w:val="single" w:sz="8" w:color="auto"/>
            </w:tcBorders>
            <w:vMerge w:val="continue"/>
          </w:tcPr>
          <w:p>
            <w:pPr>
              <w:spacing w:after="0"/>
              <w:rPr>
                <w:sz w:val="11"/>
                <w:szCs w:val="11"/>
                <w:color w:val="auto"/>
              </w:rPr>
            </w:pPr>
          </w:p>
        </w:tc>
        <w:tc>
          <w:tcPr>
            <w:tcW w:w="28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tcBorders>
            <w:gridSpan w:val="2"/>
            <w:vMerge w:val="continue"/>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2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520" w:type="dxa"/>
            <w:vAlign w:val="bottom"/>
            <w:tcBorders>
              <w:left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8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0"/>
              </w:rPr>
              <w:t>August 1, 2019 through July 31,</w:t>
            </w: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$23.75</w:t>
            </w: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$246,144.96</w:t>
            </w: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$20,512.08</w:t>
            </w:r>
          </w:p>
        </w:tc>
        <w:tc>
          <w:tcPr>
            <w:tcW w:w="0" w:type="dxa"/>
            <w:vAlign w:val="bottom"/>
          </w:tcPr>
          <w:p>
            <w:pPr>
              <w:spacing w:after="0"/>
              <w:rPr>
                <w:sz w:val="1"/>
                <w:szCs w:val="1"/>
                <w:color w:val="auto"/>
              </w:rPr>
            </w:pPr>
          </w:p>
        </w:tc>
      </w:tr>
      <w:tr>
        <w:trPr>
          <w:trHeight w:val="129"/>
        </w:trPr>
        <w:tc>
          <w:tcPr>
            <w:tcW w:w="1720" w:type="dxa"/>
            <w:vAlign w:val="bottom"/>
            <w:tcBorders>
              <w:left w:val="single" w:sz="8" w:color="auto"/>
            </w:tcBorders>
            <w:gridSpan w:val="2"/>
            <w:vMerge w:val="restart"/>
          </w:tcPr>
          <w:p>
            <w:pPr>
              <w:jc w:val="center"/>
              <w:ind w:left="1061"/>
              <w:spacing w:after="0"/>
              <w:rPr>
                <w:sz w:val="20"/>
                <w:szCs w:val="20"/>
                <w:color w:val="auto"/>
              </w:rPr>
            </w:pPr>
            <w:r>
              <w:rPr>
                <w:rFonts w:ascii="Arial" w:cs="Arial" w:eastAsia="Arial" w:hAnsi="Arial"/>
                <w:sz w:val="20"/>
                <w:szCs w:val="20"/>
                <w:color w:val="auto"/>
                <w:w w:val="89"/>
              </w:rPr>
              <w:t>2020</w:t>
            </w:r>
          </w:p>
        </w:tc>
        <w:tc>
          <w:tcPr>
            <w:tcW w:w="1160" w:type="dxa"/>
            <w:vAlign w:val="bottom"/>
            <w:tcBorders>
              <w:right w:val="single" w:sz="8" w:color="auto"/>
            </w:tcBorders>
          </w:tcPr>
          <w:p>
            <w:pPr>
              <w:spacing w:after="0"/>
              <w:rPr>
                <w:sz w:val="11"/>
                <w:szCs w:val="11"/>
                <w:color w:val="auto"/>
              </w:rPr>
            </w:pPr>
          </w:p>
        </w:tc>
        <w:tc>
          <w:tcPr>
            <w:tcW w:w="2840" w:type="dxa"/>
            <w:vAlign w:val="bottom"/>
            <w:tcBorders>
              <w:right w:val="single" w:sz="8" w:color="auto"/>
            </w:tcBorders>
            <w:vMerge w:val="continue"/>
          </w:tcPr>
          <w:p>
            <w:pPr>
              <w:spacing w:after="0"/>
              <w:rPr>
                <w:sz w:val="11"/>
                <w:szCs w:val="11"/>
                <w:color w:val="auto"/>
              </w:rPr>
            </w:pPr>
          </w:p>
        </w:tc>
        <w:tc>
          <w:tcPr>
            <w:tcW w:w="2860" w:type="dxa"/>
            <w:vAlign w:val="bottom"/>
            <w:tcBorders>
              <w:right w:val="single" w:sz="8" w:color="auto"/>
            </w:tcBorders>
            <w:vMerge w:val="continue"/>
          </w:tcPr>
          <w:p>
            <w:pPr>
              <w:spacing w:after="0"/>
              <w:rPr>
                <w:sz w:val="11"/>
                <w:szCs w:val="11"/>
                <w:color w:val="auto"/>
              </w:rPr>
            </w:pPr>
          </w:p>
        </w:tc>
        <w:tc>
          <w:tcPr>
            <w:tcW w:w="28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tcBorders>
            <w:gridSpan w:val="2"/>
            <w:vMerge w:val="continue"/>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2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520" w:type="dxa"/>
            <w:vAlign w:val="bottom"/>
            <w:tcBorders>
              <w:left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8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0"/>
              </w:rPr>
              <w:t>August 1, 2020 through July 31,</w:t>
            </w: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$24.50</w:t>
            </w: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$253,917.96</w:t>
            </w: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$21,159.83</w:t>
            </w:r>
          </w:p>
        </w:tc>
        <w:tc>
          <w:tcPr>
            <w:tcW w:w="0" w:type="dxa"/>
            <w:vAlign w:val="bottom"/>
          </w:tcPr>
          <w:p>
            <w:pPr>
              <w:spacing w:after="0"/>
              <w:rPr>
                <w:sz w:val="1"/>
                <w:szCs w:val="1"/>
                <w:color w:val="auto"/>
              </w:rPr>
            </w:pPr>
          </w:p>
        </w:tc>
      </w:tr>
      <w:tr>
        <w:trPr>
          <w:trHeight w:val="129"/>
        </w:trPr>
        <w:tc>
          <w:tcPr>
            <w:tcW w:w="1720" w:type="dxa"/>
            <w:vAlign w:val="bottom"/>
            <w:tcBorders>
              <w:left w:val="single" w:sz="8" w:color="auto"/>
            </w:tcBorders>
            <w:gridSpan w:val="2"/>
            <w:vMerge w:val="restart"/>
          </w:tcPr>
          <w:p>
            <w:pPr>
              <w:jc w:val="center"/>
              <w:ind w:left="1061"/>
              <w:spacing w:after="0"/>
              <w:rPr>
                <w:sz w:val="20"/>
                <w:szCs w:val="20"/>
                <w:color w:val="auto"/>
              </w:rPr>
            </w:pPr>
            <w:r>
              <w:rPr>
                <w:rFonts w:ascii="Arial" w:cs="Arial" w:eastAsia="Arial" w:hAnsi="Arial"/>
                <w:sz w:val="20"/>
                <w:szCs w:val="20"/>
                <w:color w:val="auto"/>
                <w:w w:val="89"/>
              </w:rPr>
              <w:t>2021</w:t>
            </w:r>
          </w:p>
        </w:tc>
        <w:tc>
          <w:tcPr>
            <w:tcW w:w="1160" w:type="dxa"/>
            <w:vAlign w:val="bottom"/>
            <w:tcBorders>
              <w:right w:val="single" w:sz="8" w:color="auto"/>
            </w:tcBorders>
          </w:tcPr>
          <w:p>
            <w:pPr>
              <w:spacing w:after="0"/>
              <w:rPr>
                <w:sz w:val="11"/>
                <w:szCs w:val="11"/>
                <w:color w:val="auto"/>
              </w:rPr>
            </w:pPr>
          </w:p>
        </w:tc>
        <w:tc>
          <w:tcPr>
            <w:tcW w:w="2840" w:type="dxa"/>
            <w:vAlign w:val="bottom"/>
            <w:tcBorders>
              <w:right w:val="single" w:sz="8" w:color="auto"/>
            </w:tcBorders>
            <w:vMerge w:val="continue"/>
          </w:tcPr>
          <w:p>
            <w:pPr>
              <w:spacing w:after="0"/>
              <w:rPr>
                <w:sz w:val="11"/>
                <w:szCs w:val="11"/>
                <w:color w:val="auto"/>
              </w:rPr>
            </w:pPr>
          </w:p>
        </w:tc>
        <w:tc>
          <w:tcPr>
            <w:tcW w:w="2860" w:type="dxa"/>
            <w:vAlign w:val="bottom"/>
            <w:tcBorders>
              <w:right w:val="single" w:sz="8" w:color="auto"/>
            </w:tcBorders>
            <w:vMerge w:val="continue"/>
          </w:tcPr>
          <w:p>
            <w:pPr>
              <w:spacing w:after="0"/>
              <w:rPr>
                <w:sz w:val="11"/>
                <w:szCs w:val="11"/>
                <w:color w:val="auto"/>
              </w:rPr>
            </w:pPr>
          </w:p>
        </w:tc>
        <w:tc>
          <w:tcPr>
            <w:tcW w:w="28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tcBorders>
            <w:gridSpan w:val="2"/>
            <w:vMerge w:val="continue"/>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2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520" w:type="dxa"/>
            <w:vAlign w:val="bottom"/>
            <w:tcBorders>
              <w:left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8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0"/>
              </w:rPr>
              <w:t>August 1, 2021 through July 31,</w:t>
            </w: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$25.25</w:t>
            </w: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$261,690.96</w:t>
            </w: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$21,807.58</w:t>
            </w:r>
          </w:p>
        </w:tc>
        <w:tc>
          <w:tcPr>
            <w:tcW w:w="0" w:type="dxa"/>
            <w:vAlign w:val="bottom"/>
          </w:tcPr>
          <w:p>
            <w:pPr>
              <w:spacing w:after="0"/>
              <w:rPr>
                <w:sz w:val="1"/>
                <w:szCs w:val="1"/>
                <w:color w:val="auto"/>
              </w:rPr>
            </w:pPr>
          </w:p>
        </w:tc>
      </w:tr>
      <w:tr>
        <w:trPr>
          <w:trHeight w:val="129"/>
        </w:trPr>
        <w:tc>
          <w:tcPr>
            <w:tcW w:w="1720" w:type="dxa"/>
            <w:vAlign w:val="bottom"/>
            <w:tcBorders>
              <w:left w:val="single" w:sz="8" w:color="auto"/>
            </w:tcBorders>
            <w:gridSpan w:val="2"/>
            <w:vMerge w:val="restart"/>
          </w:tcPr>
          <w:p>
            <w:pPr>
              <w:jc w:val="center"/>
              <w:ind w:left="1061"/>
              <w:spacing w:after="0"/>
              <w:rPr>
                <w:sz w:val="20"/>
                <w:szCs w:val="20"/>
                <w:color w:val="auto"/>
              </w:rPr>
            </w:pPr>
            <w:r>
              <w:rPr>
                <w:rFonts w:ascii="Arial" w:cs="Arial" w:eastAsia="Arial" w:hAnsi="Arial"/>
                <w:sz w:val="20"/>
                <w:szCs w:val="20"/>
                <w:color w:val="auto"/>
                <w:w w:val="89"/>
              </w:rPr>
              <w:t>2022</w:t>
            </w:r>
          </w:p>
        </w:tc>
        <w:tc>
          <w:tcPr>
            <w:tcW w:w="1160" w:type="dxa"/>
            <w:vAlign w:val="bottom"/>
            <w:tcBorders>
              <w:right w:val="single" w:sz="8" w:color="auto"/>
            </w:tcBorders>
          </w:tcPr>
          <w:p>
            <w:pPr>
              <w:spacing w:after="0"/>
              <w:rPr>
                <w:sz w:val="11"/>
                <w:szCs w:val="11"/>
                <w:color w:val="auto"/>
              </w:rPr>
            </w:pPr>
          </w:p>
        </w:tc>
        <w:tc>
          <w:tcPr>
            <w:tcW w:w="2840" w:type="dxa"/>
            <w:vAlign w:val="bottom"/>
            <w:tcBorders>
              <w:right w:val="single" w:sz="8" w:color="auto"/>
            </w:tcBorders>
            <w:vMerge w:val="continue"/>
          </w:tcPr>
          <w:p>
            <w:pPr>
              <w:spacing w:after="0"/>
              <w:rPr>
                <w:sz w:val="11"/>
                <w:szCs w:val="11"/>
                <w:color w:val="auto"/>
              </w:rPr>
            </w:pPr>
          </w:p>
        </w:tc>
        <w:tc>
          <w:tcPr>
            <w:tcW w:w="2860" w:type="dxa"/>
            <w:vAlign w:val="bottom"/>
            <w:tcBorders>
              <w:right w:val="single" w:sz="8" w:color="auto"/>
            </w:tcBorders>
            <w:vMerge w:val="continue"/>
          </w:tcPr>
          <w:p>
            <w:pPr>
              <w:spacing w:after="0"/>
              <w:rPr>
                <w:sz w:val="11"/>
                <w:szCs w:val="11"/>
                <w:color w:val="auto"/>
              </w:rPr>
            </w:pPr>
          </w:p>
        </w:tc>
        <w:tc>
          <w:tcPr>
            <w:tcW w:w="28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tcBorders>
            <w:gridSpan w:val="2"/>
            <w:vMerge w:val="continue"/>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2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520" w:type="dxa"/>
            <w:vAlign w:val="bottom"/>
            <w:tcBorders>
              <w:left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8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0"/>
              </w:rPr>
              <w:t>August 1, 2022 through July 31,</w:t>
            </w: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$26.00</w:t>
            </w: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$269,463.96</w:t>
            </w: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$22,455.33</w:t>
            </w:r>
          </w:p>
        </w:tc>
        <w:tc>
          <w:tcPr>
            <w:tcW w:w="0" w:type="dxa"/>
            <w:vAlign w:val="bottom"/>
          </w:tcPr>
          <w:p>
            <w:pPr>
              <w:spacing w:after="0"/>
              <w:rPr>
                <w:sz w:val="1"/>
                <w:szCs w:val="1"/>
                <w:color w:val="auto"/>
              </w:rPr>
            </w:pPr>
          </w:p>
        </w:tc>
      </w:tr>
      <w:tr>
        <w:trPr>
          <w:trHeight w:val="129"/>
        </w:trPr>
        <w:tc>
          <w:tcPr>
            <w:tcW w:w="1720" w:type="dxa"/>
            <w:vAlign w:val="bottom"/>
            <w:tcBorders>
              <w:left w:val="single" w:sz="8" w:color="auto"/>
            </w:tcBorders>
            <w:gridSpan w:val="2"/>
            <w:vMerge w:val="restart"/>
          </w:tcPr>
          <w:p>
            <w:pPr>
              <w:jc w:val="center"/>
              <w:ind w:left="1061"/>
              <w:spacing w:after="0"/>
              <w:rPr>
                <w:sz w:val="20"/>
                <w:szCs w:val="20"/>
                <w:color w:val="auto"/>
              </w:rPr>
            </w:pPr>
            <w:r>
              <w:rPr>
                <w:rFonts w:ascii="Arial" w:cs="Arial" w:eastAsia="Arial" w:hAnsi="Arial"/>
                <w:sz w:val="20"/>
                <w:szCs w:val="20"/>
                <w:color w:val="auto"/>
                <w:w w:val="89"/>
              </w:rPr>
              <w:t>2023</w:t>
            </w:r>
          </w:p>
        </w:tc>
        <w:tc>
          <w:tcPr>
            <w:tcW w:w="1160" w:type="dxa"/>
            <w:vAlign w:val="bottom"/>
            <w:tcBorders>
              <w:right w:val="single" w:sz="8" w:color="auto"/>
            </w:tcBorders>
          </w:tcPr>
          <w:p>
            <w:pPr>
              <w:spacing w:after="0"/>
              <w:rPr>
                <w:sz w:val="11"/>
                <w:szCs w:val="11"/>
                <w:color w:val="auto"/>
              </w:rPr>
            </w:pPr>
          </w:p>
        </w:tc>
        <w:tc>
          <w:tcPr>
            <w:tcW w:w="2840" w:type="dxa"/>
            <w:vAlign w:val="bottom"/>
            <w:tcBorders>
              <w:right w:val="single" w:sz="8" w:color="auto"/>
            </w:tcBorders>
            <w:vMerge w:val="continue"/>
          </w:tcPr>
          <w:p>
            <w:pPr>
              <w:spacing w:after="0"/>
              <w:rPr>
                <w:sz w:val="11"/>
                <w:szCs w:val="11"/>
                <w:color w:val="auto"/>
              </w:rPr>
            </w:pPr>
          </w:p>
        </w:tc>
        <w:tc>
          <w:tcPr>
            <w:tcW w:w="2860" w:type="dxa"/>
            <w:vAlign w:val="bottom"/>
            <w:tcBorders>
              <w:right w:val="single" w:sz="8" w:color="auto"/>
            </w:tcBorders>
            <w:vMerge w:val="continue"/>
          </w:tcPr>
          <w:p>
            <w:pPr>
              <w:spacing w:after="0"/>
              <w:rPr>
                <w:sz w:val="11"/>
                <w:szCs w:val="11"/>
                <w:color w:val="auto"/>
              </w:rPr>
            </w:pPr>
          </w:p>
        </w:tc>
        <w:tc>
          <w:tcPr>
            <w:tcW w:w="28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tcBorders>
            <w:gridSpan w:val="2"/>
            <w:vMerge w:val="continue"/>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2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520" w:type="dxa"/>
            <w:vAlign w:val="bottom"/>
            <w:tcBorders>
              <w:left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8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0"/>
              </w:rPr>
              <w:t>August 1, 2023 through July 31,</w:t>
            </w: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$26.75</w:t>
            </w: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$277,236.96</w:t>
            </w: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$23,103.08</w:t>
            </w:r>
          </w:p>
        </w:tc>
        <w:tc>
          <w:tcPr>
            <w:tcW w:w="0" w:type="dxa"/>
            <w:vAlign w:val="bottom"/>
          </w:tcPr>
          <w:p>
            <w:pPr>
              <w:spacing w:after="0"/>
              <w:rPr>
                <w:sz w:val="1"/>
                <w:szCs w:val="1"/>
                <w:color w:val="auto"/>
              </w:rPr>
            </w:pPr>
          </w:p>
        </w:tc>
      </w:tr>
      <w:tr>
        <w:trPr>
          <w:trHeight w:val="129"/>
        </w:trPr>
        <w:tc>
          <w:tcPr>
            <w:tcW w:w="1720" w:type="dxa"/>
            <w:vAlign w:val="bottom"/>
            <w:tcBorders>
              <w:left w:val="single" w:sz="8" w:color="auto"/>
            </w:tcBorders>
            <w:gridSpan w:val="2"/>
            <w:vMerge w:val="restart"/>
          </w:tcPr>
          <w:p>
            <w:pPr>
              <w:jc w:val="center"/>
              <w:ind w:left="1061"/>
              <w:spacing w:after="0"/>
              <w:rPr>
                <w:sz w:val="20"/>
                <w:szCs w:val="20"/>
                <w:color w:val="auto"/>
              </w:rPr>
            </w:pPr>
            <w:r>
              <w:rPr>
                <w:rFonts w:ascii="Arial" w:cs="Arial" w:eastAsia="Arial" w:hAnsi="Arial"/>
                <w:sz w:val="20"/>
                <w:szCs w:val="20"/>
                <w:color w:val="auto"/>
                <w:w w:val="89"/>
              </w:rPr>
              <w:t>2024</w:t>
            </w:r>
          </w:p>
        </w:tc>
        <w:tc>
          <w:tcPr>
            <w:tcW w:w="1160" w:type="dxa"/>
            <w:vAlign w:val="bottom"/>
            <w:tcBorders>
              <w:right w:val="single" w:sz="8" w:color="auto"/>
            </w:tcBorders>
          </w:tcPr>
          <w:p>
            <w:pPr>
              <w:spacing w:after="0"/>
              <w:rPr>
                <w:sz w:val="11"/>
                <w:szCs w:val="11"/>
                <w:color w:val="auto"/>
              </w:rPr>
            </w:pPr>
          </w:p>
        </w:tc>
        <w:tc>
          <w:tcPr>
            <w:tcW w:w="2840" w:type="dxa"/>
            <w:vAlign w:val="bottom"/>
            <w:tcBorders>
              <w:right w:val="single" w:sz="8" w:color="auto"/>
            </w:tcBorders>
            <w:vMerge w:val="continue"/>
          </w:tcPr>
          <w:p>
            <w:pPr>
              <w:spacing w:after="0"/>
              <w:rPr>
                <w:sz w:val="11"/>
                <w:szCs w:val="11"/>
                <w:color w:val="auto"/>
              </w:rPr>
            </w:pPr>
          </w:p>
        </w:tc>
        <w:tc>
          <w:tcPr>
            <w:tcW w:w="2860" w:type="dxa"/>
            <w:vAlign w:val="bottom"/>
            <w:tcBorders>
              <w:right w:val="single" w:sz="8" w:color="auto"/>
            </w:tcBorders>
            <w:vMerge w:val="continue"/>
          </w:tcPr>
          <w:p>
            <w:pPr>
              <w:spacing w:after="0"/>
              <w:rPr>
                <w:sz w:val="11"/>
                <w:szCs w:val="11"/>
                <w:color w:val="auto"/>
              </w:rPr>
            </w:pPr>
          </w:p>
        </w:tc>
        <w:tc>
          <w:tcPr>
            <w:tcW w:w="28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tcBorders>
            <w:gridSpan w:val="2"/>
            <w:vMerge w:val="continue"/>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2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520" w:type="dxa"/>
            <w:vAlign w:val="bottom"/>
            <w:tcBorders>
              <w:left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8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0"/>
              </w:rPr>
              <w:t>August 1, 2024 through July 31,</w:t>
            </w: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$27.50</w:t>
            </w: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$285,009.96</w:t>
            </w: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$23,750.83</w:t>
            </w:r>
          </w:p>
        </w:tc>
        <w:tc>
          <w:tcPr>
            <w:tcW w:w="0" w:type="dxa"/>
            <w:vAlign w:val="bottom"/>
          </w:tcPr>
          <w:p>
            <w:pPr>
              <w:spacing w:after="0"/>
              <w:rPr>
                <w:sz w:val="1"/>
                <w:szCs w:val="1"/>
                <w:color w:val="auto"/>
              </w:rPr>
            </w:pPr>
          </w:p>
        </w:tc>
      </w:tr>
      <w:tr>
        <w:trPr>
          <w:trHeight w:val="129"/>
        </w:trPr>
        <w:tc>
          <w:tcPr>
            <w:tcW w:w="1720" w:type="dxa"/>
            <w:vAlign w:val="bottom"/>
            <w:tcBorders>
              <w:left w:val="single" w:sz="8" w:color="auto"/>
            </w:tcBorders>
            <w:gridSpan w:val="2"/>
            <w:vMerge w:val="restart"/>
          </w:tcPr>
          <w:p>
            <w:pPr>
              <w:jc w:val="center"/>
              <w:ind w:left="1061"/>
              <w:spacing w:after="0"/>
              <w:rPr>
                <w:sz w:val="20"/>
                <w:szCs w:val="20"/>
                <w:color w:val="auto"/>
              </w:rPr>
            </w:pPr>
            <w:r>
              <w:rPr>
                <w:rFonts w:ascii="Arial" w:cs="Arial" w:eastAsia="Arial" w:hAnsi="Arial"/>
                <w:sz w:val="20"/>
                <w:szCs w:val="20"/>
                <w:color w:val="auto"/>
                <w:w w:val="89"/>
              </w:rPr>
              <w:t>2025</w:t>
            </w:r>
          </w:p>
        </w:tc>
        <w:tc>
          <w:tcPr>
            <w:tcW w:w="1160" w:type="dxa"/>
            <w:vAlign w:val="bottom"/>
            <w:tcBorders>
              <w:right w:val="single" w:sz="8" w:color="auto"/>
            </w:tcBorders>
          </w:tcPr>
          <w:p>
            <w:pPr>
              <w:spacing w:after="0"/>
              <w:rPr>
                <w:sz w:val="11"/>
                <w:szCs w:val="11"/>
                <w:color w:val="auto"/>
              </w:rPr>
            </w:pPr>
          </w:p>
        </w:tc>
        <w:tc>
          <w:tcPr>
            <w:tcW w:w="2840" w:type="dxa"/>
            <w:vAlign w:val="bottom"/>
            <w:tcBorders>
              <w:right w:val="single" w:sz="8" w:color="auto"/>
            </w:tcBorders>
            <w:vMerge w:val="continue"/>
          </w:tcPr>
          <w:p>
            <w:pPr>
              <w:spacing w:after="0"/>
              <w:rPr>
                <w:sz w:val="11"/>
                <w:szCs w:val="11"/>
                <w:color w:val="auto"/>
              </w:rPr>
            </w:pPr>
          </w:p>
        </w:tc>
        <w:tc>
          <w:tcPr>
            <w:tcW w:w="2860" w:type="dxa"/>
            <w:vAlign w:val="bottom"/>
            <w:tcBorders>
              <w:right w:val="single" w:sz="8" w:color="auto"/>
            </w:tcBorders>
            <w:vMerge w:val="continue"/>
          </w:tcPr>
          <w:p>
            <w:pPr>
              <w:spacing w:after="0"/>
              <w:rPr>
                <w:sz w:val="11"/>
                <w:szCs w:val="11"/>
                <w:color w:val="auto"/>
              </w:rPr>
            </w:pPr>
          </w:p>
        </w:tc>
        <w:tc>
          <w:tcPr>
            <w:tcW w:w="28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tcBorders>
            <w:gridSpan w:val="2"/>
            <w:vMerge w:val="continue"/>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2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520" w:type="dxa"/>
            <w:vAlign w:val="bottom"/>
            <w:tcBorders>
              <w:left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8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0"/>
              </w:rPr>
              <w:t>August 1, 2025 through July 31,</w:t>
            </w: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$28.25</w:t>
            </w: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$292,782.96</w:t>
            </w: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$24,398.58</w:t>
            </w:r>
          </w:p>
        </w:tc>
        <w:tc>
          <w:tcPr>
            <w:tcW w:w="0" w:type="dxa"/>
            <w:vAlign w:val="bottom"/>
          </w:tcPr>
          <w:p>
            <w:pPr>
              <w:spacing w:after="0"/>
              <w:rPr>
                <w:sz w:val="1"/>
                <w:szCs w:val="1"/>
                <w:color w:val="auto"/>
              </w:rPr>
            </w:pPr>
          </w:p>
        </w:tc>
      </w:tr>
      <w:tr>
        <w:trPr>
          <w:trHeight w:val="129"/>
        </w:trPr>
        <w:tc>
          <w:tcPr>
            <w:tcW w:w="1720" w:type="dxa"/>
            <w:vAlign w:val="bottom"/>
            <w:tcBorders>
              <w:left w:val="single" w:sz="8" w:color="auto"/>
            </w:tcBorders>
            <w:gridSpan w:val="2"/>
            <w:vMerge w:val="restart"/>
          </w:tcPr>
          <w:p>
            <w:pPr>
              <w:jc w:val="center"/>
              <w:ind w:left="1061"/>
              <w:spacing w:after="0"/>
              <w:rPr>
                <w:sz w:val="20"/>
                <w:szCs w:val="20"/>
                <w:color w:val="auto"/>
              </w:rPr>
            </w:pPr>
            <w:r>
              <w:rPr>
                <w:rFonts w:ascii="Arial" w:cs="Arial" w:eastAsia="Arial" w:hAnsi="Arial"/>
                <w:sz w:val="20"/>
                <w:szCs w:val="20"/>
                <w:color w:val="auto"/>
                <w:w w:val="89"/>
              </w:rPr>
              <w:t>2026</w:t>
            </w:r>
          </w:p>
        </w:tc>
        <w:tc>
          <w:tcPr>
            <w:tcW w:w="1160" w:type="dxa"/>
            <w:vAlign w:val="bottom"/>
            <w:tcBorders>
              <w:right w:val="single" w:sz="8" w:color="auto"/>
            </w:tcBorders>
          </w:tcPr>
          <w:p>
            <w:pPr>
              <w:spacing w:after="0"/>
              <w:rPr>
                <w:sz w:val="11"/>
                <w:szCs w:val="11"/>
                <w:color w:val="auto"/>
              </w:rPr>
            </w:pPr>
          </w:p>
        </w:tc>
        <w:tc>
          <w:tcPr>
            <w:tcW w:w="2840" w:type="dxa"/>
            <w:vAlign w:val="bottom"/>
            <w:tcBorders>
              <w:right w:val="single" w:sz="8" w:color="auto"/>
            </w:tcBorders>
            <w:vMerge w:val="continue"/>
          </w:tcPr>
          <w:p>
            <w:pPr>
              <w:spacing w:after="0"/>
              <w:rPr>
                <w:sz w:val="11"/>
                <w:szCs w:val="11"/>
                <w:color w:val="auto"/>
              </w:rPr>
            </w:pPr>
          </w:p>
        </w:tc>
        <w:tc>
          <w:tcPr>
            <w:tcW w:w="2860" w:type="dxa"/>
            <w:vAlign w:val="bottom"/>
            <w:tcBorders>
              <w:right w:val="single" w:sz="8" w:color="auto"/>
            </w:tcBorders>
            <w:vMerge w:val="continue"/>
          </w:tcPr>
          <w:p>
            <w:pPr>
              <w:spacing w:after="0"/>
              <w:rPr>
                <w:sz w:val="11"/>
                <w:szCs w:val="11"/>
                <w:color w:val="auto"/>
              </w:rPr>
            </w:pPr>
          </w:p>
        </w:tc>
        <w:tc>
          <w:tcPr>
            <w:tcW w:w="28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tcBorders>
            <w:gridSpan w:val="2"/>
            <w:vMerge w:val="continue"/>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2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520" w:type="dxa"/>
            <w:vAlign w:val="bottom"/>
            <w:tcBorders>
              <w:left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8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0"/>
              </w:rPr>
              <w:t>August 1, 2026 through July 31,</w:t>
            </w: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$29.00</w:t>
            </w: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$300,555.96</w:t>
            </w: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$25,046.33</w:t>
            </w:r>
          </w:p>
        </w:tc>
        <w:tc>
          <w:tcPr>
            <w:tcW w:w="0" w:type="dxa"/>
            <w:vAlign w:val="bottom"/>
          </w:tcPr>
          <w:p>
            <w:pPr>
              <w:spacing w:after="0"/>
              <w:rPr>
                <w:sz w:val="1"/>
                <w:szCs w:val="1"/>
                <w:color w:val="auto"/>
              </w:rPr>
            </w:pPr>
          </w:p>
        </w:tc>
      </w:tr>
      <w:tr>
        <w:trPr>
          <w:trHeight w:val="129"/>
        </w:trPr>
        <w:tc>
          <w:tcPr>
            <w:tcW w:w="1720" w:type="dxa"/>
            <w:vAlign w:val="bottom"/>
            <w:tcBorders>
              <w:left w:val="single" w:sz="8" w:color="auto"/>
            </w:tcBorders>
            <w:gridSpan w:val="2"/>
            <w:vMerge w:val="restart"/>
          </w:tcPr>
          <w:p>
            <w:pPr>
              <w:jc w:val="center"/>
              <w:ind w:left="1061"/>
              <w:spacing w:after="0"/>
              <w:rPr>
                <w:sz w:val="20"/>
                <w:szCs w:val="20"/>
                <w:color w:val="auto"/>
              </w:rPr>
            </w:pPr>
            <w:r>
              <w:rPr>
                <w:rFonts w:ascii="Arial" w:cs="Arial" w:eastAsia="Arial" w:hAnsi="Arial"/>
                <w:sz w:val="20"/>
                <w:szCs w:val="20"/>
                <w:color w:val="auto"/>
                <w:w w:val="89"/>
              </w:rPr>
              <w:t>2027</w:t>
            </w:r>
          </w:p>
        </w:tc>
        <w:tc>
          <w:tcPr>
            <w:tcW w:w="1160" w:type="dxa"/>
            <w:vAlign w:val="bottom"/>
            <w:tcBorders>
              <w:right w:val="single" w:sz="8" w:color="auto"/>
            </w:tcBorders>
          </w:tcPr>
          <w:p>
            <w:pPr>
              <w:spacing w:after="0"/>
              <w:rPr>
                <w:sz w:val="11"/>
                <w:szCs w:val="11"/>
                <w:color w:val="auto"/>
              </w:rPr>
            </w:pPr>
          </w:p>
        </w:tc>
        <w:tc>
          <w:tcPr>
            <w:tcW w:w="2840" w:type="dxa"/>
            <w:vAlign w:val="bottom"/>
            <w:tcBorders>
              <w:right w:val="single" w:sz="8" w:color="auto"/>
            </w:tcBorders>
            <w:vMerge w:val="continue"/>
          </w:tcPr>
          <w:p>
            <w:pPr>
              <w:spacing w:after="0"/>
              <w:rPr>
                <w:sz w:val="11"/>
                <w:szCs w:val="11"/>
                <w:color w:val="auto"/>
              </w:rPr>
            </w:pPr>
          </w:p>
        </w:tc>
        <w:tc>
          <w:tcPr>
            <w:tcW w:w="2860" w:type="dxa"/>
            <w:vAlign w:val="bottom"/>
            <w:tcBorders>
              <w:right w:val="single" w:sz="8" w:color="auto"/>
            </w:tcBorders>
            <w:vMerge w:val="continue"/>
          </w:tcPr>
          <w:p>
            <w:pPr>
              <w:spacing w:after="0"/>
              <w:rPr>
                <w:sz w:val="11"/>
                <w:szCs w:val="11"/>
                <w:color w:val="auto"/>
              </w:rPr>
            </w:pPr>
          </w:p>
        </w:tc>
        <w:tc>
          <w:tcPr>
            <w:tcW w:w="28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tcBorders>
            <w:gridSpan w:val="2"/>
            <w:vMerge w:val="continue"/>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2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520" w:type="dxa"/>
            <w:vAlign w:val="bottom"/>
            <w:tcBorders>
              <w:left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8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0"/>
              </w:rPr>
              <w:t>August 1, 2027 through July 31,</w:t>
            </w: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$29.75</w:t>
            </w: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$308,328.96</w:t>
            </w: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$25,694.08</w:t>
            </w:r>
          </w:p>
        </w:tc>
        <w:tc>
          <w:tcPr>
            <w:tcW w:w="0" w:type="dxa"/>
            <w:vAlign w:val="bottom"/>
          </w:tcPr>
          <w:p>
            <w:pPr>
              <w:spacing w:after="0"/>
              <w:rPr>
                <w:sz w:val="1"/>
                <w:szCs w:val="1"/>
                <w:color w:val="auto"/>
              </w:rPr>
            </w:pPr>
          </w:p>
        </w:tc>
      </w:tr>
      <w:tr>
        <w:trPr>
          <w:trHeight w:val="129"/>
        </w:trPr>
        <w:tc>
          <w:tcPr>
            <w:tcW w:w="1720" w:type="dxa"/>
            <w:vAlign w:val="bottom"/>
            <w:tcBorders>
              <w:left w:val="single" w:sz="8" w:color="auto"/>
            </w:tcBorders>
            <w:gridSpan w:val="2"/>
            <w:vMerge w:val="restart"/>
          </w:tcPr>
          <w:p>
            <w:pPr>
              <w:jc w:val="center"/>
              <w:ind w:left="1061"/>
              <w:spacing w:after="0"/>
              <w:rPr>
                <w:sz w:val="20"/>
                <w:szCs w:val="20"/>
                <w:color w:val="auto"/>
              </w:rPr>
            </w:pPr>
            <w:r>
              <w:rPr>
                <w:rFonts w:ascii="Arial" w:cs="Arial" w:eastAsia="Arial" w:hAnsi="Arial"/>
                <w:sz w:val="20"/>
                <w:szCs w:val="20"/>
                <w:color w:val="auto"/>
                <w:w w:val="89"/>
              </w:rPr>
              <w:t>2028</w:t>
            </w:r>
          </w:p>
        </w:tc>
        <w:tc>
          <w:tcPr>
            <w:tcW w:w="1160" w:type="dxa"/>
            <w:vAlign w:val="bottom"/>
            <w:tcBorders>
              <w:right w:val="single" w:sz="8" w:color="auto"/>
            </w:tcBorders>
          </w:tcPr>
          <w:p>
            <w:pPr>
              <w:spacing w:after="0"/>
              <w:rPr>
                <w:sz w:val="11"/>
                <w:szCs w:val="11"/>
                <w:color w:val="auto"/>
              </w:rPr>
            </w:pPr>
          </w:p>
        </w:tc>
        <w:tc>
          <w:tcPr>
            <w:tcW w:w="2840" w:type="dxa"/>
            <w:vAlign w:val="bottom"/>
            <w:tcBorders>
              <w:right w:val="single" w:sz="8" w:color="auto"/>
            </w:tcBorders>
            <w:vMerge w:val="continue"/>
          </w:tcPr>
          <w:p>
            <w:pPr>
              <w:spacing w:after="0"/>
              <w:rPr>
                <w:sz w:val="11"/>
                <w:szCs w:val="11"/>
                <w:color w:val="auto"/>
              </w:rPr>
            </w:pPr>
          </w:p>
        </w:tc>
        <w:tc>
          <w:tcPr>
            <w:tcW w:w="2860" w:type="dxa"/>
            <w:vAlign w:val="bottom"/>
            <w:tcBorders>
              <w:right w:val="single" w:sz="8" w:color="auto"/>
            </w:tcBorders>
            <w:vMerge w:val="continue"/>
          </w:tcPr>
          <w:p>
            <w:pPr>
              <w:spacing w:after="0"/>
              <w:rPr>
                <w:sz w:val="11"/>
                <w:szCs w:val="11"/>
                <w:color w:val="auto"/>
              </w:rPr>
            </w:pPr>
          </w:p>
        </w:tc>
        <w:tc>
          <w:tcPr>
            <w:tcW w:w="28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tcBorders>
            <w:gridSpan w:val="2"/>
            <w:vMerge w:val="continue"/>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2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520" w:type="dxa"/>
            <w:vAlign w:val="bottom"/>
            <w:tcBorders>
              <w:left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8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0"/>
              </w:rPr>
              <w:t>August 1, 2028 through the</w:t>
            </w:r>
          </w:p>
        </w:tc>
        <w:tc>
          <w:tcPr>
            <w:tcW w:w="284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520" w:type="dxa"/>
            <w:vAlign w:val="bottom"/>
            <w:tcBorders>
              <w:left w:val="single" w:sz="8" w:color="auto"/>
            </w:tcBorders>
          </w:tcPr>
          <w:p>
            <w:pPr>
              <w:ind w:left="140"/>
              <w:spacing w:after="0" w:line="200" w:lineRule="exact"/>
              <w:rPr>
                <w:sz w:val="20"/>
                <w:szCs w:val="20"/>
                <w:color w:val="auto"/>
              </w:rPr>
            </w:pPr>
            <w:r>
              <w:rPr>
                <w:rFonts w:ascii="Arial" w:cs="Arial" w:eastAsia="Arial" w:hAnsi="Arial"/>
                <w:sz w:val="20"/>
                <w:szCs w:val="20"/>
                <w:color w:val="auto"/>
                <w:w w:val="91"/>
              </w:rPr>
              <w:t>Expiration Date (</w:t>
            </w:r>
          </w:p>
        </w:tc>
        <w:tc>
          <w:tcPr>
            <w:tcW w:w="200" w:type="dxa"/>
            <w:vAlign w:val="bottom"/>
            <w:tcBorders>
              <w:bottom w:val="single" w:sz="8" w:color="auto"/>
            </w:tcBorders>
          </w:tcPr>
          <w:p>
            <w:pPr>
              <w:spacing w:after="0" w:line="186" w:lineRule="exact"/>
              <w:rPr>
                <w:sz w:val="20"/>
                <w:szCs w:val="20"/>
                <w:color w:val="auto"/>
              </w:rPr>
            </w:pPr>
            <w:r>
              <w:rPr>
                <w:rFonts w:ascii="Arial" w:cs="Arial" w:eastAsia="Arial" w:hAnsi="Arial"/>
                <w:sz w:val="20"/>
                <w:szCs w:val="20"/>
                <w:color w:val="auto"/>
                <w:w w:val="84"/>
              </w:rPr>
              <w:t>i.e</w:t>
            </w:r>
          </w:p>
        </w:tc>
        <w:tc>
          <w:tcPr>
            <w:tcW w:w="1160" w:type="dxa"/>
            <w:vAlign w:val="bottom"/>
            <w:tcBorders>
              <w:right w:val="single" w:sz="8" w:color="auto"/>
            </w:tcBorders>
          </w:tcPr>
          <w:p>
            <w:pPr>
              <w:spacing w:after="0" w:line="200" w:lineRule="exact"/>
              <w:rPr>
                <w:sz w:val="20"/>
                <w:szCs w:val="20"/>
                <w:color w:val="auto"/>
              </w:rPr>
            </w:pPr>
            <w:r>
              <w:rPr>
                <w:rFonts w:ascii="Arial" w:cs="Arial" w:eastAsia="Arial" w:hAnsi="Arial"/>
                <w:sz w:val="20"/>
                <w:szCs w:val="20"/>
                <w:color w:val="auto"/>
                <w:w w:val="96"/>
              </w:rPr>
              <w:t>. January 31,</w:t>
            </w:r>
          </w:p>
        </w:tc>
        <w:tc>
          <w:tcPr>
            <w:tcW w:w="284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20"/>
                <w:szCs w:val="20"/>
                <w:color w:val="auto"/>
                <w:w w:val="88"/>
              </w:rPr>
              <w:t>$30.50</w:t>
            </w:r>
          </w:p>
        </w:tc>
        <w:tc>
          <w:tcPr>
            <w:tcW w:w="286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20"/>
                <w:szCs w:val="20"/>
                <w:color w:val="auto"/>
                <w:w w:val="88"/>
              </w:rPr>
              <w:t>$316,101.96</w:t>
            </w:r>
          </w:p>
        </w:tc>
        <w:tc>
          <w:tcPr>
            <w:tcW w:w="282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20"/>
                <w:szCs w:val="20"/>
                <w:color w:val="auto"/>
                <w:w w:val="89"/>
              </w:rPr>
              <w:t>$26,341.83</w:t>
            </w:r>
          </w:p>
        </w:tc>
        <w:tc>
          <w:tcPr>
            <w:tcW w:w="0" w:type="dxa"/>
            <w:vAlign w:val="bottom"/>
          </w:tcPr>
          <w:p>
            <w:pPr>
              <w:spacing w:after="0"/>
              <w:rPr>
                <w:sz w:val="1"/>
                <w:szCs w:val="1"/>
                <w:color w:val="auto"/>
              </w:rPr>
            </w:pPr>
          </w:p>
        </w:tc>
      </w:tr>
      <w:tr>
        <w:trPr>
          <w:trHeight w:val="254"/>
        </w:trPr>
        <w:tc>
          <w:tcPr>
            <w:tcW w:w="1720" w:type="dxa"/>
            <w:vAlign w:val="bottom"/>
            <w:tcBorders>
              <w:left w:val="single" w:sz="8" w:color="auto"/>
            </w:tcBorders>
            <w:gridSpan w:val="2"/>
          </w:tcPr>
          <w:p>
            <w:pPr>
              <w:jc w:val="center"/>
              <w:ind w:left="1041"/>
              <w:spacing w:after="0"/>
              <w:rPr>
                <w:sz w:val="20"/>
                <w:szCs w:val="20"/>
                <w:color w:val="auto"/>
              </w:rPr>
            </w:pPr>
            <w:r>
              <w:rPr>
                <w:rFonts w:ascii="Arial" w:cs="Arial" w:eastAsia="Arial" w:hAnsi="Arial"/>
                <w:sz w:val="20"/>
                <w:szCs w:val="20"/>
                <w:color w:val="auto"/>
                <w:w w:val="89"/>
              </w:rPr>
              <w:t>2029)</w:t>
            </w:r>
          </w:p>
        </w:tc>
        <w:tc>
          <w:tcPr>
            <w:tcW w:w="1160" w:type="dxa"/>
            <w:vAlign w:val="bottom"/>
            <w:tcBorders>
              <w:right w:val="single" w:sz="8" w:color="auto"/>
            </w:tcBorders>
          </w:tcPr>
          <w:p>
            <w:pPr>
              <w:spacing w:after="0"/>
              <w:rPr>
                <w:sz w:val="22"/>
                <w:szCs w:val="22"/>
                <w:color w:val="auto"/>
              </w:rPr>
            </w:pPr>
          </w:p>
        </w:tc>
        <w:tc>
          <w:tcPr>
            <w:tcW w:w="2840" w:type="dxa"/>
            <w:vAlign w:val="bottom"/>
            <w:tcBorders>
              <w:right w:val="single" w:sz="8" w:color="auto"/>
            </w:tcBorders>
          </w:tcPr>
          <w:p>
            <w:pPr>
              <w:spacing w:after="0"/>
              <w:rPr>
                <w:sz w:val="22"/>
                <w:szCs w:val="22"/>
                <w:color w:val="auto"/>
              </w:rPr>
            </w:pPr>
          </w:p>
        </w:tc>
        <w:tc>
          <w:tcPr>
            <w:tcW w:w="2860" w:type="dxa"/>
            <w:vAlign w:val="bottom"/>
            <w:tcBorders>
              <w:right w:val="single" w:sz="8" w:color="auto"/>
            </w:tcBorders>
          </w:tcPr>
          <w:p>
            <w:pPr>
              <w:spacing w:after="0"/>
              <w:rPr>
                <w:sz w:val="22"/>
                <w:szCs w:val="22"/>
                <w:color w:val="auto"/>
              </w:rPr>
            </w:pPr>
          </w:p>
        </w:tc>
        <w:tc>
          <w:tcPr>
            <w:tcW w:w="28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1520" w:type="dxa"/>
            <w:vAlign w:val="bottom"/>
            <w:tcBorders>
              <w:left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2840" w:type="dxa"/>
            <w:vAlign w:val="bottom"/>
            <w:tcBorders>
              <w:bottom w:val="single" w:sz="8" w:color="auto"/>
              <w:right w:val="single" w:sz="8" w:color="auto"/>
            </w:tcBorders>
          </w:tcPr>
          <w:p>
            <w:pPr>
              <w:spacing w:after="0"/>
              <w:rPr>
                <w:sz w:val="12"/>
                <w:szCs w:val="12"/>
                <w:color w:val="auto"/>
              </w:rPr>
            </w:pPr>
          </w:p>
        </w:tc>
        <w:tc>
          <w:tcPr>
            <w:tcW w:w="2860" w:type="dxa"/>
            <w:vAlign w:val="bottom"/>
            <w:tcBorders>
              <w:bottom w:val="single" w:sz="8" w:color="auto"/>
              <w:right w:val="single" w:sz="8" w:color="auto"/>
            </w:tcBorders>
          </w:tcPr>
          <w:p>
            <w:pPr>
              <w:spacing w:after="0"/>
              <w:rPr>
                <w:sz w:val="12"/>
                <w:szCs w:val="12"/>
                <w:color w:val="auto"/>
              </w:rPr>
            </w:pPr>
          </w:p>
        </w:tc>
        <w:tc>
          <w:tcPr>
            <w:tcW w:w="2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Tenant shall pay the above Basic Rent for the Premises at the times and place and in the manner provided in the Lease, as modified by this Second Amendment. Effective on August 1, 2018 and continuing through the Expiration Date, Tenant shall continue to pay Additional Rent (including, without limitation, Tenant’s Proportionate Share of Operating Costs, Tenant’s Proportionate Share of Taxes, and Tenant’s Proportionate Share of Electrical Costs), and all other Rent and amounts due under the Lease, at the applicable times and place and in the manner provided in the Lease, as modified by this Second Amendment.</w:t>
      </w:r>
    </w:p>
    <w:p>
      <w:pPr>
        <w:spacing w:after="0" w:line="19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*Notwithstanding the foregoing, the monthly Basic Rent installment payments otherwise coming due on August 1, 2018, September 1, 2018, October 1, 2018, November 1, 2018, August 1, 2019 and on September 1, 2019 shall be conditionally abated in their entirety. Except as expressly set forth in the immediately preceding sentence, Tenant shall make Basic Rent payments as otherwise provided in the Lease, as amended hereby. Notwithstanding such abatement of Basic Rent set forth above, (a) all other Rent and sums due under the Lease, as amended hereby, including, without limitation, Additional Rent, shall be payable as provided in the Lease, as amended hereby, and (b) any increases in Basic Rent set forth in the Lease, as amended hereby, shall occur on the dates scheduled therefor.</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Abatement of Basic Rent, as set forth above, is conditioned upon Tenant’s full and timely performance of its obligations under the Lease, as amended hereby. If an Event of Default by Tenant occurs under the Lease, as amended hereby, then (i) abatement of Basic Rent, as set forth above, shall immediately become void, (ii) Tenant shall not be entitled to any further abatement of Basic Rent pursuant to this Section 4, and (iii) Tenant shall promptly pay to Landlord, in addition to all other amounts due to Landlord under the Lease, as amended hereby, the full amount of all Basic Rent herein abated.</w:t>
      </w:r>
    </w:p>
    <w:p>
      <w:pPr>
        <w:sectPr>
          <w:pgSz w:w="11900" w:h="16838" w:orient="portrait"/>
          <w:cols w:equalWidth="0" w:num="1">
            <w:col w:w="11420"/>
          </w:cols>
          <w:pgMar w:left="240" w:top="714" w:right="239" w:bottom="1440" w:gutter="0" w:footer="0" w:header="0"/>
        </w:sectPr>
      </w:pPr>
    </w:p>
    <w:bookmarkStart w:id="56" w:name="page57"/>
    <w:bookmarkEnd w:id="56"/>
    <w:p>
      <w:pPr>
        <w:jc w:val="both"/>
        <w:ind w:left="-656" w:firstLine="656"/>
        <w:spacing w:after="0" w:line="257" w:lineRule="auto"/>
        <w:tabs>
          <w:tab w:leader="none" w:pos="496"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Construction Allowance</w:t>
      </w:r>
      <w:r>
        <w:rPr>
          <w:rFonts w:ascii="Arial" w:cs="Arial" w:eastAsia="Arial" w:hAnsi="Arial"/>
          <w:sz w:val="19"/>
          <w:szCs w:val="19"/>
          <w:color w:val="auto"/>
        </w:rPr>
        <w:t>. Landlord shall make available a construction allowance of up to TWO HUNDRED FORTY-EIGHT THOUSAND SEVEN HUNDRED THIRTY-SIX AND NO/100 DOLLARS ($248,736.00) (the “</w:t>
      </w:r>
      <w:r>
        <w:rPr>
          <w:rFonts w:ascii="Arial" w:cs="Arial" w:eastAsia="Arial" w:hAnsi="Arial"/>
          <w:sz w:val="19"/>
          <w:szCs w:val="19"/>
          <w:u w:val="single" w:color="auto"/>
          <w:color w:val="auto"/>
        </w:rPr>
        <w:t>Construction Allowance</w:t>
      </w:r>
      <w:r>
        <w:rPr>
          <w:rFonts w:ascii="Arial" w:cs="Arial" w:eastAsia="Arial" w:hAnsi="Arial"/>
          <w:sz w:val="19"/>
          <w:szCs w:val="19"/>
          <w:color w:val="auto"/>
        </w:rPr>
        <w:t xml:space="preserve">”) for certain improvements to be constructed and installed in the Premises by Tenant, all subject and pursuant to the provisions of the work letter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Work Letter</w:t>
      </w:r>
      <w:r>
        <w:rPr>
          <w:rFonts w:ascii="Arial" w:cs="Arial" w:eastAsia="Arial" w:hAnsi="Arial"/>
          <w:sz w:val="19"/>
          <w:szCs w:val="19"/>
          <w:color w:val="auto"/>
        </w:rPr>
        <w:t>”). Subject only to the Work Letter, Landlord shall not be required to perform, or contribute to the cost of, any alterations, repairs or improvements to the Premises or the Building (other than Landlord’s repair and maintenance obligations as expressly set forth in the Lease). Tenant currently occupies the Premises, and Tenant shall be deemed to have accepted the Premises for the Term, as same is extended hereby, in its “</w:t>
      </w:r>
      <w:r>
        <w:rPr>
          <w:rFonts w:ascii="Arial" w:cs="Arial" w:eastAsia="Arial" w:hAnsi="Arial"/>
          <w:sz w:val="19"/>
          <w:szCs w:val="19"/>
          <w:b w:val="1"/>
          <w:bCs w:val="1"/>
          <w:color w:val="auto"/>
        </w:rPr>
        <w:t>AS IS - WHERE IS, WITH ALL FAULTS</w:t>
      </w:r>
      <w:r>
        <w:rPr>
          <w:rFonts w:ascii="Arial" w:cs="Arial" w:eastAsia="Arial" w:hAnsi="Arial"/>
          <w:sz w:val="19"/>
          <w:szCs w:val="19"/>
          <w:color w:val="auto"/>
        </w:rPr>
        <w:t>” condition on and as of the Effective Date hereof, without any representations or warranties made by Landlord or relied on by Tenant.</w:t>
      </w:r>
    </w:p>
    <w:p>
      <w:pPr>
        <w:spacing w:after="0" w:line="181" w:lineRule="exact"/>
        <w:rPr>
          <w:rFonts w:ascii="Arial" w:cs="Arial" w:eastAsia="Arial" w:hAnsi="Arial"/>
          <w:sz w:val="19"/>
          <w:szCs w:val="19"/>
          <w:color w:val="auto"/>
        </w:rPr>
      </w:pPr>
    </w:p>
    <w:p>
      <w:pPr>
        <w:ind w:left="-656" w:firstLine="656"/>
        <w:spacing w:after="0" w:line="260" w:lineRule="auto"/>
        <w:tabs>
          <w:tab w:leader="none" w:pos="392"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Parking</w:t>
      </w:r>
      <w:r>
        <w:rPr>
          <w:rFonts w:ascii="Arial" w:cs="Arial" w:eastAsia="Arial" w:hAnsi="Arial"/>
          <w:sz w:val="20"/>
          <w:szCs w:val="20"/>
          <w:color w:val="auto"/>
        </w:rPr>
        <w:t>. During the Term, as same is extended by this Second Amendment, Tenant’s parking rights and obligations set forth in Exhibit “G” to the Lease shall continue in full force and effect.</w:t>
      </w:r>
    </w:p>
    <w:p>
      <w:pPr>
        <w:spacing w:after="0" w:line="176" w:lineRule="exact"/>
        <w:rPr>
          <w:rFonts w:ascii="Arial" w:cs="Arial" w:eastAsia="Arial" w:hAnsi="Arial"/>
          <w:sz w:val="20"/>
          <w:szCs w:val="20"/>
          <w:color w:val="auto"/>
        </w:rPr>
      </w:pPr>
    </w:p>
    <w:p>
      <w:pPr>
        <w:jc w:val="both"/>
        <w:ind w:left="-656" w:firstLine="656"/>
        <w:spacing w:after="0" w:line="255" w:lineRule="auto"/>
        <w:tabs>
          <w:tab w:leader="none" w:pos="537"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Security Deposit</w:t>
      </w:r>
      <w:r>
        <w:rPr>
          <w:rFonts w:ascii="Arial" w:cs="Arial" w:eastAsia="Arial" w:hAnsi="Arial"/>
          <w:sz w:val="19"/>
          <w:szCs w:val="19"/>
          <w:color w:val="auto"/>
        </w:rPr>
        <w:t>. The Security Deposit, as defined in the Basic Lease Information section of the Original Lease, is hereby amended such that the amount of the Security Deposit required under the Lease is $139,378.52. Within three (3) business days after the Effective Date of this Second Amendment, Tenant shall deliver to Landlord the amount of $64,239.53 in immediately available funds, which shall be added to the $75,138.99 Security Deposit currently held by Landlord, after which the amount of the Security Deposit then held by Landlord will equal $139,378.52. If (i) there then-exists no Event of Default by Tenant under the Lease, as amended hereby, and (ii) there then-exists no event or circumstance which, but for the passage of time or giving of notice, or both, could constitute an Event of Default by Tenant under the Lease, as amended hereby, and (iii) Tenant provides Landlord with written evidence (as reasonably determined by Landlord) that Tenant is net cash flow positive for an entire twelve (12) consecutive month period comprising Tenant’s fiscal year during the Term, then Landlord will refund to Tenant a portion of the Security Deposit equal to $64,239.53 within forty-five (45) days following Landlord’s receipt of such written evidence from Tenant, and following any such refund the amount of the Security Deposit required under the Lease (as amended hereby) will be $75,138.99.</w:t>
      </w:r>
    </w:p>
    <w:p>
      <w:pPr>
        <w:spacing w:after="0" w:line="187" w:lineRule="exact"/>
        <w:rPr>
          <w:rFonts w:ascii="Arial" w:cs="Arial" w:eastAsia="Arial" w:hAnsi="Arial"/>
          <w:sz w:val="19"/>
          <w:szCs w:val="19"/>
          <w:color w:val="auto"/>
        </w:rPr>
      </w:pPr>
    </w:p>
    <w:p>
      <w:pPr>
        <w:ind w:left="-656" w:firstLine="656"/>
        <w:spacing w:after="0" w:line="260" w:lineRule="auto"/>
        <w:tabs>
          <w:tab w:leader="none" w:pos="388"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Right of First Refusal</w:t>
      </w:r>
      <w:r>
        <w:rPr>
          <w:rFonts w:ascii="Arial" w:cs="Arial" w:eastAsia="Arial" w:hAnsi="Arial"/>
          <w:sz w:val="20"/>
          <w:szCs w:val="20"/>
          <w:color w:val="auto"/>
        </w:rPr>
        <w:t xml:space="preserve">. Tenant shall have the one-time right of first refusal to lease the Suite 140 Space, subject and pursuant to the provisions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attached to this Second Amendment.</w:t>
      </w:r>
    </w:p>
    <w:p>
      <w:pPr>
        <w:spacing w:after="0" w:line="176" w:lineRule="exact"/>
        <w:rPr>
          <w:rFonts w:ascii="Arial" w:cs="Arial" w:eastAsia="Arial" w:hAnsi="Arial"/>
          <w:sz w:val="20"/>
          <w:szCs w:val="20"/>
          <w:color w:val="auto"/>
        </w:rPr>
      </w:pPr>
    </w:p>
    <w:p>
      <w:pPr>
        <w:ind w:left="-656" w:right="20" w:firstLine="656"/>
        <w:spacing w:after="0" w:line="260" w:lineRule="auto"/>
        <w:tabs>
          <w:tab w:leader="none" w:pos="388"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Termination Option</w:t>
      </w:r>
      <w:r>
        <w:rPr>
          <w:rFonts w:ascii="Arial" w:cs="Arial" w:eastAsia="Arial" w:hAnsi="Arial"/>
          <w:sz w:val="20"/>
          <w:szCs w:val="20"/>
          <w:color w:val="auto"/>
        </w:rPr>
        <w:t xml:space="preserve">. Tenant shall have a one-time right to terminate the Lease as to the entire Premises, subject and pursuant to the provisions of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attached to this Second Amendment.</w:t>
      </w:r>
    </w:p>
    <w:p>
      <w:pPr>
        <w:spacing w:after="0" w:line="176" w:lineRule="exact"/>
        <w:rPr>
          <w:rFonts w:ascii="Arial" w:cs="Arial" w:eastAsia="Arial" w:hAnsi="Arial"/>
          <w:sz w:val="20"/>
          <w:szCs w:val="20"/>
          <w:color w:val="auto"/>
        </w:rPr>
      </w:pPr>
    </w:p>
    <w:p>
      <w:pPr>
        <w:ind w:left="-656" w:right="20" w:firstLine="656"/>
        <w:spacing w:after="0" w:line="260" w:lineRule="auto"/>
        <w:tabs>
          <w:tab w:leader="none" w:pos="541"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Extension Option</w:t>
      </w:r>
      <w:r>
        <w:rPr>
          <w:rFonts w:ascii="Arial" w:cs="Arial" w:eastAsia="Arial" w:hAnsi="Arial"/>
          <w:sz w:val="20"/>
          <w:szCs w:val="20"/>
          <w:color w:val="auto"/>
        </w:rPr>
        <w:t>. Tenant’s existing option to extend the Term of the Lease set forth in Exhibit “H” to the Original Lease shall remain in full force and effect during the Term, as same is extended hereby.</w:t>
      </w:r>
    </w:p>
    <w:p>
      <w:pPr>
        <w:spacing w:after="0" w:line="176" w:lineRule="exact"/>
        <w:rPr>
          <w:rFonts w:ascii="Arial" w:cs="Arial" w:eastAsia="Arial" w:hAnsi="Arial"/>
          <w:sz w:val="20"/>
          <w:szCs w:val="20"/>
          <w:color w:val="auto"/>
        </w:rPr>
      </w:pPr>
    </w:p>
    <w:p>
      <w:pPr>
        <w:jc w:val="both"/>
        <w:ind w:left="-656" w:firstLine="656"/>
        <w:spacing w:after="0" w:line="258" w:lineRule="auto"/>
        <w:tabs>
          <w:tab w:leader="none" w:pos="443"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Brokers</w:t>
      </w:r>
      <w:r>
        <w:rPr>
          <w:rFonts w:ascii="Arial" w:cs="Arial" w:eastAsia="Arial" w:hAnsi="Arial"/>
          <w:sz w:val="19"/>
          <w:szCs w:val="19"/>
          <w:color w:val="auto"/>
        </w:rPr>
        <w:t>. Tenant represents that it has had no dealings with any broker or agent in connection with the negotiation or execution of this Second Amendment other than Transwestern (“</w:t>
      </w:r>
      <w:r>
        <w:rPr>
          <w:rFonts w:ascii="Arial" w:cs="Arial" w:eastAsia="Arial" w:hAnsi="Arial"/>
          <w:sz w:val="19"/>
          <w:szCs w:val="19"/>
          <w:u w:val="single" w:color="auto"/>
          <w:color w:val="auto"/>
        </w:rPr>
        <w:t>Landlord’s Broker</w:t>
      </w:r>
      <w:r>
        <w:rPr>
          <w:rFonts w:ascii="Arial" w:cs="Arial" w:eastAsia="Arial" w:hAnsi="Arial"/>
          <w:sz w:val="19"/>
          <w:szCs w:val="19"/>
          <w:color w:val="auto"/>
        </w:rPr>
        <w:t>”), whose rights to a commission to be paid by Landlord are governed by a separate written agreement with Landlord, and Newmark Grubb Knight Frank (“</w:t>
      </w:r>
      <w:r>
        <w:rPr>
          <w:rFonts w:ascii="Arial" w:cs="Arial" w:eastAsia="Arial" w:hAnsi="Arial"/>
          <w:sz w:val="19"/>
          <w:szCs w:val="19"/>
          <w:u w:val="single" w:color="auto"/>
          <w:color w:val="auto"/>
        </w:rPr>
        <w:t>Tenant’s Broker</w:t>
      </w:r>
      <w:r>
        <w:rPr>
          <w:rFonts w:ascii="Arial" w:cs="Arial" w:eastAsia="Arial" w:hAnsi="Arial"/>
          <w:sz w:val="19"/>
          <w:szCs w:val="19"/>
          <w:color w:val="auto"/>
        </w:rPr>
        <w:t>”), whose rights to a commission to be paid by Landlord are governed by a separate written agreement with Landlord. Tenant shall indemnify, defend and hold Landlord harmless from and against any and all claims, costs, expenses or liabilities, including reasonable attorneys’ fees, for commissions or other compensation claimed by any broker or agent other than Landlord’s Broker and Tenant’s Broker with regard to this Second Amendment as a result of any dealings with Tenant or claiming by or through Tenant.</w:t>
      </w:r>
    </w:p>
    <w:p>
      <w:pPr>
        <w:spacing w:after="0" w:line="179" w:lineRule="exact"/>
        <w:rPr>
          <w:rFonts w:ascii="Arial" w:cs="Arial" w:eastAsia="Arial" w:hAnsi="Arial"/>
          <w:sz w:val="19"/>
          <w:szCs w:val="19"/>
          <w:color w:val="auto"/>
        </w:rPr>
      </w:pPr>
    </w:p>
    <w:p>
      <w:pPr>
        <w:jc w:val="both"/>
        <w:ind w:left="-656" w:firstLine="656"/>
        <w:spacing w:after="0" w:line="244" w:lineRule="auto"/>
        <w:tabs>
          <w:tab w:leader="none" w:pos="464"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Representations</w:t>
      </w:r>
      <w:r>
        <w:rPr>
          <w:rFonts w:ascii="Arial" w:cs="Arial" w:eastAsia="Arial" w:hAnsi="Arial"/>
          <w:sz w:val="20"/>
          <w:szCs w:val="20"/>
          <w:color w:val="auto"/>
        </w:rPr>
        <w:t>. As of the Effective Date hereof, Tenant hereby represents and warrants to Landlord the following, all of which shall survive the expiration or termination of the Lease: (i) Tenant is the sole legal and equitable owner of the leasehold estate of the "Tenant" under the Lease and is the only occupant of the Premises; (ii) Tenant has not previously assigned or transferred any interest in the Lease (other than as security for any indebtedness) or sublet the Premises or any portion thereof; and (iii) Tenant has full power and authority to execute and deliver this Second Amendment.</w:t>
      </w:r>
    </w:p>
    <w:p>
      <w:pPr>
        <w:sectPr>
          <w:pgSz w:w="11900" w:h="16838" w:orient="portrait"/>
          <w:cols w:equalWidth="0" w:num="1">
            <w:col w:w="10764"/>
          </w:cols>
          <w:pgMar w:left="896" w:top="582" w:right="239" w:bottom="1440" w:gutter="0" w:footer="0" w:header="0"/>
        </w:sectPr>
      </w:pPr>
    </w:p>
    <w:bookmarkStart w:id="57" w:name="page58"/>
    <w:bookmarkEnd w:id="57"/>
    <w:p>
      <w:pPr>
        <w:jc w:val="both"/>
        <w:ind w:firstLine="656"/>
        <w:spacing w:after="0" w:line="282" w:lineRule="auto"/>
        <w:tabs>
          <w:tab w:leader="none" w:pos="1121"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Counterpart Execution</w:t>
      </w:r>
      <w:r>
        <w:rPr>
          <w:rFonts w:ascii="Arial" w:cs="Arial" w:eastAsia="Arial" w:hAnsi="Arial"/>
          <w:sz w:val="18"/>
          <w:szCs w:val="18"/>
          <w:color w:val="auto"/>
        </w:rPr>
        <w:t>. This Second Amendment may be executed in a number of identical counterparts. If so executed, each of such counterparts is to be deemed an original for all purposes, and all such counterparts shall, collectively, constitute one instrument, but, in making proof of this instrument, it shall not be necessary to produce or account for more than one such counterpart. Executed counterparts of this Second Amendment may be exchanged by electronic mail, which executed counterparts shall serve as originals for all purposes.</w:t>
      </w:r>
    </w:p>
    <w:p>
      <w:pPr>
        <w:spacing w:after="0" w:line="161" w:lineRule="exact"/>
        <w:rPr>
          <w:rFonts w:ascii="Arial" w:cs="Arial" w:eastAsia="Arial" w:hAnsi="Arial"/>
          <w:sz w:val="18"/>
          <w:szCs w:val="18"/>
          <w:color w:val="auto"/>
        </w:rPr>
      </w:pPr>
    </w:p>
    <w:p>
      <w:pPr>
        <w:ind w:firstLine="656"/>
        <w:spacing w:after="0" w:line="260" w:lineRule="auto"/>
        <w:tabs>
          <w:tab w:leader="none" w:pos="1175"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Landlord’s Notice Address</w:t>
      </w:r>
      <w:r>
        <w:rPr>
          <w:rFonts w:ascii="Arial" w:cs="Arial" w:eastAsia="Arial" w:hAnsi="Arial"/>
          <w:sz w:val="20"/>
          <w:szCs w:val="20"/>
          <w:color w:val="auto"/>
        </w:rPr>
        <w:t>. Landlord’s address for notice, as set forth in the Basic Lease Information section of the Original Lease, is hereby modified to read in its entirety:</w:t>
      </w:r>
    </w:p>
    <w:p>
      <w:pPr>
        <w:spacing w:after="0" w:line="17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Accesso Partners LLC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1021 Main Street, Suite 1920</w:t>
      </w:r>
    </w:p>
    <w:p>
      <w:pPr>
        <w:ind w:left="1960"/>
        <w:spacing w:after="0"/>
        <w:rPr>
          <w:sz w:val="20"/>
          <w:szCs w:val="20"/>
          <w:color w:val="auto"/>
        </w:rPr>
      </w:pPr>
      <w:r>
        <w:rPr>
          <w:rFonts w:ascii="Arial" w:cs="Arial" w:eastAsia="Arial" w:hAnsi="Arial"/>
          <w:sz w:val="20"/>
          <w:szCs w:val="20"/>
          <w:color w:val="auto"/>
        </w:rPr>
        <w:t>Houston, Texas 77002</w:t>
      </w:r>
    </w:p>
    <w:p>
      <w:pPr>
        <w:ind w:left="1960"/>
        <w:spacing w:after="0"/>
        <w:rPr>
          <w:sz w:val="20"/>
          <w:szCs w:val="20"/>
          <w:color w:val="auto"/>
        </w:rPr>
      </w:pPr>
      <w:r>
        <w:rPr>
          <w:rFonts w:ascii="Arial" w:cs="Arial" w:eastAsia="Arial" w:hAnsi="Arial"/>
          <w:sz w:val="20"/>
          <w:szCs w:val="20"/>
          <w:color w:val="auto"/>
        </w:rPr>
        <w:t>Attn: Asset Manager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with a copy to:</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Accesso Services LLC</w:t>
      </w:r>
    </w:p>
    <w:p>
      <w:pPr>
        <w:ind w:left="1960"/>
        <w:spacing w:after="0"/>
        <w:rPr>
          <w:sz w:val="20"/>
          <w:szCs w:val="20"/>
          <w:color w:val="auto"/>
        </w:rPr>
      </w:pPr>
      <w:r>
        <w:rPr>
          <w:rFonts w:ascii="Arial" w:cs="Arial" w:eastAsia="Arial" w:hAnsi="Arial"/>
          <w:sz w:val="20"/>
          <w:szCs w:val="20"/>
          <w:color w:val="auto"/>
        </w:rPr>
        <w:t>12331-B Riata Trace Parkway, Suite 100</w:t>
      </w:r>
    </w:p>
    <w:p>
      <w:pPr>
        <w:ind w:left="1960"/>
        <w:spacing w:after="0"/>
        <w:rPr>
          <w:sz w:val="20"/>
          <w:szCs w:val="20"/>
          <w:color w:val="auto"/>
        </w:rPr>
      </w:pPr>
      <w:r>
        <w:rPr>
          <w:rFonts w:ascii="Arial" w:cs="Arial" w:eastAsia="Arial" w:hAnsi="Arial"/>
          <w:sz w:val="20"/>
          <w:szCs w:val="20"/>
          <w:color w:val="auto"/>
        </w:rPr>
        <w:t>Austin, Texas 78727</w:t>
      </w:r>
    </w:p>
    <w:p>
      <w:pPr>
        <w:ind w:left="1960"/>
        <w:spacing w:after="0"/>
        <w:rPr>
          <w:sz w:val="20"/>
          <w:szCs w:val="20"/>
          <w:color w:val="auto"/>
        </w:rPr>
      </w:pPr>
      <w:r>
        <w:rPr>
          <w:rFonts w:ascii="Arial" w:cs="Arial" w:eastAsia="Arial" w:hAnsi="Arial"/>
          <w:sz w:val="20"/>
          <w:szCs w:val="20"/>
          <w:color w:val="auto"/>
        </w:rPr>
        <w:t>Attn: Property Manager</w:t>
      </w:r>
    </w:p>
    <w:p>
      <w:pPr>
        <w:spacing w:after="0" w:line="21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u w:val="single" w:color="auto"/>
          <w:color w:val="auto"/>
        </w:rPr>
        <w:t>Landlord’s Billing Address</w:t>
      </w:r>
      <w:r>
        <w:rPr>
          <w:rFonts w:ascii="Arial" w:cs="Arial" w:eastAsia="Arial" w:hAnsi="Arial"/>
          <w:sz w:val="16"/>
          <w:szCs w:val="16"/>
          <w:color w:val="auto"/>
        </w:rPr>
        <w:t>. Landlord’s address for payments under the Lease, as amended hereby, is as follows:</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BRI 1868 Riata, LLC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P.O. Box 714244</w:t>
      </w:r>
    </w:p>
    <w:p>
      <w:pPr>
        <w:ind w:left="1960"/>
        <w:spacing w:after="0"/>
        <w:rPr>
          <w:sz w:val="20"/>
          <w:szCs w:val="20"/>
          <w:color w:val="auto"/>
        </w:rPr>
      </w:pPr>
      <w:r>
        <w:rPr>
          <w:rFonts w:ascii="Arial" w:cs="Arial" w:eastAsia="Arial" w:hAnsi="Arial"/>
          <w:sz w:val="20"/>
          <w:szCs w:val="20"/>
          <w:color w:val="auto"/>
        </w:rPr>
        <w:t>Cincinnati, Ohio 45271-4244</w:t>
      </w:r>
    </w:p>
    <w:p>
      <w:pPr>
        <w:spacing w:after="0" w:line="213" w:lineRule="exact"/>
        <w:rPr>
          <w:sz w:val="20"/>
          <w:szCs w:val="20"/>
          <w:color w:val="auto"/>
        </w:rPr>
      </w:pPr>
    </w:p>
    <w:p>
      <w:pPr>
        <w:jc w:val="both"/>
        <w:ind w:firstLine="656"/>
        <w:spacing w:after="0" w:line="250" w:lineRule="auto"/>
        <w:tabs>
          <w:tab w:leader="none" w:pos="1121"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No Default</w:t>
      </w:r>
      <w:r>
        <w:rPr>
          <w:rFonts w:ascii="Arial" w:cs="Arial" w:eastAsia="Arial" w:hAnsi="Arial"/>
          <w:sz w:val="20"/>
          <w:szCs w:val="20"/>
          <w:color w:val="auto"/>
        </w:rPr>
        <w:t>. Tenant acknowledges that, to Tenant’s actual knowledge, as of the Effective Date, Landlord has performed all of its obligations under the Lease, Landlord is not in default under the Lease, and Tenant has no claims, counterclaims, set-offs or defenses against Landlord arising out of the Lease or relating thereto.</w:t>
      </w:r>
    </w:p>
    <w:p>
      <w:pPr>
        <w:spacing w:after="0" w:line="186" w:lineRule="exact"/>
        <w:rPr>
          <w:rFonts w:ascii="Arial" w:cs="Arial" w:eastAsia="Arial" w:hAnsi="Arial"/>
          <w:sz w:val="20"/>
          <w:szCs w:val="20"/>
          <w:color w:val="auto"/>
        </w:rPr>
      </w:pPr>
    </w:p>
    <w:p>
      <w:pPr>
        <w:jc w:val="both"/>
        <w:ind w:firstLine="656"/>
        <w:spacing w:after="0" w:line="260" w:lineRule="auto"/>
        <w:tabs>
          <w:tab w:leader="none" w:pos="1188"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Lender Approval</w:t>
      </w:r>
      <w:r>
        <w:rPr>
          <w:rFonts w:ascii="Arial" w:cs="Arial" w:eastAsia="Arial" w:hAnsi="Arial"/>
          <w:sz w:val="19"/>
          <w:szCs w:val="19"/>
          <w:color w:val="auto"/>
        </w:rPr>
        <w:t>. If a mortgagee of the Building has the right to consent to this Second Amendment and fails to give such consent on terms and conditions acceptable to Landlord in its sole and absolute discretion, Landlord may, in its sole and absolute discretion, terminate and cancel this Second Amendment. Such option shall be exercisable by Landlord by written notice to Tenant of such termination, whereupon this Second Amendment shall be deemed cancelled and terminated, and both Landlord and Tenant shall be relieved of any and all liabilities and obligations hereunder; provided, however, that the Lease shall remain in full force and effect.</w:t>
      </w:r>
    </w:p>
    <w:p>
      <w:pPr>
        <w:spacing w:after="0" w:line="180" w:lineRule="exact"/>
        <w:rPr>
          <w:rFonts w:ascii="Arial" w:cs="Arial" w:eastAsia="Arial" w:hAnsi="Arial"/>
          <w:sz w:val="19"/>
          <w:szCs w:val="19"/>
          <w:color w:val="auto"/>
        </w:rPr>
      </w:pPr>
    </w:p>
    <w:p>
      <w:pPr>
        <w:jc w:val="both"/>
        <w:ind w:firstLine="656"/>
        <w:spacing w:after="0" w:line="243" w:lineRule="auto"/>
        <w:tabs>
          <w:tab w:leader="none" w:pos="1107"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Ratification</w:t>
      </w:r>
      <w:r>
        <w:rPr>
          <w:rFonts w:ascii="Arial" w:cs="Arial" w:eastAsia="Arial" w:hAnsi="Arial"/>
          <w:sz w:val="20"/>
          <w:szCs w:val="20"/>
          <w:color w:val="auto"/>
        </w:rPr>
        <w:t>. As amended hereby, the Lease is hereby ratified and confirmed by each party as being in full force and effect. Each party agrees that, as amended hereby, the Lease is the binding and enforceable obligation of such party. To the extent of any conflict or inconsistency between this Second Amendment and the Lease, the terms of this Second Amendment shall govern and control to the extent of such conflict or inconsistency. Nothing in this Second Amendment shall be deemed a waiver or release of any unperformed obligations of Tenant under the Lease, including, without limitation, any delinquent rentals payable by Tenant. References in the Lease and this Second Amendment to “this Lease”, “the Lease” or similar shall be a reference to the Lease as amended from time to time, including by this Second Amendment.</w:t>
      </w:r>
    </w:p>
    <w:p>
      <w:pPr>
        <w:spacing w:after="0" w:line="193" w:lineRule="exact"/>
        <w:rPr>
          <w:rFonts w:ascii="Arial" w:cs="Arial" w:eastAsia="Arial" w:hAnsi="Arial"/>
          <w:sz w:val="20"/>
          <w:szCs w:val="20"/>
          <w:color w:val="auto"/>
        </w:rPr>
      </w:pPr>
    </w:p>
    <w:p>
      <w:pPr>
        <w:jc w:val="both"/>
        <w:ind w:firstLine="656"/>
        <w:spacing w:after="0" w:line="278" w:lineRule="auto"/>
        <w:tabs>
          <w:tab w:leader="none" w:pos="132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Tenant will keep confidential (a) the terms of this Second Amendment, and (b) all negotiations and communications with Landlord and its representatives in connection with this Second Amendment (collectively,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and Tenant will not disclose or make available any Confidential Information to any other tenant in the Building or to any other person or entity, except (i) to Tenant’s accountants, brokers, attorneys, and other agents for the sole purpose of providing advice to Tenant in connection with the Confidential Information and who agree to preserve the confidential nature of same, or (ii) as required by law.</w:t>
      </w:r>
    </w:p>
    <w:p>
      <w:pPr>
        <w:sectPr>
          <w:pgSz w:w="11900" w:h="16838" w:orient="portrait"/>
          <w:cols w:equalWidth="0" w:num="1">
            <w:col w:w="11420"/>
          </w:cols>
          <w:pgMar w:left="240" w:top="582" w:right="239" w:bottom="1440" w:gutter="0" w:footer="0" w:header="0"/>
        </w:sectPr>
      </w:pPr>
    </w:p>
    <w:bookmarkStart w:id="58" w:name="page59"/>
    <w:bookmarkEnd w:id="58"/>
    <w:p>
      <w:pPr>
        <w:jc w:val="both"/>
        <w:ind w:firstLine="656"/>
        <w:spacing w:after="0" w:line="250" w:lineRule="auto"/>
        <w:tabs>
          <w:tab w:leader="none" w:pos="1148"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Attorneys’ Fees</w:t>
      </w:r>
      <w:r>
        <w:rPr>
          <w:rFonts w:ascii="Arial" w:cs="Arial" w:eastAsia="Arial" w:hAnsi="Arial"/>
          <w:sz w:val="20"/>
          <w:szCs w:val="20"/>
          <w:color w:val="auto"/>
        </w:rPr>
        <w:t>. If Landlord or Tenant brings any action against the other to enforce or interpret any provision of this Second Amendment (including any claim in a bankruptcy or an assignment for the benefit of creditors), the prevailing party will be entitled to recover from the other reasonable attorneys’ fees, court costs and expenses incurred in such action.</w:t>
      </w:r>
    </w:p>
    <w:p>
      <w:pPr>
        <w:spacing w:after="0" w:line="186" w:lineRule="exact"/>
        <w:rPr>
          <w:rFonts w:ascii="Arial" w:cs="Arial" w:eastAsia="Arial" w:hAnsi="Arial"/>
          <w:sz w:val="20"/>
          <w:szCs w:val="20"/>
          <w:color w:val="auto"/>
        </w:rPr>
      </w:pPr>
    </w:p>
    <w:p>
      <w:pPr>
        <w:jc w:val="both"/>
        <w:ind w:firstLine="656"/>
        <w:spacing w:after="0" w:line="276" w:lineRule="auto"/>
        <w:tabs>
          <w:tab w:leader="none" w:pos="117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Second Amendment, including any exhibits attached hereto and any agreements referenced herein or therein, is deemed fully integrated and contains the entire agreement of the parties hereto with respect to the matters covered thereby. Except as set forth in the Lease (and any related guaranty) as amended hereby, no other agreement, statement or promise made by any party hereto, or to any employee or agent of any party hereto, which is not contained herein, shall be binding or valid. All prior or contemporaneous agreements or writing between or among the parties are specifically merged into this Second Amendment. This Second Amendment may not be amended, modified or supplemented except by written instrument fully executed and delivered by Landlord and Tenant.</w:t>
      </w:r>
    </w:p>
    <w:p>
      <w:pPr>
        <w:spacing w:after="0" w:line="165" w:lineRule="exact"/>
        <w:rPr>
          <w:rFonts w:ascii="Arial" w:cs="Arial" w:eastAsia="Arial" w:hAnsi="Arial"/>
          <w:sz w:val="18"/>
          <w:szCs w:val="18"/>
          <w:color w:val="auto"/>
        </w:rPr>
      </w:pPr>
    </w:p>
    <w:p>
      <w:pPr>
        <w:ind w:left="1100" w:hanging="444"/>
        <w:spacing w:after="0"/>
        <w:tabs>
          <w:tab w:leader="none" w:pos="1100"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Exhibits</w:t>
      </w:r>
      <w:r>
        <w:rPr>
          <w:rFonts w:ascii="Arial" w:cs="Arial" w:eastAsia="Arial" w:hAnsi="Arial"/>
          <w:sz w:val="20"/>
          <w:szCs w:val="20"/>
          <w:color w:val="auto"/>
        </w:rPr>
        <w:t>. The following Exhibits are attached to this Second Amendment and incorporated herein by reference:</w:t>
      </w:r>
    </w:p>
    <w:p>
      <w:pPr>
        <w:spacing w:after="0" w:line="21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u w:val="single" w:color="auto"/>
          <w:color w:val="auto"/>
        </w:rPr>
        <w:t>EXHIBIT A</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Work Letter</w:t>
      </w:r>
    </w:p>
    <w:p>
      <w:pPr>
        <w:spacing w:after="0" w:line="1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u w:val="single" w:color="auto"/>
          <w:color w:val="auto"/>
        </w:rPr>
        <w:t>EXHIBIT B</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Right of First Refusal</w:t>
      </w:r>
    </w:p>
    <w:p>
      <w:pPr>
        <w:ind w:left="660"/>
        <w:spacing w:after="0"/>
        <w:tabs>
          <w:tab w:leader="none" w:pos="2080" w:val="left"/>
        </w:tabs>
        <w:rPr>
          <w:sz w:val="20"/>
          <w:szCs w:val="20"/>
          <w:color w:val="auto"/>
        </w:rPr>
      </w:pPr>
      <w:r>
        <w:rPr>
          <w:rFonts w:ascii="Arial" w:cs="Arial" w:eastAsia="Arial" w:hAnsi="Arial"/>
          <w:sz w:val="20"/>
          <w:szCs w:val="20"/>
          <w:u w:val="single" w:color="auto"/>
          <w:color w:val="auto"/>
        </w:rPr>
        <w:t>EXHIBIT B-1</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Outline of Suite 140 Space</w:t>
      </w:r>
    </w:p>
    <w:p>
      <w:pPr>
        <w:ind w:left="660"/>
        <w:spacing w:after="0"/>
        <w:tabs>
          <w:tab w:leader="none" w:pos="1900" w:val="left"/>
        </w:tabs>
        <w:rPr>
          <w:sz w:val="20"/>
          <w:szCs w:val="20"/>
          <w:color w:val="auto"/>
        </w:rPr>
      </w:pPr>
      <w:r>
        <w:rPr>
          <w:rFonts w:ascii="Arial" w:cs="Arial" w:eastAsia="Arial" w:hAnsi="Arial"/>
          <w:sz w:val="20"/>
          <w:szCs w:val="20"/>
          <w:u w:val="single" w:color="auto"/>
          <w:color w:val="auto"/>
        </w:rPr>
        <w:t>EXHIBIT C</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Termination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on following page)</w:t>
      </w:r>
    </w:p>
    <w:p>
      <w:pPr>
        <w:sectPr>
          <w:pgSz w:w="11900" w:h="16838" w:orient="portrait"/>
          <w:cols w:equalWidth="0" w:num="1">
            <w:col w:w="11420"/>
          </w:cols>
          <w:pgMar w:left="240" w:top="582" w:right="23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Landlord and Tenant have executed and entered into this Second Amendment to Lease Agreement effective as of the Effective Date.</w:t>
      </w:r>
    </w:p>
    <w:p>
      <w:pPr>
        <w:sectPr>
          <w:pgSz w:w="11900" w:h="16838" w:orient="portrait"/>
          <w:cols w:equalWidth="0" w:num="1">
            <w:col w:w="10480"/>
          </w:cols>
          <w:pgMar w:left="900" w:top="582"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920"/>
        <w:spacing w:after="0"/>
        <w:rPr>
          <w:sz w:val="20"/>
          <w:szCs w:val="20"/>
          <w:color w:val="auto"/>
        </w:rPr>
      </w:pPr>
      <w:r>
        <w:rPr>
          <w:rFonts w:ascii="Arial" w:cs="Arial" w:eastAsia="Arial" w:hAnsi="Arial"/>
          <w:sz w:val="20"/>
          <w:szCs w:val="20"/>
          <w:b w:val="1"/>
          <w:bCs w:val="1"/>
          <w:color w:val="auto"/>
        </w:rPr>
        <w:t>LANDLORD:</w:t>
      </w:r>
    </w:p>
    <w:p>
      <w:pPr>
        <w:spacing w:after="0" w:line="384"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BRI 1868 RIATA, LLC,</w:t>
      </w:r>
    </w:p>
    <w:p>
      <w:pPr>
        <w:spacing w:after="0" w:line="5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01" w:lineRule="exact"/>
        <w:rPr>
          <w:sz w:val="20"/>
          <w:szCs w:val="20"/>
          <w:color w:val="auto"/>
        </w:rPr>
      </w:pPr>
    </w:p>
    <w:p>
      <w:pPr>
        <w:ind w:left="4920"/>
        <w:spacing w:after="0"/>
        <w:tabs>
          <w:tab w:leader="none" w:pos="55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3488055</wp:posOffset>
            </wp:positionH>
            <wp:positionV relativeFrom="paragraph">
              <wp:posOffset>27305</wp:posOffset>
            </wp:positionV>
            <wp:extent cx="16808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47"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Name: Michael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3488055</wp:posOffset>
            </wp:positionH>
            <wp:positionV relativeFrom="paragraph">
              <wp:posOffset>27305</wp:posOffset>
            </wp:positionV>
            <wp:extent cx="16808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47" w:lineRule="exact"/>
        <w:rPr>
          <w:sz w:val="20"/>
          <w:szCs w:val="20"/>
          <w:color w:val="auto"/>
        </w:rPr>
      </w:pPr>
    </w:p>
    <w:p>
      <w:pPr>
        <w:ind w:left="4920"/>
        <w:spacing w:after="0"/>
        <w:tabs>
          <w:tab w:leader="none" w:pos="5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Director,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3488055</wp:posOffset>
            </wp:positionH>
            <wp:positionV relativeFrom="paragraph">
              <wp:posOffset>27305</wp:posOffset>
            </wp:positionV>
            <wp:extent cx="1680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TENANT:</w:t>
      </w:r>
    </w:p>
    <w:p>
      <w:pPr>
        <w:spacing w:after="0" w:line="384"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VERACYTE, INC.,</w:t>
      </w:r>
    </w:p>
    <w:p>
      <w:pPr>
        <w:spacing w:after="0" w:line="5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01" w:lineRule="exact"/>
        <w:rPr>
          <w:sz w:val="20"/>
          <w:szCs w:val="20"/>
          <w:color w:val="auto"/>
        </w:rPr>
      </w:pPr>
    </w:p>
    <w:p>
      <w:pPr>
        <w:ind w:left="4920"/>
        <w:spacing w:after="0"/>
        <w:tabs>
          <w:tab w:leader="none" w:pos="55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3488055</wp:posOffset>
            </wp:positionH>
            <wp:positionV relativeFrom="paragraph">
              <wp:posOffset>27305</wp:posOffset>
            </wp:positionV>
            <wp:extent cx="1680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47"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Name: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3488055</wp:posOffset>
            </wp:positionH>
            <wp:positionV relativeFrom="paragraph">
              <wp:posOffset>27305</wp:posOffset>
            </wp:positionV>
            <wp:extent cx="16808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47" w:lineRule="exact"/>
        <w:rPr>
          <w:sz w:val="20"/>
          <w:szCs w:val="20"/>
          <w:color w:val="auto"/>
        </w:rPr>
      </w:pPr>
    </w:p>
    <w:p>
      <w:pPr>
        <w:ind w:left="4920"/>
        <w:spacing w:after="0"/>
        <w:tabs>
          <w:tab w:leader="none" w:pos="5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3488055</wp:posOffset>
            </wp:positionH>
            <wp:positionV relativeFrom="paragraph">
              <wp:posOffset>27305</wp:posOffset>
            </wp:positionV>
            <wp:extent cx="16808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ectPr>
          <w:pgSz w:w="11900" w:h="16838" w:orient="portrait"/>
          <w:cols w:equalWidth="0" w:num="1">
            <w:col w:w="10480"/>
          </w:cols>
          <w:pgMar w:left="900" w:top="582" w:right="51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WORK LETTER</w:t>
      </w:r>
    </w:p>
    <w:p>
      <w:pPr>
        <w:spacing w:after="0" w:line="216" w:lineRule="exact"/>
        <w:rPr>
          <w:sz w:val="20"/>
          <w:szCs w:val="20"/>
          <w:color w:val="auto"/>
        </w:rPr>
      </w:pPr>
    </w:p>
    <w:p>
      <w:pPr>
        <w:jc w:val="both"/>
        <w:ind w:firstLine="656"/>
        <w:spacing w:after="0" w:line="273" w:lineRule="auto"/>
        <w:tabs>
          <w:tab w:leader="none" w:pos="1143"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Preliminary</w:t>
      </w:r>
      <w:r>
        <w:rPr>
          <w:rFonts w:ascii="Arial" w:cs="Arial" w:eastAsia="Arial" w:hAnsi="Arial"/>
          <w:sz w:val="19"/>
          <w:szCs w:val="19"/>
          <w:color w:val="auto"/>
        </w:rPr>
        <w:t>. This Work Letter governs the refurbishment of the Premises by Tenant. Landlord has no obligation to make</w:t>
      </w:r>
      <w:r>
        <w:rPr>
          <w:rFonts w:ascii="Arial" w:cs="Arial" w:eastAsia="Arial" w:hAnsi="Arial"/>
          <w:sz w:val="19"/>
          <w:szCs w:val="19"/>
          <w:b w:val="1"/>
          <w:bCs w:val="1"/>
          <w:color w:val="auto"/>
        </w:rPr>
        <w:t xml:space="preserve"> </w:t>
      </w:r>
      <w:r>
        <w:rPr>
          <w:rFonts w:ascii="Arial" w:cs="Arial" w:eastAsia="Arial" w:hAnsi="Arial"/>
          <w:sz w:val="19"/>
          <w:szCs w:val="19"/>
          <w:color w:val="auto"/>
        </w:rPr>
        <w:t>alterations or improvements to the Premises. Except for funding of the Construction Allowance pursuant to this Work Letter, Landlord has no obligation to contribute to cost of the Tenant Improvements or any other improvements to the Premises desired by Tenant.</w:t>
      </w:r>
    </w:p>
    <w:p>
      <w:pPr>
        <w:spacing w:after="0" w:line="159" w:lineRule="exact"/>
        <w:rPr>
          <w:rFonts w:ascii="Arial" w:cs="Arial" w:eastAsia="Arial" w:hAnsi="Arial"/>
          <w:sz w:val="19"/>
          <w:szCs w:val="19"/>
          <w:b w:val="1"/>
          <w:bCs w:val="1"/>
          <w:color w:val="auto"/>
        </w:rPr>
      </w:pPr>
    </w:p>
    <w:p>
      <w:pPr>
        <w:ind w:firstLine="656"/>
        <w:spacing w:after="0" w:line="267" w:lineRule="auto"/>
        <w:tabs>
          <w:tab w:leader="none" w:pos="1062"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color w:val="auto"/>
        </w:rPr>
        <w:t>. All capitalized terms used but not defined herein shall have the meanings set forth for such terms in the Lease (as</w:t>
      </w:r>
      <w:r>
        <w:rPr>
          <w:rFonts w:ascii="Arial" w:cs="Arial" w:eastAsia="Arial" w:hAnsi="Arial"/>
          <w:sz w:val="20"/>
          <w:szCs w:val="20"/>
          <w:b w:val="1"/>
          <w:bCs w:val="1"/>
          <w:color w:val="auto"/>
        </w:rPr>
        <w:t xml:space="preserve"> </w:t>
      </w:r>
      <w:r>
        <w:rPr>
          <w:rFonts w:ascii="Arial" w:cs="Arial" w:eastAsia="Arial" w:hAnsi="Arial"/>
          <w:sz w:val="20"/>
          <w:szCs w:val="20"/>
          <w:color w:val="auto"/>
        </w:rPr>
        <w:t>amended hereby). The following terms shall have the meanings set forth below:</w:t>
      </w:r>
    </w:p>
    <w:p>
      <w:pPr>
        <w:spacing w:after="0" w:line="169" w:lineRule="exact"/>
        <w:rPr>
          <w:rFonts w:ascii="Arial" w:cs="Arial" w:eastAsia="Arial" w:hAnsi="Arial"/>
          <w:sz w:val="20"/>
          <w:szCs w:val="20"/>
          <w:b w:val="1"/>
          <w:bCs w:val="1"/>
          <w:color w:val="auto"/>
        </w:rPr>
      </w:pPr>
    </w:p>
    <w:p>
      <w:pPr>
        <w:ind w:left="1720" w:hanging="415"/>
        <w:spacing w:after="0"/>
        <w:tabs>
          <w:tab w:leader="none" w:pos="1720" w:val="left"/>
        </w:tabs>
        <w:numPr>
          <w:ilvl w:val="1"/>
          <w:numId w:val="2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Architect</w:t>
      </w:r>
      <w:r>
        <w:rPr>
          <w:rFonts w:ascii="Arial" w:cs="Arial" w:eastAsia="Arial" w:hAnsi="Arial"/>
          <w:sz w:val="20"/>
          <w:szCs w:val="20"/>
          <w:color w:val="auto"/>
        </w:rPr>
        <w:t>” means the lauckgroup.</w:t>
      </w:r>
    </w:p>
    <w:p>
      <w:pPr>
        <w:spacing w:after="0" w:line="215" w:lineRule="exact"/>
        <w:rPr>
          <w:rFonts w:ascii="Arial" w:cs="Arial" w:eastAsia="Arial" w:hAnsi="Arial"/>
          <w:sz w:val="20"/>
          <w:szCs w:val="20"/>
          <w:color w:val="auto"/>
        </w:rPr>
      </w:pPr>
    </w:p>
    <w:p>
      <w:pPr>
        <w:jc w:val="both"/>
        <w:ind w:left="660" w:firstLine="645"/>
        <w:spacing w:after="0" w:line="246" w:lineRule="auto"/>
        <w:tabs>
          <w:tab w:leader="none" w:pos="1778" w:val="left"/>
        </w:tabs>
        <w:numPr>
          <w:ilvl w:val="1"/>
          <w:numId w:val="2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Construction Costs</w:t>
      </w:r>
      <w:r>
        <w:rPr>
          <w:rFonts w:ascii="Arial" w:cs="Arial" w:eastAsia="Arial" w:hAnsi="Arial"/>
          <w:sz w:val="20"/>
          <w:szCs w:val="20"/>
          <w:color w:val="auto"/>
        </w:rPr>
        <w:t>” means and includes only costs incurred in connection with the Tenant Improvements for (i) labor, materials and supplies for the Tenant Improvements, (ii) contractor, architectural, engineering, design and consultant/manager fees, (iii) preparation of the Space Plan, Final CDs and any other construction documents, (iv) general conditions and permitting costs/fees, (v) related taxes and insurance, and (vi) Landlord’s Fee (defined below).</w:t>
      </w:r>
    </w:p>
    <w:p>
      <w:pPr>
        <w:spacing w:after="0" w:line="191" w:lineRule="exact"/>
        <w:rPr>
          <w:rFonts w:ascii="Arial" w:cs="Arial" w:eastAsia="Arial" w:hAnsi="Arial"/>
          <w:sz w:val="20"/>
          <w:szCs w:val="20"/>
          <w:color w:val="auto"/>
        </w:rPr>
      </w:pPr>
    </w:p>
    <w:p>
      <w:pPr>
        <w:ind w:left="1720" w:hanging="415"/>
        <w:spacing w:after="0"/>
        <w:tabs>
          <w:tab w:leader="none" w:pos="1720" w:val="left"/>
        </w:tabs>
        <w:numPr>
          <w:ilvl w:val="1"/>
          <w:numId w:val="2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Construction Allowance</w:t>
      </w:r>
      <w:r>
        <w:rPr>
          <w:rFonts w:ascii="Arial" w:cs="Arial" w:eastAsia="Arial" w:hAnsi="Arial"/>
          <w:sz w:val="20"/>
          <w:szCs w:val="20"/>
          <w:color w:val="auto"/>
        </w:rPr>
        <w:t>” means the amount set forth in Section 5 of this Second Amendment.</w:t>
      </w:r>
    </w:p>
    <w:p>
      <w:pPr>
        <w:spacing w:after="0" w:line="215" w:lineRule="exact"/>
        <w:rPr>
          <w:rFonts w:ascii="Arial" w:cs="Arial" w:eastAsia="Arial" w:hAnsi="Arial"/>
          <w:sz w:val="20"/>
          <w:szCs w:val="20"/>
          <w:color w:val="auto"/>
        </w:rPr>
      </w:pPr>
    </w:p>
    <w:p>
      <w:pPr>
        <w:jc w:val="both"/>
        <w:ind w:left="660" w:firstLine="645"/>
        <w:spacing w:after="0" w:line="263" w:lineRule="auto"/>
        <w:tabs>
          <w:tab w:leader="none" w:pos="1737" w:val="left"/>
        </w:tabs>
        <w:numPr>
          <w:ilvl w:val="1"/>
          <w:numId w:val="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Preliminary Space Plan</w:t>
      </w:r>
      <w:r>
        <w:rPr>
          <w:rFonts w:ascii="Arial" w:cs="Arial" w:eastAsia="Arial" w:hAnsi="Arial"/>
          <w:sz w:val="19"/>
          <w:szCs w:val="19"/>
          <w:color w:val="auto"/>
        </w:rPr>
        <w:t>” means a space plan prepared by Architect depicting all improvements and alterations desired by Tenant to be installed or constructed in the Premises. Landlord shall provide to Tenant an allowance up to ONE THOUSAND THIRTY-SIX AND 40/100 DOLLARS ($1,036.40) to reimburse Tenant for the cost of one (1) test-fit plan (the “</w:t>
      </w:r>
      <w:r>
        <w:rPr>
          <w:rFonts w:ascii="Arial" w:cs="Arial" w:eastAsia="Arial" w:hAnsi="Arial"/>
          <w:sz w:val="19"/>
          <w:szCs w:val="19"/>
          <w:u w:val="single" w:color="auto"/>
          <w:color w:val="auto"/>
        </w:rPr>
        <w:t>Test-Fit Allowance</w:t>
      </w:r>
      <w:r>
        <w:rPr>
          <w:rFonts w:ascii="Arial" w:cs="Arial" w:eastAsia="Arial" w:hAnsi="Arial"/>
          <w:sz w:val="19"/>
          <w:szCs w:val="19"/>
          <w:color w:val="auto"/>
        </w:rPr>
        <w:t>”). The Test-Fit Allowance shall be in addition to, and shall not be deducted from, the Construction Allowance.</w:t>
      </w:r>
    </w:p>
    <w:p>
      <w:pPr>
        <w:spacing w:after="0" w:line="176" w:lineRule="exact"/>
        <w:rPr>
          <w:rFonts w:ascii="Arial" w:cs="Arial" w:eastAsia="Arial" w:hAnsi="Arial"/>
          <w:sz w:val="19"/>
          <w:szCs w:val="19"/>
          <w:color w:val="auto"/>
        </w:rPr>
      </w:pPr>
    </w:p>
    <w:p>
      <w:pPr>
        <w:jc w:val="both"/>
        <w:ind w:left="660" w:firstLine="645"/>
        <w:spacing w:after="0" w:line="250" w:lineRule="auto"/>
        <w:tabs>
          <w:tab w:leader="none" w:pos="1753" w:val="left"/>
        </w:tabs>
        <w:numPr>
          <w:ilvl w:val="1"/>
          <w:numId w:val="2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Preliminary CDs”</w:t>
      </w:r>
      <w:r>
        <w:rPr>
          <w:rFonts w:ascii="Arial" w:cs="Arial" w:eastAsia="Arial" w:hAnsi="Arial"/>
          <w:sz w:val="20"/>
          <w:szCs w:val="20"/>
          <w:color w:val="auto"/>
        </w:rPr>
        <w:t xml:space="preserve"> means preliminary plans and specifications (including architectural, structural, mechanical, electrical and plumbing drawings), consistent in all material respects with the Space Plan, prepared by Architect and detailing all improvements and/or alterations that Tenant proposes to install or construct in the Premises.</w:t>
      </w:r>
    </w:p>
    <w:p>
      <w:pPr>
        <w:spacing w:after="0" w:line="186" w:lineRule="exact"/>
        <w:rPr>
          <w:rFonts w:ascii="Arial" w:cs="Arial" w:eastAsia="Arial" w:hAnsi="Arial"/>
          <w:sz w:val="20"/>
          <w:szCs w:val="20"/>
          <w:color w:val="auto"/>
        </w:rPr>
      </w:pPr>
    </w:p>
    <w:p>
      <w:pPr>
        <w:ind w:left="1700" w:hanging="395"/>
        <w:spacing w:after="0"/>
        <w:tabs>
          <w:tab w:leader="none" w:pos="17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Space Plan</w:t>
      </w:r>
      <w:r>
        <w:rPr>
          <w:rFonts w:ascii="Arial" w:cs="Arial" w:eastAsia="Arial" w:hAnsi="Arial"/>
          <w:sz w:val="18"/>
          <w:szCs w:val="18"/>
          <w:color w:val="auto"/>
        </w:rPr>
        <w:t>" means the Preliminary Space Plan as finally approved in writing by Landlord and Tenant as provided below.</w:t>
      </w:r>
    </w:p>
    <w:p>
      <w:pPr>
        <w:spacing w:after="0" w:line="238" w:lineRule="exact"/>
        <w:rPr>
          <w:rFonts w:ascii="Arial" w:cs="Arial" w:eastAsia="Arial" w:hAnsi="Arial"/>
          <w:sz w:val="18"/>
          <w:szCs w:val="18"/>
          <w:color w:val="auto"/>
        </w:rPr>
      </w:pPr>
    </w:p>
    <w:p>
      <w:pPr>
        <w:ind w:left="660" w:right="20" w:firstLine="645"/>
        <w:spacing w:after="0" w:line="260" w:lineRule="auto"/>
        <w:tabs>
          <w:tab w:leader="none" w:pos="1854" w:val="left"/>
        </w:tabs>
        <w:numPr>
          <w:ilvl w:val="1"/>
          <w:numId w:val="2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 CDs</w:t>
      </w:r>
      <w:r>
        <w:rPr>
          <w:rFonts w:ascii="Arial" w:cs="Arial" w:eastAsia="Arial" w:hAnsi="Arial"/>
          <w:sz w:val="20"/>
          <w:szCs w:val="20"/>
          <w:color w:val="auto"/>
        </w:rPr>
        <w:t>” means the Preliminary CDs as finally approved in writing by Landlord and Tenant as provided below, as they may be amended from time to time by any Change Orders.</w:t>
      </w:r>
    </w:p>
    <w:p>
      <w:pPr>
        <w:spacing w:after="0" w:line="176" w:lineRule="exact"/>
        <w:rPr>
          <w:rFonts w:ascii="Arial" w:cs="Arial" w:eastAsia="Arial" w:hAnsi="Arial"/>
          <w:sz w:val="20"/>
          <w:szCs w:val="20"/>
          <w:color w:val="auto"/>
        </w:rPr>
      </w:pPr>
    </w:p>
    <w:p>
      <w:pPr>
        <w:ind w:left="660" w:firstLine="645"/>
        <w:spacing w:after="0" w:line="260" w:lineRule="auto"/>
        <w:tabs>
          <w:tab w:leader="none" w:pos="1854" w:val="left"/>
        </w:tabs>
        <w:numPr>
          <w:ilvl w:val="1"/>
          <w:numId w:val="2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Tenant Improvements</w:t>
      </w:r>
      <w:r>
        <w:rPr>
          <w:rFonts w:ascii="Arial" w:cs="Arial" w:eastAsia="Arial" w:hAnsi="Arial"/>
          <w:sz w:val="20"/>
          <w:szCs w:val="20"/>
          <w:color w:val="auto"/>
        </w:rPr>
        <w:t>” means all improvements, alterations, and work to be installed or performed in or made to the Premises as shown on the Final CDs.</w:t>
      </w:r>
    </w:p>
    <w:p>
      <w:pPr>
        <w:spacing w:after="0" w:line="170" w:lineRule="exact"/>
        <w:rPr>
          <w:rFonts w:ascii="Arial" w:cs="Arial" w:eastAsia="Arial" w:hAnsi="Arial"/>
          <w:sz w:val="20"/>
          <w:szCs w:val="20"/>
          <w:color w:val="auto"/>
        </w:rPr>
      </w:pPr>
    </w:p>
    <w:p>
      <w:pPr>
        <w:ind w:left="1000" w:hanging="344"/>
        <w:spacing w:after="0"/>
        <w:tabs>
          <w:tab w:leader="none" w:pos="100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Construction Documents</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left="660" w:firstLine="645"/>
        <w:spacing w:after="0" w:line="313" w:lineRule="auto"/>
        <w:tabs>
          <w:tab w:leader="none" w:pos="1861"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Space Plan</w:t>
      </w:r>
      <w:r>
        <w:rPr>
          <w:rFonts w:ascii="Arial" w:cs="Arial" w:eastAsia="Arial" w:hAnsi="Arial"/>
          <w:sz w:val="16"/>
          <w:szCs w:val="16"/>
          <w:color w:val="auto"/>
        </w:rPr>
        <w:t>. Within fourteen (14) days after the Effective Date, Tenant shall deliver the Preliminary Space Plan to Landlord in electronic Autocad format together with a full-size hard copy. Within ten (10) business days thereafter, Landlord shall notify Tenant in writing whether it approves or disapproves of the Preliminary Space Plan, and any disapproval shall include reasonable details of the reasons therefor, in which case Tenant shall revise the Preliminary Space Plan in accordance with Landlord's objections and submit a revised Preliminary Space Plan to Landlord. Within five (5) business days after such resubmission, Landlord shall notify Tenant in writing whether it approves or disapproves of the re-submitted Preliminary Space Plan, including reasonable details regarding any disapproval, and this process shall be repeated until the final Space Plan has been determined and approved by the parties.</w:t>
      </w:r>
    </w:p>
    <w:p>
      <w:pPr>
        <w:sectPr>
          <w:pgSz w:w="11900" w:h="16838" w:orient="portrait"/>
          <w:cols w:equalWidth="0" w:num="1">
            <w:col w:w="11420"/>
          </w:cols>
          <w:pgMar w:left="240" w:top="576" w:right="239" w:bottom="1440" w:gutter="0" w:footer="0" w:header="0"/>
        </w:sectPr>
      </w:pPr>
    </w:p>
    <w:bookmarkStart w:id="61" w:name="page62"/>
    <w:bookmarkEnd w:id="61"/>
    <w:p>
      <w:pPr>
        <w:jc w:val="both"/>
        <w:ind w:left="4" w:firstLine="645"/>
        <w:spacing w:after="0" w:line="242" w:lineRule="auto"/>
        <w:tabs>
          <w:tab w:leader="none" w:pos="1121" w:val="left"/>
        </w:tabs>
        <w:numPr>
          <w:ilvl w:val="1"/>
          <w:numId w:val="29"/>
        </w:numPr>
        <w:rPr>
          <w:rFonts w:ascii="Arial" w:cs="Arial" w:eastAsia="Arial" w:hAnsi="Arial"/>
          <w:sz w:val="20"/>
          <w:szCs w:val="20"/>
          <w:color w:val="auto"/>
        </w:rPr>
      </w:pPr>
      <w:r>
        <w:rPr>
          <w:rFonts w:ascii="Arial" w:cs="Arial" w:eastAsia="Arial" w:hAnsi="Arial"/>
          <w:sz w:val="20"/>
          <w:szCs w:val="20"/>
          <w:u w:val="single" w:color="auto"/>
          <w:color w:val="auto"/>
        </w:rPr>
        <w:t>Final CDs</w:t>
      </w:r>
      <w:r>
        <w:rPr>
          <w:rFonts w:ascii="Arial" w:cs="Arial" w:eastAsia="Arial" w:hAnsi="Arial"/>
          <w:sz w:val="20"/>
          <w:szCs w:val="20"/>
          <w:color w:val="auto"/>
        </w:rPr>
        <w:t>. Within sixty (60) days after final approval of the Space Plan, Tenant shall deliver the Preliminary CDs to Landlord in electronic Autocad format together with a full-size hard copy. Within ten (10) business days thereafter, Landlord shall notify Tenant in writing whether it approves or disapproves of the Preliminary CDs, and any disapproval shall include reasonable details of the reasons therefor, in which case Tenant shall revise the Preliminary CDs in accordance with Landlord's objections and submit revised Preliminary CDs to Landlord. Within five (5) business days after such resubmission, Landlord shall notify Tenant in writing whether it approves or disapproves of the re-submitted Preliminary CDs, including reasonable details regarding any disapproval, provided that Landlord shall only be entitled to disapprove any resubmitted Preliminary CDs to the extent the same fail to comply with Landlord’s prior reasons for disapproval. This process shall be repeated until the Final CDs have been determined and approved by the parties.</w:t>
      </w:r>
    </w:p>
    <w:p>
      <w:pPr>
        <w:spacing w:after="0" w:line="195" w:lineRule="exact"/>
        <w:rPr>
          <w:rFonts w:ascii="Arial" w:cs="Arial" w:eastAsia="Arial" w:hAnsi="Arial"/>
          <w:sz w:val="20"/>
          <w:szCs w:val="20"/>
          <w:color w:val="auto"/>
        </w:rPr>
      </w:pPr>
    </w:p>
    <w:p>
      <w:pPr>
        <w:jc w:val="both"/>
        <w:ind w:left="4" w:firstLine="645"/>
        <w:spacing w:after="0" w:line="276" w:lineRule="auto"/>
        <w:tabs>
          <w:tab w:leader="none" w:pos="107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Approval Standard</w:t>
      </w:r>
      <w:r>
        <w:rPr>
          <w:rFonts w:ascii="Arial" w:cs="Arial" w:eastAsia="Arial" w:hAnsi="Arial"/>
          <w:sz w:val="18"/>
          <w:szCs w:val="18"/>
          <w:color w:val="auto"/>
        </w:rPr>
        <w:t>. Landlord shall not unreasonably withhold, condition, or delay approval of the Preliminary Space Plan or Preliminary CDs, as applicable, unless same reveals a Design Problem, in which case Landlord may withhold approval in its absolute discretion. “</w:t>
      </w:r>
      <w:r>
        <w:rPr>
          <w:rFonts w:ascii="Arial" w:cs="Arial" w:eastAsia="Arial" w:hAnsi="Arial"/>
          <w:sz w:val="18"/>
          <w:szCs w:val="18"/>
          <w:u w:val="single" w:color="auto"/>
          <w:color w:val="auto"/>
        </w:rPr>
        <w:t>Design Problem</w:t>
      </w:r>
      <w:r>
        <w:rPr>
          <w:rFonts w:ascii="Arial" w:cs="Arial" w:eastAsia="Arial" w:hAnsi="Arial"/>
          <w:sz w:val="18"/>
          <w:szCs w:val="18"/>
          <w:color w:val="auto"/>
        </w:rPr>
        <w:t>” means a condition that results, or may result, from the Preliminary Space Plan or Preliminary CDs that, if implemented: (1) would not comply with applicable laws; (2) would not meet or exceed Building standard; (3) would exceed the capacity of Building’s Systems, or adversely affect maintenance or operation of the Building; or (4) would adversely affect the Building’s Structure, common areas, appearance of the Building or common areas, or premises of other tenants.</w:t>
      </w:r>
    </w:p>
    <w:p>
      <w:pPr>
        <w:spacing w:after="0" w:line="159" w:lineRule="exact"/>
        <w:rPr>
          <w:rFonts w:ascii="Arial" w:cs="Arial" w:eastAsia="Arial" w:hAnsi="Arial"/>
          <w:sz w:val="18"/>
          <w:szCs w:val="18"/>
          <w:color w:val="auto"/>
        </w:rPr>
      </w:pPr>
    </w:p>
    <w:p>
      <w:pPr>
        <w:ind w:left="344" w:hanging="344"/>
        <w:spacing w:after="0"/>
        <w:tabs>
          <w:tab w:leader="none" w:pos="344"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Contractors/Construction Contracts/Construction Budget</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left="4" w:firstLine="645"/>
        <w:spacing w:after="0" w:line="273"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Tenant shall bid the Tenant Improvements and select the General Contractor, subject to Landlord’s prior written approval. All subcontractors shall also be subject to Landlord’s prior written approval, such approval not to be unreasonably withheld. Notwithstanding the immediately foregoing sentence, or anything to the contrary contained herein, if any Tenant Improvements will affect the Building’s Structure or include any portion of the Building’s Structure, such Tenant Improvements shall be performed by contractors and subcontractors designated by Landlord, in Landlord’s sole and absolute discretion. Tenant shall enter into a construction contract with the General Contractor, which shall provide for, without limitation, (i) a one-year warranty for all of the Tenant Improvements, and (ii) a requirement that the General Contractor construct the Tenant Improvements in a good and workmanlike manner and in accordance with the Final CDs and all applicable laws and building codes.</w:t>
      </w:r>
    </w:p>
    <w:p>
      <w:pPr>
        <w:spacing w:after="0" w:line="169" w:lineRule="exact"/>
        <w:rPr>
          <w:sz w:val="20"/>
          <w:szCs w:val="20"/>
          <w:color w:val="auto"/>
        </w:rPr>
      </w:pPr>
    </w:p>
    <w:p>
      <w:pPr>
        <w:jc w:val="both"/>
        <w:ind w:left="4" w:right="20" w:firstLine="672"/>
        <w:spacing w:after="0" w:line="250" w:lineRule="auto"/>
        <w:tabs>
          <w:tab w:leader="none" w:pos="1234" w:val="left"/>
        </w:tabs>
        <w:numPr>
          <w:ilvl w:val="1"/>
          <w:numId w:val="31"/>
        </w:numPr>
        <w:rPr>
          <w:rFonts w:ascii="Arial" w:cs="Arial" w:eastAsia="Arial" w:hAnsi="Arial"/>
          <w:sz w:val="20"/>
          <w:szCs w:val="20"/>
          <w:color w:val="auto"/>
        </w:rPr>
      </w:pPr>
      <w:r>
        <w:rPr>
          <w:rFonts w:ascii="Arial" w:cs="Arial" w:eastAsia="Arial" w:hAnsi="Arial"/>
          <w:sz w:val="20"/>
          <w:szCs w:val="20"/>
          <w:color w:val="auto"/>
        </w:rPr>
        <w:t>General Contractor and all subcontractors must comply with all applicable laws (including, without limitation, any applicable union labor laws), and Landlord’s rules for contracted services in the Building, which are available from the Building management office.</w:t>
      </w:r>
    </w:p>
    <w:p>
      <w:pPr>
        <w:spacing w:after="0" w:line="186" w:lineRule="exact"/>
        <w:rPr>
          <w:rFonts w:ascii="Arial" w:cs="Arial" w:eastAsia="Arial" w:hAnsi="Arial"/>
          <w:sz w:val="20"/>
          <w:szCs w:val="20"/>
          <w:color w:val="auto"/>
        </w:rPr>
      </w:pPr>
    </w:p>
    <w:p>
      <w:pPr>
        <w:jc w:val="both"/>
        <w:ind w:left="4" w:firstLine="645"/>
        <w:spacing w:after="0" w:line="232" w:lineRule="exact"/>
        <w:tabs>
          <w:tab w:leader="none" w:pos="107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Tenant shall cause the General Contractor and all subcontractors to pay for and maintain during the Tenant Improvements construction period, customary insurance with licensed insurers for all insurable risks and liabilities relating to construction of the Tenant Improvements, pursuant to Landlord’s contractor insurance requirements which are available from the Building management office. Such insurance shall include commercial general liability with contractual liability coverage, and full replacement value property damage. The CGL policies shall name Landlord and the management company for the Building as additional insureds. All such policies shall include a waiver of subrogation in favor of Landlord and such management company. Such insurance shall be primary to any insurance carried by said additional insured parties (which shall be excess and non</w:t>
      </w:r>
      <w:r>
        <w:rPr>
          <w:rFonts w:ascii="MS PGothic" w:cs="MS PGothic" w:eastAsia="MS PGothic" w:hAnsi="MS PGothic"/>
          <w:sz w:val="18"/>
          <w:szCs w:val="18"/>
          <w:color w:val="auto"/>
        </w:rPr>
        <w:t>‑</w:t>
      </w:r>
      <w:r>
        <w:rPr>
          <w:rFonts w:ascii="Arial" w:cs="Arial" w:eastAsia="Arial" w:hAnsi="Arial"/>
          <w:sz w:val="18"/>
          <w:szCs w:val="18"/>
          <w:color w:val="auto"/>
        </w:rPr>
        <w:t>contributory). Certificates for such insurance and endorsements required hereunder must be delivered to Landlord before construction is commenced or any equipment or materials are moved onto the Project or into the Building in connection with the Tenant Improvements.</w:t>
      </w:r>
    </w:p>
    <w:p>
      <w:pPr>
        <w:spacing w:after="0" w:line="202" w:lineRule="exact"/>
        <w:rPr>
          <w:rFonts w:ascii="Arial" w:cs="Arial" w:eastAsia="Arial" w:hAnsi="Arial"/>
          <w:sz w:val="18"/>
          <w:szCs w:val="18"/>
          <w:color w:val="auto"/>
        </w:rPr>
      </w:pPr>
    </w:p>
    <w:p>
      <w:pPr>
        <w:ind w:left="4" w:firstLine="645"/>
        <w:spacing w:after="0" w:line="260" w:lineRule="auto"/>
        <w:tabs>
          <w:tab w:leader="none" w:pos="1131" w:val="left"/>
        </w:tabs>
        <w:numPr>
          <w:ilvl w:val="0"/>
          <w:numId w:val="32"/>
        </w:numPr>
        <w:rPr>
          <w:rFonts w:ascii="Arial" w:cs="Arial" w:eastAsia="Arial" w:hAnsi="Arial"/>
          <w:sz w:val="20"/>
          <w:szCs w:val="20"/>
          <w:color w:val="auto"/>
        </w:rPr>
      </w:pPr>
      <w:r>
        <w:rPr>
          <w:rFonts w:ascii="Arial" w:cs="Arial" w:eastAsia="Arial" w:hAnsi="Arial"/>
          <w:sz w:val="20"/>
          <w:szCs w:val="20"/>
          <w:color w:val="auto"/>
        </w:rPr>
        <w:t>Tenant shall deliver to Landlord for review and approval a construction budget setting forth the estimated Construction Costs (the “</w:t>
      </w:r>
      <w:r>
        <w:rPr>
          <w:rFonts w:ascii="Arial" w:cs="Arial" w:eastAsia="Arial" w:hAnsi="Arial"/>
          <w:sz w:val="20"/>
          <w:szCs w:val="20"/>
          <w:u w:val="single" w:color="auto"/>
          <w:color w:val="auto"/>
        </w:rPr>
        <w:t>Construction Budget</w:t>
      </w:r>
      <w:r>
        <w:rPr>
          <w:rFonts w:ascii="Arial" w:cs="Arial" w:eastAsia="Arial" w:hAnsi="Arial"/>
          <w:sz w:val="20"/>
          <w:szCs w:val="20"/>
          <w:color w:val="auto"/>
        </w:rPr>
        <w:t>”).</w:t>
      </w:r>
    </w:p>
    <w:p>
      <w:pPr>
        <w:sectPr>
          <w:pgSz w:w="11900" w:h="16838" w:orient="portrait"/>
          <w:cols w:equalWidth="0" w:num="1">
            <w:col w:w="10764"/>
          </w:cols>
          <w:pgMar w:left="896" w:top="582" w:right="239" w:bottom="1440" w:gutter="0" w:footer="0" w:header="0"/>
        </w:sectPr>
      </w:pPr>
    </w:p>
    <w:bookmarkStart w:id="62" w:name="page63"/>
    <w:bookmarkEnd w:id="62"/>
    <w:p>
      <w:pPr>
        <w:jc w:val="both"/>
        <w:ind w:left="-656" w:firstLine="656"/>
        <w:spacing w:after="0" w:line="243" w:lineRule="auto"/>
        <w:tabs>
          <w:tab w:leader="none" w:pos="338"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Construction of Tenant Improvements</w:t>
      </w:r>
      <w:r>
        <w:rPr>
          <w:rFonts w:ascii="Arial" w:cs="Arial" w:eastAsia="Arial" w:hAnsi="Arial"/>
          <w:sz w:val="20"/>
          <w:szCs w:val="20"/>
          <w:color w:val="auto"/>
        </w:rPr>
        <w:t>. Construction of the Tenant Improvements shall not be commenced until (i) Landlord and</w:t>
      </w:r>
      <w:r>
        <w:rPr>
          <w:rFonts w:ascii="Arial" w:cs="Arial" w:eastAsia="Arial" w:hAnsi="Arial"/>
          <w:sz w:val="20"/>
          <w:szCs w:val="20"/>
          <w:b w:val="1"/>
          <w:bCs w:val="1"/>
          <w:color w:val="auto"/>
        </w:rPr>
        <w:t xml:space="preserve"> </w:t>
      </w:r>
      <w:r>
        <w:rPr>
          <w:rFonts w:ascii="Arial" w:cs="Arial" w:eastAsia="Arial" w:hAnsi="Arial"/>
          <w:sz w:val="20"/>
          <w:szCs w:val="20"/>
          <w:color w:val="auto"/>
        </w:rPr>
        <w:t>Tenant have approved the Final CDs as set forth above, (ii) Tenant has obtained all necessary building permits; (iii) Landlord and Tenant have approved in writing the Construction Budget and a construction schedule, and (iv) Tenant has paid any Excess Costs required to be paid as set forth below. Promptly after satisfaction of the above requirements, Tenant shall commence construction of the Tenant Improvements and proceed to complete same in a diligent manner. Tenant shall cause the Tenant Improvements to be constructed in a good and workmanlike manner in accordance with the Final CDs and all applicable laws and building codes, and in such a manner and at such times so as not to interfere with the operation of the Building and the occupancy thereof by other tenants. Tenant will not permit any mechanics or materialmen’s liens to be filed against the Building.</w:t>
      </w:r>
    </w:p>
    <w:p>
      <w:pPr>
        <w:spacing w:after="0" w:line="189" w:lineRule="exact"/>
        <w:rPr>
          <w:rFonts w:ascii="Arial" w:cs="Arial" w:eastAsia="Arial" w:hAnsi="Arial"/>
          <w:sz w:val="20"/>
          <w:szCs w:val="20"/>
          <w:b w:val="1"/>
          <w:bCs w:val="1"/>
          <w:color w:val="auto"/>
        </w:rPr>
      </w:pPr>
    </w:p>
    <w:p>
      <w:pPr>
        <w:jc w:val="both"/>
        <w:ind w:left="-656" w:firstLine="656"/>
        <w:spacing w:after="0" w:line="245" w:lineRule="auto"/>
        <w:tabs>
          <w:tab w:leader="none" w:pos="379"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Change Orders</w:t>
      </w:r>
      <w:r>
        <w:rPr>
          <w:rFonts w:ascii="Arial" w:cs="Arial" w:eastAsia="Arial" w:hAnsi="Arial"/>
          <w:sz w:val="20"/>
          <w:szCs w:val="20"/>
          <w:color w:val="auto"/>
        </w:rPr>
        <w:t>. Before making material changes to the Final CDs, Tenant must submit to Landlord a change order request in a</w:t>
      </w:r>
      <w:r>
        <w:rPr>
          <w:rFonts w:ascii="Arial" w:cs="Arial" w:eastAsia="Arial" w:hAnsi="Arial"/>
          <w:sz w:val="20"/>
          <w:szCs w:val="20"/>
          <w:b w:val="1"/>
          <w:bCs w:val="1"/>
          <w:color w:val="auto"/>
        </w:rPr>
        <w:t xml:space="preserve"> </w:t>
      </w:r>
      <w:r>
        <w:rPr>
          <w:rFonts w:ascii="Arial" w:cs="Arial" w:eastAsia="Arial" w:hAnsi="Arial"/>
          <w:sz w:val="20"/>
          <w:szCs w:val="20"/>
          <w:color w:val="auto"/>
        </w:rPr>
        <w:t>commercially reasonable and customary form prepared by Architect. Landlord’s written approval or disapproval of such request shall be made within the time periods and governed by the standards for approval of the Preliminary CDs as described above. If Landlord approves such request, same shall be evidenced by a written change order executed by Landlord and Tenant (“</w:t>
      </w:r>
      <w:r>
        <w:rPr>
          <w:rFonts w:ascii="Arial" w:cs="Arial" w:eastAsia="Arial" w:hAnsi="Arial"/>
          <w:sz w:val="20"/>
          <w:szCs w:val="20"/>
          <w:u w:val="single" w:color="auto"/>
          <w:color w:val="auto"/>
        </w:rPr>
        <w:t>Change Order</w:t>
      </w:r>
      <w:r>
        <w:rPr>
          <w:rFonts w:ascii="Arial" w:cs="Arial" w:eastAsia="Arial" w:hAnsi="Arial"/>
          <w:sz w:val="20"/>
          <w:szCs w:val="20"/>
          <w:color w:val="auto"/>
        </w:rPr>
        <w:t>”), and any incremental, net increase in the cost of construction of the Tenant Improvements shall be added to Construction Costs, and the Construction Budget shall be automatically adjusted to include such costs.</w:t>
      </w:r>
    </w:p>
    <w:p>
      <w:pPr>
        <w:spacing w:after="0" w:line="185" w:lineRule="exact"/>
        <w:rPr>
          <w:rFonts w:ascii="Arial" w:cs="Arial" w:eastAsia="Arial" w:hAnsi="Arial"/>
          <w:sz w:val="20"/>
          <w:szCs w:val="20"/>
          <w:b w:val="1"/>
          <w:bCs w:val="1"/>
          <w:color w:val="auto"/>
        </w:rPr>
      </w:pPr>
    </w:p>
    <w:p>
      <w:pPr>
        <w:jc w:val="both"/>
        <w:ind w:left="-656" w:firstLine="656"/>
        <w:spacing w:after="0" w:line="275" w:lineRule="auto"/>
        <w:tabs>
          <w:tab w:leader="none" w:pos="419"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Substantial Completion; Punch-List</w:t>
      </w:r>
      <w:r>
        <w:rPr>
          <w:rFonts w:ascii="Arial" w:cs="Arial" w:eastAsia="Arial" w:hAnsi="Arial"/>
          <w:sz w:val="18"/>
          <w:szCs w:val="18"/>
          <w:color w:val="auto"/>
        </w:rPr>
        <w:t>. “</w:t>
      </w:r>
      <w:r>
        <w:rPr>
          <w:rFonts w:ascii="Arial" w:cs="Arial" w:eastAsia="Arial" w:hAnsi="Arial"/>
          <w:sz w:val="18"/>
          <w:szCs w:val="18"/>
          <w:u w:val="single" w:color="auto"/>
          <w:color w:val="auto"/>
        </w:rPr>
        <w:t>Substantial Completion</w:t>
      </w:r>
      <w:r>
        <w:rPr>
          <w:rFonts w:ascii="Arial" w:cs="Arial" w:eastAsia="Arial" w:hAnsi="Arial"/>
          <w:sz w:val="18"/>
          <w:szCs w:val="18"/>
          <w:color w:val="auto"/>
        </w:rPr>
        <w:t>” means that the Tenant Improvements have been substantially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in accordance with the Final CDs as reasonably determined by Architect (and confirmed by Landlord’s construction representative), even though minor details of construction, decoration, mechanical adjustments and other “punch-list” items may remain to be completed. Within three (3) business days after Substantial Completion, Landlord’s Representative and Tenant’s Representative shall conduct a walk-through of the Premises and identify any touch-up work and minor repairs that are necessary for final completion. Tenant shall cause the General Contractor to complete all such punch-list items within thirty (30) days after agreement thereon. Tenant or General Contractor shall file a Notice of Completion (or equivalent) after the Tenant Improvements are completed, if customary or required where the Building is located.</w:t>
      </w:r>
    </w:p>
    <w:p>
      <w:pPr>
        <w:spacing w:after="0" w:line="163" w:lineRule="exact"/>
        <w:rPr>
          <w:rFonts w:ascii="Arial" w:cs="Arial" w:eastAsia="Arial" w:hAnsi="Arial"/>
          <w:sz w:val="18"/>
          <w:szCs w:val="18"/>
          <w:b w:val="1"/>
          <w:bCs w:val="1"/>
          <w:color w:val="auto"/>
        </w:rPr>
      </w:pPr>
    </w:p>
    <w:p>
      <w:pPr>
        <w:ind w:left="344" w:hanging="344"/>
        <w:spacing w:after="0"/>
        <w:tabs>
          <w:tab w:leader="none" w:pos="344"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Payment for Tenant Improvements/Construction Allowance</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left="4" w:firstLine="645"/>
        <w:spacing w:after="0" w:line="246" w:lineRule="auto"/>
        <w:tabs>
          <w:tab w:leader="none" w:pos="1097" w:val="left"/>
        </w:tabs>
        <w:numPr>
          <w:ilvl w:val="1"/>
          <w:numId w:val="33"/>
        </w:numPr>
        <w:rPr>
          <w:rFonts w:ascii="Arial" w:cs="Arial" w:eastAsia="Arial" w:hAnsi="Arial"/>
          <w:sz w:val="20"/>
          <w:szCs w:val="20"/>
          <w:color w:val="auto"/>
        </w:rPr>
      </w:pPr>
      <w:r>
        <w:rPr>
          <w:rFonts w:ascii="Arial" w:cs="Arial" w:eastAsia="Arial" w:hAnsi="Arial"/>
          <w:sz w:val="20"/>
          <w:szCs w:val="20"/>
          <w:u w:val="single" w:color="auto"/>
          <w:color w:val="auto"/>
        </w:rPr>
        <w:t>Disbursement of Construction Allowance</w:t>
      </w:r>
      <w:r>
        <w:rPr>
          <w:rFonts w:ascii="Arial" w:cs="Arial" w:eastAsia="Arial" w:hAnsi="Arial"/>
          <w:sz w:val="20"/>
          <w:szCs w:val="20"/>
          <w:color w:val="auto"/>
        </w:rPr>
        <w:t>. Tenant shall be responsible for all Construction Costs, provided that Landlord will make available the Construction Allowance to be applied toward Construction Costs. During the construction of the Tenant Improvements, Landlord shall disburse the available Construction Allowance no more frequently than monthly for Construction Costs incurred by Tenant, as follows:</w:t>
      </w:r>
    </w:p>
    <w:p>
      <w:pPr>
        <w:spacing w:after="0" w:line="192" w:lineRule="exact"/>
        <w:rPr>
          <w:sz w:val="20"/>
          <w:szCs w:val="20"/>
          <w:color w:val="auto"/>
        </w:rPr>
      </w:pPr>
    </w:p>
    <w:p>
      <w:pPr>
        <w:jc w:val="both"/>
        <w:ind w:left="644" w:firstLine="5"/>
        <w:spacing w:after="0" w:line="269"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Interim Disbursements</w:t>
      </w:r>
      <w:r>
        <w:rPr>
          <w:rFonts w:ascii="Arial" w:cs="Arial" w:eastAsia="Arial" w:hAnsi="Arial"/>
          <w:sz w:val="18"/>
          <w:szCs w:val="18"/>
          <w:color w:val="auto"/>
        </w:rPr>
        <w:t>. On or before the fifth (5th) day of each calendar month during the construction of the Tenant Improvements (or such other date as Landlord may designate), Tenant shall deliver to Landlord each of the following: (A) a request for payment of the General Contractor approved by Tenant, in the appropriate AIA form or other form approved by Landlord showing the schedule, by trade, of percentage of completion of the Tenant Improvements, detailing the portion of the Tenant Improvements completed and the portion not completed, and demonstrating that the relationship between the Construction Costs completed and the Construction Costs to be completed complies with the terms of the Construction Budget,</w:t>
      </w:r>
    </w:p>
    <w:p>
      <w:pPr>
        <w:spacing w:after="0" w:line="1" w:lineRule="exact"/>
        <w:rPr>
          <w:rFonts w:ascii="Arial" w:cs="Arial" w:eastAsia="Arial" w:hAnsi="Arial"/>
          <w:sz w:val="18"/>
          <w:szCs w:val="18"/>
          <w:color w:val="auto"/>
        </w:rPr>
      </w:pPr>
    </w:p>
    <w:p>
      <w:pPr>
        <w:jc w:val="both"/>
        <w:ind w:left="644"/>
        <w:spacing w:after="0" w:line="270" w:lineRule="auto"/>
        <w:rPr>
          <w:rFonts w:ascii="Arial" w:cs="Arial" w:eastAsia="Arial" w:hAnsi="Arial"/>
          <w:sz w:val="18"/>
          <w:szCs w:val="18"/>
          <w:color w:val="auto"/>
        </w:rPr>
      </w:pPr>
      <w:r>
        <w:rPr>
          <w:rFonts w:ascii="Arial" w:cs="Arial" w:eastAsia="Arial" w:hAnsi="Arial"/>
          <w:sz w:val="18"/>
          <w:szCs w:val="18"/>
          <w:color w:val="auto"/>
        </w:rPr>
        <w:t>(B) copies of invoices from Tenant’s contractors for labor rendered and materials delivered to the Premises and for which payment is sought through the subject disbursement; and (C) executed mechanic’s lien releases from all of Tenant’s contractors for whom payment is sought and for all previous draws paid by Landlord in a form approved by Landlord (the foregoing being collectively referred to herein as an “</w:t>
      </w:r>
      <w:r>
        <w:rPr>
          <w:rFonts w:ascii="Arial" w:cs="Arial" w:eastAsia="Arial" w:hAnsi="Arial"/>
          <w:sz w:val="18"/>
          <w:szCs w:val="18"/>
          <w:u w:val="single" w:color="auto"/>
          <w:color w:val="auto"/>
        </w:rPr>
        <w:t>Interim Application for Payment</w:t>
      </w:r>
      <w:r>
        <w:rPr>
          <w:rFonts w:ascii="Arial" w:cs="Arial" w:eastAsia="Arial" w:hAnsi="Arial"/>
          <w:sz w:val="18"/>
          <w:szCs w:val="18"/>
          <w:color w:val="auto"/>
        </w:rPr>
        <w:t>”). Tenant’s submission of an Interim Application for Payment shall be deemed Tenant’s acceptance and approval of the portion of the Tenant Improvements furnished and/or the materials supplied as set forth in Tenant’s payment request. Subject to the terms of this Work Letter, on or before the thirtieth (30th) day of the following calendar month, Landlord shall deliver a check to Tenant or the General Contractor (as determined by Landlord in sole and absolute discretion) in payment of the lesser of (i) the amounts</w:t>
      </w:r>
    </w:p>
    <w:p>
      <w:pPr>
        <w:sectPr>
          <w:pgSz w:w="11900" w:h="16838" w:orient="portrait"/>
          <w:cols w:equalWidth="0" w:num="1">
            <w:col w:w="10764"/>
          </w:cols>
          <w:pgMar w:left="896" w:top="576" w:right="239" w:bottom="1440" w:gutter="0" w:footer="0" w:header="0"/>
        </w:sectPr>
      </w:pPr>
    </w:p>
    <w:bookmarkStart w:id="63" w:name="page64"/>
    <w:bookmarkEnd w:id="63"/>
    <w:p>
      <w:pPr>
        <w:jc w:val="both"/>
        <w:ind w:left="100"/>
        <w:spacing w:after="0" w:line="243" w:lineRule="auto"/>
        <w:rPr>
          <w:sz w:val="20"/>
          <w:szCs w:val="20"/>
          <w:color w:val="auto"/>
        </w:rPr>
      </w:pPr>
      <w:r>
        <w:rPr>
          <w:rFonts w:ascii="Arial" w:cs="Arial" w:eastAsia="Arial" w:hAnsi="Arial"/>
          <w:sz w:val="20"/>
          <w:szCs w:val="20"/>
          <w:color w:val="auto"/>
        </w:rPr>
        <w:t>so requested by Tenant, less a ten percent (10%) retention (the aggregate amount of such retentions to be known as the “</w:t>
      </w:r>
      <w:r>
        <w:rPr>
          <w:rFonts w:ascii="Arial" w:cs="Arial" w:eastAsia="Arial" w:hAnsi="Arial"/>
          <w:sz w:val="20"/>
          <w:szCs w:val="20"/>
          <w:u w:val="single" w:color="auto"/>
          <w:color w:val="auto"/>
        </w:rPr>
        <w:t>Retainage</w:t>
      </w:r>
      <w:r>
        <w:rPr>
          <w:rFonts w:ascii="Arial" w:cs="Arial" w:eastAsia="Arial" w:hAnsi="Arial"/>
          <w:sz w:val="20"/>
          <w:szCs w:val="20"/>
          <w:color w:val="auto"/>
        </w:rPr>
        <w:t>”) and (ii) the balance of any remaining available portion of the Construction Allowance (not including the Retainage), provided that Landlord does not dispute any request for payment based on non-compliance of any Tenant Improvements with the Final CDs, or due to any substandard work, or for any other reasonable reason. Landlord’s payment of any Interim Application for Payment or the Final Application for Payment (as hereinafter defined) shall not be deemed Landlord’s approval or acceptance of the work furnished or materials supplied as set forth in Tenant’s Interim Application for Payment or Final Application for Payment.</w:t>
      </w:r>
    </w:p>
    <w:p>
      <w:pPr>
        <w:spacing w:after="0" w:line="193" w:lineRule="exact"/>
        <w:rPr>
          <w:sz w:val="20"/>
          <w:szCs w:val="20"/>
          <w:color w:val="auto"/>
        </w:rPr>
      </w:pPr>
    </w:p>
    <w:p>
      <w:pPr>
        <w:jc w:val="both"/>
        <w:ind w:left="100" w:firstLine="653"/>
        <w:spacing w:after="0" w:line="268" w:lineRule="auto"/>
        <w:tabs>
          <w:tab w:leader="none" w:pos="1204"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Final Disbursement</w:t>
      </w:r>
      <w:r>
        <w:rPr>
          <w:rFonts w:ascii="Arial" w:cs="Arial" w:eastAsia="Arial" w:hAnsi="Arial"/>
          <w:sz w:val="18"/>
          <w:szCs w:val="18"/>
          <w:color w:val="auto"/>
        </w:rPr>
        <w:t>. Subject to the terms of this Work Letter, Landlord shall pay the Retainage to Tenant within thirty (30) days following the receipt by Landlord of an executed application for payment on the appropriate AIA form or other form approved by Landlord and the following items: (i) final lien waivers from all persons performing work or supplying or fabricating materials for the Tenant Improvements, fully executed, acknowledged and in recordable form, (ii) Tenant’s and Architect’s certification that the Tenant Improvements have been finally completed, including all punch-list items, on the appropriate AIA form or such other form as is approved by Landlord, (iii) copies of all certificates of occupancy, record drawings (electrical, mechanical, fire sprinkler, and architectural) and evidence that Tenant can lawfully occupy the Premises,</w:t>
      </w:r>
    </w:p>
    <w:p>
      <w:pPr>
        <w:spacing w:after="0" w:line="5" w:lineRule="exact"/>
        <w:rPr>
          <w:rFonts w:ascii="Arial" w:cs="Arial" w:eastAsia="Arial" w:hAnsi="Arial"/>
          <w:sz w:val="18"/>
          <w:szCs w:val="18"/>
          <w:color w:val="auto"/>
        </w:rPr>
      </w:pPr>
    </w:p>
    <w:p>
      <w:pPr>
        <w:jc w:val="both"/>
        <w:ind w:left="100" w:firstLine="5"/>
        <w:spacing w:after="0" w:line="270"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Landlord has determined that no substandard work exists which adversely affects the Building’s Systems or the Building’s Structure or exterior appearance of the Building, or any other tenant’s use of such other tenant’s leased premises in the Building, (v) evidence that Tenant has paid for all Excess Costs (if any), (vi) commissioning documents for any equipment installed as part of the Tenant Improvements that are tied into the Building’s Systems, and (vii) Tenant has furnished Landlord with an accurate architectural “as-built” plan of the Tenant Improvements as constructed in CADD format together with a hard copy thereof (collectively, a “</w:t>
      </w:r>
      <w:r>
        <w:rPr>
          <w:rFonts w:ascii="Arial" w:cs="Arial" w:eastAsia="Arial" w:hAnsi="Arial"/>
          <w:sz w:val="18"/>
          <w:szCs w:val="18"/>
          <w:u w:val="single" w:color="auto"/>
          <w:color w:val="auto"/>
        </w:rPr>
        <w:t>Final Application for Payment</w:t>
      </w:r>
      <w:r>
        <w:rPr>
          <w:rFonts w:ascii="Arial" w:cs="Arial" w:eastAsia="Arial" w:hAnsi="Arial"/>
          <w:sz w:val="18"/>
          <w:szCs w:val="18"/>
          <w:color w:val="auto"/>
        </w:rPr>
        <w:t>”). Tenant’s submission of a Final Application for Payment shall constitute Tenant’s warranty to Landlord that Tenant has inspected all of the Tenant Improvements and accepts same, provided that such representation does not constitute a waiver by Tenant of any claims against its contractors.</w:t>
      </w:r>
    </w:p>
    <w:p>
      <w:pPr>
        <w:spacing w:after="0" w:line="174" w:lineRule="exact"/>
        <w:rPr>
          <w:sz w:val="20"/>
          <w:szCs w:val="20"/>
          <w:color w:val="auto"/>
        </w:rPr>
      </w:pPr>
    </w:p>
    <w:p>
      <w:pPr>
        <w:jc w:val="both"/>
        <w:ind w:left="-540" w:firstLine="645"/>
        <w:spacing w:after="0" w:line="244" w:lineRule="auto"/>
        <w:tabs>
          <w:tab w:leader="none" w:pos="577"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Excess Costs</w:t>
      </w:r>
      <w:r>
        <w:rPr>
          <w:rFonts w:ascii="Arial" w:cs="Arial" w:eastAsia="Arial" w:hAnsi="Arial"/>
          <w:sz w:val="20"/>
          <w:szCs w:val="20"/>
          <w:color w:val="auto"/>
        </w:rPr>
        <w:t>. If the remaining Construction Costs as reflected in the Construction Budget are from time to time greater than the Construction Allowance then available for Construction Costs (any such positive difference being referred to herein as “</w:t>
      </w:r>
      <w:r>
        <w:rPr>
          <w:rFonts w:ascii="Arial" w:cs="Arial" w:eastAsia="Arial" w:hAnsi="Arial"/>
          <w:sz w:val="20"/>
          <w:szCs w:val="20"/>
          <w:u w:val="single" w:color="auto"/>
          <w:color w:val="auto"/>
        </w:rPr>
        <w:t>Excess</w:t>
      </w:r>
      <w:r>
        <w:rPr>
          <w:rFonts w:ascii="Arial" w:cs="Arial" w:eastAsia="Arial" w:hAnsi="Arial"/>
          <w:sz w:val="20"/>
          <w:szCs w:val="20"/>
          <w:color w:val="auto"/>
        </w:rPr>
        <w:t xml:space="preserve"> </w:t>
      </w:r>
      <w:r>
        <w:rPr>
          <w:rFonts w:ascii="Arial" w:cs="Arial" w:eastAsia="Arial" w:hAnsi="Arial"/>
          <w:sz w:val="20"/>
          <w:szCs w:val="20"/>
          <w:u w:val="single" w:color="auto"/>
          <w:color w:val="auto"/>
        </w:rPr>
        <w:t>Costs</w:t>
      </w:r>
      <w:r>
        <w:rPr>
          <w:rFonts w:ascii="Arial" w:cs="Arial" w:eastAsia="Arial" w:hAnsi="Arial"/>
          <w:sz w:val="20"/>
          <w:szCs w:val="20"/>
          <w:color w:val="auto"/>
        </w:rPr>
        <w:t>”), Landlord shall not be required to further disburse any of the Construction Allowance until Tenant has provided reasonable evidence that Tenant has paid the Construction Costs up to the full amount of the Excess Costs, or deposited with Landlord an amount equal to such Excess Costs.</w:t>
      </w:r>
    </w:p>
    <w:p>
      <w:pPr>
        <w:spacing w:after="0" w:line="194" w:lineRule="exact"/>
        <w:rPr>
          <w:rFonts w:ascii="Arial" w:cs="Arial" w:eastAsia="Arial" w:hAnsi="Arial"/>
          <w:sz w:val="20"/>
          <w:szCs w:val="20"/>
          <w:color w:val="auto"/>
        </w:rPr>
      </w:pPr>
    </w:p>
    <w:p>
      <w:pPr>
        <w:jc w:val="both"/>
        <w:ind w:left="-540" w:firstLine="645"/>
        <w:spacing w:after="0" w:line="271" w:lineRule="auto"/>
        <w:tabs>
          <w:tab w:leader="none" w:pos="539"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Additional Disbursement Conditions</w:t>
      </w:r>
      <w:r>
        <w:rPr>
          <w:rFonts w:ascii="Arial" w:cs="Arial" w:eastAsia="Arial" w:hAnsi="Arial"/>
          <w:sz w:val="18"/>
          <w:szCs w:val="18"/>
          <w:color w:val="auto"/>
        </w:rPr>
        <w:t>. Notwithstanding anything herein to the contrary, Landlord shall not be obligated to make any disbursement during the pendency of any of the following: (1) delinquent claims are outstanding as to any portion of the Tenant Improvements, other than claims which will be paid in full from such requested disbursement, (2) there is an unbonded lien outstanding against the Project, Building or Premises or Tenant’s interest therein by reason of the construction of the Tenant Improvements, (3) an Event of Default by Tenant then-exists under the Lease (as amended hereby), (4) an event or circumstance exists which, but for the passage of time or giving of notice, or both, could constitute an Event of Default by Tenant under the Lease (as amended hereby), or (5) Landlord has reasonably determined that substandard work exists which adversely affects the Building’s Structure or appearance of the Project, Building or common areas, or any other tenant’s use of its premises in the Building (but in such case Landlord may defer disbursement as to the substandard work only). Except as expressly set forth in Section 9 below, in no event will Tenant be entitled to payment of or credit for any portion of the Construction Allowance not used to pay Construction Costs.</w:t>
      </w:r>
    </w:p>
    <w:p>
      <w:pPr>
        <w:sectPr>
          <w:pgSz w:w="11900" w:h="16838" w:orient="portrait"/>
          <w:cols w:equalWidth="0" w:num="1">
            <w:col w:w="10220"/>
          </w:cols>
          <w:pgMar w:left="1440" w:top="582" w:right="239" w:bottom="1440" w:gutter="0" w:footer="0" w:header="0"/>
        </w:sectPr>
      </w:pPr>
    </w:p>
    <w:bookmarkStart w:id="64" w:name="page65"/>
    <w:bookmarkEnd w:id="64"/>
    <w:p>
      <w:pPr>
        <w:jc w:val="both"/>
        <w:ind w:left="652" w:firstLine="645"/>
        <w:spacing w:after="0" w:line="260" w:lineRule="auto"/>
        <w:tabs>
          <w:tab w:leader="none" w:pos="1810" w:val="left"/>
        </w:tabs>
        <w:numPr>
          <w:ilvl w:val="2"/>
          <w:numId w:val="38"/>
        </w:numPr>
        <w:rPr>
          <w:rFonts w:ascii="Arial" w:cs="Arial" w:eastAsia="Arial" w:hAnsi="Arial"/>
          <w:sz w:val="19"/>
          <w:szCs w:val="19"/>
          <w:color w:val="auto"/>
        </w:rPr>
      </w:pPr>
      <w:r>
        <w:rPr>
          <w:rFonts w:ascii="Arial" w:cs="Arial" w:eastAsia="Arial" w:hAnsi="Arial"/>
          <w:sz w:val="19"/>
          <w:szCs w:val="19"/>
          <w:u w:val="single" w:color="auto"/>
          <w:color w:val="auto"/>
        </w:rPr>
        <w:t>Disbursement Deadline</w:t>
      </w:r>
      <w:r>
        <w:rPr>
          <w:rFonts w:ascii="Arial" w:cs="Arial" w:eastAsia="Arial" w:hAnsi="Arial"/>
          <w:sz w:val="19"/>
          <w:szCs w:val="19"/>
          <w:color w:val="auto"/>
        </w:rPr>
        <w:t>. Notwithstanding anything herein to the contrary, if on December 31, 2020 there remains any unfunded balance of the Construction Allowance not then subject to a pending Interim Application for Payment (or Final Application for Payment), subject to written request for reimbursement of Generator Costs (as hereinafter defined), or subject to application towards Basic Rent next coming due under the Lease, as amended hereby (as set forth in Section 9 below), then Landlord shall have no further obligation to disburse such balance and Tenant shall have no further rights thereto.</w:t>
      </w:r>
    </w:p>
    <w:p>
      <w:pPr>
        <w:spacing w:after="0" w:line="174" w:lineRule="exact"/>
        <w:rPr>
          <w:rFonts w:ascii="Arial" w:cs="Arial" w:eastAsia="Arial" w:hAnsi="Arial"/>
          <w:sz w:val="19"/>
          <w:szCs w:val="19"/>
          <w:color w:val="auto"/>
        </w:rPr>
      </w:pPr>
    </w:p>
    <w:p>
      <w:pPr>
        <w:jc w:val="both"/>
        <w:ind w:left="-8" w:firstLine="656"/>
        <w:spacing w:after="0" w:line="306" w:lineRule="auto"/>
        <w:tabs>
          <w:tab w:leader="none" w:pos="1081" w:val="left"/>
        </w:tabs>
        <w:numPr>
          <w:ilvl w:val="1"/>
          <w:numId w:val="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Application of Unused Construction Allowance</w:t>
      </w:r>
      <w:r>
        <w:rPr>
          <w:rFonts w:ascii="Arial" w:cs="Arial" w:eastAsia="Arial" w:hAnsi="Arial"/>
          <w:sz w:val="16"/>
          <w:szCs w:val="16"/>
          <w:color w:val="auto"/>
        </w:rPr>
        <w:t>. As used herein, “</w:t>
      </w:r>
      <w:r>
        <w:rPr>
          <w:rFonts w:ascii="Arial" w:cs="Arial" w:eastAsia="Arial" w:hAnsi="Arial"/>
          <w:sz w:val="16"/>
          <w:szCs w:val="16"/>
          <w:u w:val="single" w:color="auto"/>
          <w:color w:val="auto"/>
        </w:rPr>
        <w:t>Generator Costs</w:t>
      </w:r>
      <w:r>
        <w:rPr>
          <w:rFonts w:ascii="Arial" w:cs="Arial" w:eastAsia="Arial" w:hAnsi="Arial"/>
          <w:sz w:val="16"/>
          <w:szCs w:val="16"/>
          <w:color w:val="auto"/>
        </w:rPr>
        <w:t>” means the reasonable costs of Tenant’s</w:t>
      </w:r>
      <w:r>
        <w:rPr>
          <w:rFonts w:ascii="Arial" w:cs="Arial" w:eastAsia="Arial" w:hAnsi="Arial"/>
          <w:sz w:val="16"/>
          <w:szCs w:val="16"/>
          <w:b w:val="1"/>
          <w:bCs w:val="1"/>
          <w:color w:val="auto"/>
        </w:rPr>
        <w:t xml:space="preserve"> </w:t>
      </w:r>
      <w:r>
        <w:rPr>
          <w:rFonts w:ascii="Arial" w:cs="Arial" w:eastAsia="Arial" w:hAnsi="Arial"/>
          <w:sz w:val="16"/>
          <w:szCs w:val="16"/>
          <w:color w:val="auto"/>
        </w:rPr>
        <w:t>replacement of the Generator (as defined in Section 26.4 of the Original Lease) serving the Premises. If (w) there then-exists no Event of Default by Tenant under the Lease, as amended hereby, (x) there then-exists no event or circumstance which, but for the passage of time or giving of notice, or both, could constitute an Event of Default by Tenant under the Lease, as amended hereby, (y) there are no Excess Costs, and</w:t>
      </w:r>
    </w:p>
    <w:p>
      <w:pPr>
        <w:spacing w:after="0" w:line="2" w:lineRule="exact"/>
        <w:rPr>
          <w:rFonts w:ascii="Arial" w:cs="Arial" w:eastAsia="Arial" w:hAnsi="Arial"/>
          <w:sz w:val="16"/>
          <w:szCs w:val="16"/>
          <w:b w:val="1"/>
          <w:bCs w:val="1"/>
          <w:color w:val="auto"/>
        </w:rPr>
      </w:pPr>
    </w:p>
    <w:p>
      <w:pPr>
        <w:jc w:val="both"/>
        <w:ind w:left="-8" w:firstLine="8"/>
        <w:spacing w:after="0" w:line="253" w:lineRule="auto"/>
        <w:tabs>
          <w:tab w:leader="none" w:pos="279"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there remains an unused portion of the Construction Allowance after payment of all Construction Costs, then the amount of said unused portion (but not more than an amount equal to FORTY-ONE THOUSAND FOUR HUNDRED FIFTY-SIX AND NO/100 DOLLARS [$41,456.00], the “</w:t>
      </w:r>
      <w:r>
        <w:rPr>
          <w:rFonts w:ascii="Arial" w:cs="Arial" w:eastAsia="Arial" w:hAnsi="Arial"/>
          <w:sz w:val="19"/>
          <w:szCs w:val="19"/>
          <w:u w:val="single" w:color="auto"/>
          <w:color w:val="auto"/>
        </w:rPr>
        <w:t>Unused Allowance</w:t>
      </w:r>
      <w:r>
        <w:rPr>
          <w:rFonts w:ascii="Arial" w:cs="Arial" w:eastAsia="Arial" w:hAnsi="Arial"/>
          <w:sz w:val="19"/>
          <w:szCs w:val="19"/>
          <w:color w:val="auto"/>
        </w:rPr>
        <w:t xml:space="preserve">”) shall, upon Tenant’s specific written request given to Landlord no later than December 31, 2020, be paid by Landlord to Tenant to reimburse Tenant for Generator Costs. To any extent that Tenant elects to receive any Unused Allowance in reimbursement of Generator Costs, then not later than December 31, 2020, Tenant shall submit to Landlord one (1) written request for reimbursement of Generator Costs, such to be accompanied by invoices reflecting such Generator Costs, and evidence of payment. Landlord shall reimburse Tenant for such Generator Costs up to the amount of the Unused Allowance within thirty (30) days after receipt of such written request. In addition, if (i) there then-exists no Event of Default by Tenant under the Lease, as amended hereby, (ii) there then-exists no event or circumstance which, but for the passage of time or giving of notice, or both, could constitute an Event of Default by Tenant under the Lease, as amended hereby, (iii) there are no Excess Costs, and (iv) there remains an unused portion of the Construction Allowance after payment of all Construction Costs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any Generator Costs, then the amount of said unused portion (but not more than an amount equal to FORTY-ONE THOUSAND FOUR HUNDRED FIFTY-SIX AND NO/100 DOLLARS [$41,456.00]) shall, upon Tenant’s specific written request given to Landlord no later than December 31, 2020, be applied by Landlord against Basic Rent (but not any other Rent) next coming due under the Lease, as amended hereby.</w:t>
      </w:r>
    </w:p>
    <w:p>
      <w:pPr>
        <w:spacing w:after="0" w:line="183" w:lineRule="exact"/>
        <w:rPr>
          <w:rFonts w:ascii="Arial" w:cs="Arial" w:eastAsia="Arial" w:hAnsi="Arial"/>
          <w:sz w:val="19"/>
          <w:szCs w:val="19"/>
          <w:color w:val="auto"/>
        </w:rPr>
      </w:pPr>
    </w:p>
    <w:p>
      <w:pPr>
        <w:jc w:val="both"/>
        <w:ind w:left="-8" w:firstLine="656"/>
        <w:spacing w:after="0" w:line="274" w:lineRule="auto"/>
        <w:tabs>
          <w:tab w:leader="none" w:pos="1153"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Landlord’s Oversight Role/Review</w:t>
      </w:r>
      <w:r>
        <w:rPr>
          <w:rFonts w:ascii="Arial" w:cs="Arial" w:eastAsia="Arial" w:hAnsi="Arial"/>
          <w:sz w:val="18"/>
          <w:szCs w:val="18"/>
          <w:color w:val="auto"/>
        </w:rPr>
        <w:t>. The parties acknowledge that neither Landlord nor its managing agent is an architect or</w:t>
      </w:r>
      <w:r>
        <w:rPr>
          <w:rFonts w:ascii="Arial" w:cs="Arial" w:eastAsia="Arial" w:hAnsi="Arial"/>
          <w:sz w:val="18"/>
          <w:szCs w:val="18"/>
          <w:b w:val="1"/>
          <w:bCs w:val="1"/>
          <w:color w:val="auto"/>
        </w:rPr>
        <w:t xml:space="preserve"> </w:t>
      </w:r>
      <w:r>
        <w:rPr>
          <w:rFonts w:ascii="Arial" w:cs="Arial" w:eastAsia="Arial" w:hAnsi="Arial"/>
          <w:sz w:val="18"/>
          <w:szCs w:val="18"/>
          <w:color w:val="auto"/>
        </w:rPr>
        <w:t>engineer, and that the Tenant Improvements will be designed and performed by independent architects, engineers and contractors engaged by Tenant. Landlord and its managing agent shall have no responsibility for construction means, methods or techniques or safety precautions in connection with the Tenant Improvements, and do not guarantee that the Space Plan or the Final CDs will be free from errors, omissions or defects or will comply with applicable laws, and shall have no liability therefore notwithstanding any approval thereof. Landlord's approval of the Space Plan, Final CDs, any Change Orders, and Landlord's designations, recommendations or approvals concerning Tenant's architects and contractors shall not be deemed a warranty as to the quality or adequacy thereof. Landlord may access and inspect the Premises and Tenant Improvements at all times during the planning and construction thereof to allow Landlord to monitor compliance with this Work Letter.</w:t>
      </w:r>
    </w:p>
    <w:p>
      <w:pPr>
        <w:spacing w:after="0" w:line="162" w:lineRule="exact"/>
        <w:rPr>
          <w:rFonts w:ascii="Arial" w:cs="Arial" w:eastAsia="Arial" w:hAnsi="Arial"/>
          <w:sz w:val="18"/>
          <w:szCs w:val="18"/>
          <w:b w:val="1"/>
          <w:bCs w:val="1"/>
          <w:color w:val="auto"/>
        </w:rPr>
      </w:pPr>
    </w:p>
    <w:p>
      <w:pPr>
        <w:jc w:val="both"/>
        <w:ind w:left="-8" w:firstLine="656"/>
        <w:spacing w:after="0" w:line="246" w:lineRule="auto"/>
        <w:tabs>
          <w:tab w:leader="none" w:pos="1183" w:val="left"/>
        </w:tabs>
        <w:numPr>
          <w:ilvl w:val="1"/>
          <w:numId w:val="4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Landlord’s Fee</w:t>
      </w:r>
      <w:r>
        <w:rPr>
          <w:rFonts w:ascii="Arial" w:cs="Arial" w:eastAsia="Arial" w:hAnsi="Arial"/>
          <w:sz w:val="20"/>
          <w:szCs w:val="20"/>
          <w:color w:val="auto"/>
        </w:rPr>
        <w:t>. Tenant shall pay Landlord or Landlord’s designated agent a fee in the amount of one percent (1%)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Construction Costs (“</w:t>
      </w:r>
      <w:r>
        <w:rPr>
          <w:rFonts w:ascii="Arial" w:cs="Arial" w:eastAsia="Arial" w:hAnsi="Arial"/>
          <w:sz w:val="20"/>
          <w:szCs w:val="20"/>
          <w:u w:val="single" w:color="auto"/>
          <w:color w:val="auto"/>
        </w:rPr>
        <w:t>Landlord’s Fee</w:t>
      </w:r>
      <w:r>
        <w:rPr>
          <w:rFonts w:ascii="Arial" w:cs="Arial" w:eastAsia="Arial" w:hAnsi="Arial"/>
          <w:sz w:val="20"/>
          <w:szCs w:val="20"/>
          <w:color w:val="auto"/>
        </w:rPr>
        <w:t>”) to compensate Landlord for administrative costs of review of the Space Plan and Final CDs (and any preliminary versions thereof), disbursement of the Construction Allowance, review of any Change Order requests, and assisting Tenant and its contractors with the coordination of the construction of the Tenant Improvements. The Landlord’s Fee shall be included in the Construction Budget and charged against the Construction Allowance.</w:t>
      </w:r>
    </w:p>
    <w:p>
      <w:pPr>
        <w:sectPr>
          <w:pgSz w:w="11900" w:h="16838" w:orient="portrait"/>
          <w:cols w:equalWidth="0" w:num="1">
            <w:col w:w="11412"/>
          </w:cols>
          <w:pgMar w:left="248" w:top="582" w:right="239" w:bottom="1440" w:gutter="0" w:footer="0" w:header="0"/>
        </w:sectPr>
      </w:pPr>
    </w:p>
    <w:bookmarkStart w:id="65" w:name="page66"/>
    <w:bookmarkEnd w:id="65"/>
    <w:p>
      <w:pPr>
        <w:ind w:left="-656" w:firstLine="656"/>
        <w:spacing w:after="0" w:line="267" w:lineRule="auto"/>
        <w:tabs>
          <w:tab w:leader="none" w:pos="64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Representatives</w:t>
      </w:r>
      <w:r>
        <w:rPr>
          <w:rFonts w:ascii="Arial" w:cs="Arial" w:eastAsia="Arial" w:hAnsi="Arial"/>
          <w:sz w:val="20"/>
          <w:szCs w:val="20"/>
          <w:color w:val="auto"/>
        </w:rPr>
        <w:t>. Landlord’s and Tenant’s representatives for coordination of construction and approval of construction</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are as follows:</w:t>
      </w:r>
    </w:p>
    <w:p>
      <w:pPr>
        <w:spacing w:after="0" w:line="169"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r>
              <w:rPr>
                <w:rFonts w:ascii="Arial" w:cs="Arial" w:eastAsia="Arial" w:hAnsi="Arial"/>
                <w:sz w:val="20"/>
                <w:szCs w:val="20"/>
                <w:color w:val="auto"/>
                <w:w w:val="98"/>
              </w:rPr>
              <w:t>Landlord’s Representative:</w:t>
            </w:r>
          </w:p>
        </w:tc>
        <w:tc>
          <w:tcPr>
            <w:tcW w:w="3140" w:type="dxa"/>
            <w:vAlign w:val="bottom"/>
            <w:gridSpan w:val="3"/>
          </w:tcPr>
          <w:p>
            <w:pPr>
              <w:ind w:left="220"/>
              <w:spacing w:after="0"/>
              <w:rPr>
                <w:sz w:val="20"/>
                <w:szCs w:val="20"/>
                <w:color w:val="auto"/>
              </w:rPr>
            </w:pPr>
            <w:r>
              <w:rPr>
                <w:rFonts w:ascii="Arial" w:cs="Arial" w:eastAsia="Arial" w:hAnsi="Arial"/>
                <w:sz w:val="20"/>
                <w:szCs w:val="20"/>
                <w:color w:val="auto"/>
              </w:rPr>
              <w:t>Jenna Duke</w:t>
            </w:r>
          </w:p>
        </w:tc>
      </w:tr>
      <w:tr>
        <w:trPr>
          <w:trHeight w:val="230"/>
        </w:trPr>
        <w:tc>
          <w:tcPr>
            <w:tcW w:w="2360" w:type="dxa"/>
            <w:vAlign w:val="bottom"/>
          </w:tcPr>
          <w:p>
            <w:pPr>
              <w:spacing w:after="0"/>
              <w:rPr>
                <w:sz w:val="19"/>
                <w:szCs w:val="19"/>
                <w:color w:val="auto"/>
              </w:rPr>
            </w:pPr>
          </w:p>
        </w:tc>
        <w:tc>
          <w:tcPr>
            <w:tcW w:w="3140" w:type="dxa"/>
            <w:vAlign w:val="bottom"/>
            <w:gridSpan w:val="3"/>
          </w:tcPr>
          <w:p>
            <w:pPr>
              <w:ind w:left="220"/>
              <w:spacing w:after="0"/>
              <w:rPr>
                <w:sz w:val="20"/>
                <w:szCs w:val="20"/>
                <w:color w:val="auto"/>
              </w:rPr>
            </w:pPr>
            <w:r>
              <w:rPr>
                <w:rFonts w:ascii="Arial" w:cs="Arial" w:eastAsia="Arial" w:hAnsi="Arial"/>
                <w:sz w:val="20"/>
                <w:szCs w:val="20"/>
                <w:color w:val="auto"/>
              </w:rPr>
              <w:t>Property Manager</w:t>
            </w:r>
          </w:p>
        </w:tc>
      </w:tr>
      <w:tr>
        <w:trPr>
          <w:trHeight w:val="230"/>
        </w:trPr>
        <w:tc>
          <w:tcPr>
            <w:tcW w:w="2360" w:type="dxa"/>
            <w:vAlign w:val="bottom"/>
          </w:tcPr>
          <w:p>
            <w:pPr>
              <w:spacing w:after="0"/>
              <w:rPr>
                <w:sz w:val="19"/>
                <w:szCs w:val="19"/>
                <w:color w:val="auto"/>
              </w:rPr>
            </w:pPr>
          </w:p>
        </w:tc>
        <w:tc>
          <w:tcPr>
            <w:tcW w:w="3140" w:type="dxa"/>
            <w:vAlign w:val="bottom"/>
            <w:gridSpan w:val="3"/>
          </w:tcPr>
          <w:p>
            <w:pPr>
              <w:ind w:left="220"/>
              <w:spacing w:after="0"/>
              <w:rPr>
                <w:sz w:val="20"/>
                <w:szCs w:val="20"/>
                <w:color w:val="auto"/>
              </w:rPr>
            </w:pPr>
            <w:r>
              <w:rPr>
                <w:rFonts w:ascii="Arial" w:cs="Arial" w:eastAsia="Arial" w:hAnsi="Arial"/>
                <w:sz w:val="20"/>
                <w:szCs w:val="20"/>
                <w:color w:val="auto"/>
              </w:rPr>
              <w:t>Accesso Services-</w:t>
            </w:r>
          </w:p>
        </w:tc>
      </w:tr>
      <w:tr>
        <w:trPr>
          <w:trHeight w:val="230"/>
        </w:trPr>
        <w:tc>
          <w:tcPr>
            <w:tcW w:w="2360" w:type="dxa"/>
            <w:vAlign w:val="bottom"/>
          </w:tcPr>
          <w:p>
            <w:pPr>
              <w:spacing w:after="0"/>
              <w:rPr>
                <w:sz w:val="19"/>
                <w:szCs w:val="19"/>
                <w:color w:val="auto"/>
              </w:rPr>
            </w:pPr>
          </w:p>
        </w:tc>
        <w:tc>
          <w:tcPr>
            <w:tcW w:w="3140" w:type="dxa"/>
            <w:vAlign w:val="bottom"/>
            <w:gridSpan w:val="3"/>
          </w:tcPr>
          <w:p>
            <w:pPr>
              <w:ind w:left="220"/>
              <w:spacing w:after="0"/>
              <w:rPr>
                <w:sz w:val="20"/>
                <w:szCs w:val="20"/>
                <w:color w:val="auto"/>
              </w:rPr>
            </w:pPr>
            <w:r>
              <w:rPr>
                <w:rFonts w:ascii="Arial" w:cs="Arial" w:eastAsia="Arial" w:hAnsi="Arial"/>
                <w:sz w:val="20"/>
                <w:szCs w:val="20"/>
                <w:color w:val="auto"/>
              </w:rPr>
              <w:t>Telephone: 512-336-0633</w:t>
            </w:r>
          </w:p>
        </w:tc>
      </w:tr>
      <w:tr>
        <w:trPr>
          <w:trHeight w:val="206"/>
        </w:trPr>
        <w:tc>
          <w:tcPr>
            <w:tcW w:w="2360" w:type="dxa"/>
            <w:vAlign w:val="bottom"/>
          </w:tcPr>
          <w:p>
            <w:pPr>
              <w:spacing w:after="0"/>
              <w:rPr>
                <w:sz w:val="17"/>
                <w:szCs w:val="17"/>
                <w:color w:val="auto"/>
              </w:rPr>
            </w:pPr>
          </w:p>
        </w:tc>
        <w:tc>
          <w:tcPr>
            <w:tcW w:w="3140" w:type="dxa"/>
            <w:vAlign w:val="bottom"/>
            <w:gridSpan w:val="3"/>
          </w:tcPr>
          <w:p>
            <w:pPr>
              <w:ind w:left="220"/>
              <w:spacing w:after="0" w:line="206" w:lineRule="exact"/>
              <w:rPr>
                <w:sz w:val="20"/>
                <w:szCs w:val="20"/>
                <w:color w:val="auto"/>
              </w:rPr>
            </w:pPr>
            <w:r>
              <w:rPr>
                <w:rFonts w:ascii="Arial" w:cs="Arial" w:eastAsia="Arial" w:hAnsi="Arial"/>
                <w:sz w:val="20"/>
                <w:szCs w:val="20"/>
                <w:color w:val="auto"/>
                <w:w w:val="90"/>
              </w:rPr>
              <w:t xml:space="preserve">Email: </w:t>
            </w:r>
            <w:r>
              <w:rPr>
                <w:rFonts w:ascii="Arial" w:cs="Arial" w:eastAsia="Arial" w:hAnsi="Arial"/>
                <w:sz w:val="20"/>
                <w:szCs w:val="20"/>
                <w:color w:val="0000FF"/>
                <w:w w:val="90"/>
              </w:rPr>
              <w:t>jduke@accessoservices.com</w:t>
            </w:r>
          </w:p>
        </w:tc>
      </w:tr>
      <w:tr>
        <w:trPr>
          <w:trHeight w:val="20"/>
        </w:trPr>
        <w:tc>
          <w:tcPr>
            <w:tcW w:w="2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3"/>
        </w:trPr>
        <w:tc>
          <w:tcPr>
            <w:tcW w:w="2360" w:type="dxa"/>
            <w:vAlign w:val="bottom"/>
          </w:tcPr>
          <w:p>
            <w:pPr>
              <w:spacing w:after="0"/>
              <w:rPr>
                <w:sz w:val="20"/>
                <w:szCs w:val="20"/>
                <w:color w:val="auto"/>
              </w:rPr>
            </w:pPr>
            <w:r>
              <w:rPr>
                <w:rFonts w:ascii="Arial" w:cs="Arial" w:eastAsia="Arial" w:hAnsi="Arial"/>
                <w:sz w:val="20"/>
                <w:szCs w:val="20"/>
                <w:color w:val="auto"/>
              </w:rPr>
              <w:t>Tenant’s Representative:</w:t>
            </w:r>
          </w:p>
        </w:tc>
        <w:tc>
          <w:tcPr>
            <w:tcW w:w="3140" w:type="dxa"/>
            <w:vAlign w:val="bottom"/>
            <w:gridSpan w:val="3"/>
          </w:tcPr>
          <w:p>
            <w:pPr>
              <w:ind w:left="220"/>
              <w:spacing w:after="0"/>
              <w:rPr>
                <w:sz w:val="20"/>
                <w:szCs w:val="20"/>
                <w:color w:val="auto"/>
              </w:rPr>
            </w:pPr>
            <w:r>
              <w:rPr>
                <w:rFonts w:ascii="Arial" w:cs="Arial" w:eastAsia="Arial" w:hAnsi="Arial"/>
                <w:sz w:val="20"/>
                <w:szCs w:val="20"/>
                <w:color w:val="auto"/>
                <w:w w:val="89"/>
              </w:rPr>
              <w:t>_____________________________</w:t>
            </w:r>
          </w:p>
        </w:tc>
      </w:tr>
      <w:tr>
        <w:trPr>
          <w:trHeight w:val="230"/>
        </w:trPr>
        <w:tc>
          <w:tcPr>
            <w:tcW w:w="2360" w:type="dxa"/>
            <w:vAlign w:val="bottom"/>
          </w:tcPr>
          <w:p>
            <w:pPr>
              <w:spacing w:after="0"/>
              <w:rPr>
                <w:sz w:val="19"/>
                <w:szCs w:val="19"/>
                <w:color w:val="auto"/>
              </w:rPr>
            </w:pPr>
          </w:p>
        </w:tc>
        <w:tc>
          <w:tcPr>
            <w:tcW w:w="3140" w:type="dxa"/>
            <w:vAlign w:val="bottom"/>
            <w:gridSpan w:val="3"/>
          </w:tcPr>
          <w:p>
            <w:pPr>
              <w:ind w:left="220"/>
              <w:spacing w:after="0"/>
              <w:rPr>
                <w:sz w:val="20"/>
                <w:szCs w:val="20"/>
                <w:color w:val="auto"/>
              </w:rPr>
            </w:pPr>
            <w:r>
              <w:rPr>
                <w:rFonts w:ascii="Arial" w:cs="Arial" w:eastAsia="Arial" w:hAnsi="Arial"/>
                <w:sz w:val="20"/>
                <w:szCs w:val="20"/>
                <w:color w:val="auto"/>
                <w:w w:val="89"/>
              </w:rPr>
              <w:t>_____________________________</w:t>
            </w:r>
          </w:p>
        </w:tc>
      </w:tr>
      <w:tr>
        <w:trPr>
          <w:trHeight w:val="230"/>
        </w:trPr>
        <w:tc>
          <w:tcPr>
            <w:tcW w:w="2360" w:type="dxa"/>
            <w:vAlign w:val="bottom"/>
          </w:tcPr>
          <w:p>
            <w:pPr>
              <w:spacing w:after="0"/>
              <w:rPr>
                <w:sz w:val="19"/>
                <w:szCs w:val="19"/>
                <w:color w:val="auto"/>
              </w:rPr>
            </w:pPr>
          </w:p>
        </w:tc>
        <w:tc>
          <w:tcPr>
            <w:tcW w:w="3140" w:type="dxa"/>
            <w:vAlign w:val="bottom"/>
            <w:gridSpan w:val="3"/>
          </w:tcPr>
          <w:p>
            <w:pPr>
              <w:ind w:left="220"/>
              <w:spacing w:after="0"/>
              <w:rPr>
                <w:sz w:val="20"/>
                <w:szCs w:val="20"/>
                <w:color w:val="auto"/>
              </w:rPr>
            </w:pPr>
            <w:r>
              <w:rPr>
                <w:rFonts w:ascii="Arial" w:cs="Arial" w:eastAsia="Arial" w:hAnsi="Arial"/>
                <w:sz w:val="20"/>
                <w:szCs w:val="20"/>
                <w:color w:val="auto"/>
                <w:w w:val="89"/>
              </w:rPr>
              <w:t>_____________________________</w:t>
            </w:r>
          </w:p>
        </w:tc>
      </w:tr>
      <w:tr>
        <w:trPr>
          <w:trHeight w:val="230"/>
        </w:trPr>
        <w:tc>
          <w:tcPr>
            <w:tcW w:w="2360" w:type="dxa"/>
            <w:vAlign w:val="bottom"/>
          </w:tcPr>
          <w:p>
            <w:pPr>
              <w:spacing w:after="0"/>
              <w:rPr>
                <w:sz w:val="19"/>
                <w:szCs w:val="19"/>
                <w:color w:val="auto"/>
              </w:rPr>
            </w:pPr>
          </w:p>
        </w:tc>
        <w:tc>
          <w:tcPr>
            <w:tcW w:w="3140" w:type="dxa"/>
            <w:vAlign w:val="bottom"/>
            <w:gridSpan w:val="3"/>
          </w:tcPr>
          <w:p>
            <w:pPr>
              <w:ind w:left="220"/>
              <w:spacing w:after="0"/>
              <w:rPr>
                <w:sz w:val="20"/>
                <w:szCs w:val="20"/>
                <w:color w:val="auto"/>
              </w:rPr>
            </w:pPr>
            <w:r>
              <w:rPr>
                <w:rFonts w:ascii="Arial" w:cs="Arial" w:eastAsia="Arial" w:hAnsi="Arial"/>
                <w:sz w:val="20"/>
                <w:szCs w:val="20"/>
                <w:color w:val="auto"/>
                <w:w w:val="88"/>
              </w:rPr>
              <w:t>Telephone: ____________________</w:t>
            </w:r>
          </w:p>
        </w:tc>
      </w:tr>
      <w:tr>
        <w:trPr>
          <w:trHeight w:val="250"/>
        </w:trPr>
        <w:tc>
          <w:tcPr>
            <w:tcW w:w="2360" w:type="dxa"/>
            <w:vAlign w:val="bottom"/>
          </w:tcPr>
          <w:p>
            <w:pPr>
              <w:spacing w:after="0"/>
              <w:rPr>
                <w:sz w:val="21"/>
                <w:szCs w:val="21"/>
                <w:color w:val="auto"/>
              </w:rPr>
            </w:pPr>
          </w:p>
        </w:tc>
        <w:tc>
          <w:tcPr>
            <w:tcW w:w="3140" w:type="dxa"/>
            <w:vAlign w:val="bottom"/>
            <w:gridSpan w:val="3"/>
          </w:tcPr>
          <w:p>
            <w:pPr>
              <w:ind w:left="220"/>
              <w:spacing w:after="0"/>
              <w:rPr>
                <w:sz w:val="20"/>
                <w:szCs w:val="20"/>
                <w:color w:val="auto"/>
              </w:rPr>
            </w:pPr>
            <w:r>
              <w:rPr>
                <w:rFonts w:ascii="Arial" w:cs="Arial" w:eastAsia="Arial" w:hAnsi="Arial"/>
                <w:sz w:val="20"/>
                <w:szCs w:val="20"/>
                <w:color w:val="auto"/>
                <w:w w:val="91"/>
              </w:rPr>
              <w:t>Email: _______________________</w:t>
            </w:r>
          </w:p>
        </w:tc>
      </w:tr>
    </w:tbl>
    <w:p>
      <w:pPr>
        <w:spacing w:after="0" w:line="203" w:lineRule="exact"/>
        <w:rPr>
          <w:sz w:val="20"/>
          <w:szCs w:val="20"/>
          <w:color w:val="auto"/>
        </w:rPr>
      </w:pPr>
    </w:p>
    <w:p>
      <w:pPr>
        <w:jc w:val="both"/>
        <w:ind w:left="-656" w:right="20" w:firstLine="656"/>
        <w:spacing w:after="0" w:line="236" w:lineRule="exact"/>
        <w:tabs>
          <w:tab w:leader="none" w:pos="464"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 The Lease and this Second Amendment (including this Work Letter) are not intended to create any third</w:t>
      </w:r>
      <w:r>
        <w:rPr>
          <w:rFonts w:ascii="MS PGothic" w:cs="MS PGothic" w:eastAsia="MS PGothic" w:hAnsi="MS PGothic"/>
          <w:sz w:val="20"/>
          <w:szCs w:val="20"/>
          <w:color w:val="auto"/>
        </w:rPr>
        <w:t>‑</w:t>
      </w:r>
      <w:r>
        <w:rPr>
          <w:rFonts w:ascii="Arial" w:cs="Arial" w:eastAsia="Arial" w:hAnsi="Arial"/>
          <w:sz w:val="20"/>
          <w:szCs w:val="20"/>
          <w:color w:val="auto"/>
        </w:rPr>
        <w:t>party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beneficiaries; without limiting the foregoing, no contractors or third parties engaged by Tenant with respect to the Tenant Improvements shall have any legal or beneficial interest in the Construction Allowance. With respect to all time periods and dates for exercising rights and performing obligations set forth in this Work Letter, </w:t>
      </w:r>
      <w:r>
        <w:rPr>
          <w:rFonts w:ascii="Arial" w:cs="Arial" w:eastAsia="Arial" w:hAnsi="Arial"/>
          <w:sz w:val="20"/>
          <w:szCs w:val="20"/>
          <w:b w:val="1"/>
          <w:bCs w:val="1"/>
          <w:color w:val="auto"/>
        </w:rPr>
        <w:t>time shall be of the essence.</w:t>
      </w:r>
    </w:p>
    <w:p>
      <w:pPr>
        <w:sectPr>
          <w:pgSz w:w="11900" w:h="16838" w:orient="portrait"/>
          <w:cols w:equalWidth="0" w:num="1">
            <w:col w:w="10764"/>
          </w:cols>
          <w:pgMar w:left="896" w:top="576"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20"/>
          <w:szCs w:val="20"/>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RIGHT OF FIRST REFUSAL</w:t>
      </w:r>
    </w:p>
    <w:p>
      <w:pPr>
        <w:spacing w:after="0" w:line="235" w:lineRule="exact"/>
        <w:rPr>
          <w:sz w:val="20"/>
          <w:szCs w:val="20"/>
          <w:color w:val="auto"/>
        </w:rPr>
      </w:pPr>
    </w:p>
    <w:p>
      <w:pPr>
        <w:jc w:val="both"/>
        <w:ind w:firstLine="656"/>
        <w:spacing w:after="0" w:line="244" w:lineRule="auto"/>
        <w:tabs>
          <w:tab w:leader="none" w:pos="1116" w:val="left"/>
        </w:tabs>
        <w:numPr>
          <w:ilvl w:val="0"/>
          <w:numId w:val="43"/>
        </w:numPr>
        <w:rPr>
          <w:rFonts w:ascii="Arial" w:cs="Arial" w:eastAsia="Arial" w:hAnsi="Arial"/>
          <w:sz w:val="20"/>
          <w:szCs w:val="20"/>
          <w:color w:val="auto"/>
        </w:rPr>
      </w:pPr>
      <w:r>
        <w:rPr>
          <w:rFonts w:ascii="Arial" w:cs="Arial" w:eastAsia="Arial" w:hAnsi="Arial"/>
          <w:sz w:val="20"/>
          <w:szCs w:val="20"/>
          <w:color w:val="auto"/>
        </w:rPr>
        <w:t>Landlord hereby grants to Tenant a one-time right of first refusal (the “</w:t>
      </w:r>
      <w:r>
        <w:rPr>
          <w:rFonts w:ascii="Arial" w:cs="Arial" w:eastAsia="Arial" w:hAnsi="Arial"/>
          <w:sz w:val="20"/>
          <w:szCs w:val="20"/>
          <w:u w:val="single" w:color="auto"/>
          <w:color w:val="auto"/>
        </w:rPr>
        <w:t>ROFR</w:t>
      </w:r>
      <w:r>
        <w:rPr>
          <w:rFonts w:ascii="Arial" w:cs="Arial" w:eastAsia="Arial" w:hAnsi="Arial"/>
          <w:sz w:val="20"/>
          <w:szCs w:val="20"/>
          <w:color w:val="auto"/>
        </w:rPr>
        <w:t>”) to lease the Suite 140 Space (defined below), subject to the following terms and conditions. This ROFR will not be effective or exercisable in connection with any Third Party Offer received by Landlord if there then-exists an Event of Default by Tenant under the Lease (as amended hereby), or there then-exists an event or circumstance which, but for the passage of time or giving of notice, or both, could constitute an Event of Default by Tenant under the Lease, as amended hereby.</w:t>
      </w:r>
    </w:p>
    <w:p>
      <w:pPr>
        <w:spacing w:after="0" w:line="208" w:lineRule="exact"/>
        <w:rPr>
          <w:rFonts w:ascii="Arial" w:cs="Arial" w:eastAsia="Arial" w:hAnsi="Arial"/>
          <w:sz w:val="20"/>
          <w:szCs w:val="20"/>
          <w:color w:val="auto"/>
        </w:rPr>
      </w:pPr>
    </w:p>
    <w:p>
      <w:pPr>
        <w:ind w:firstLine="656"/>
        <w:spacing w:after="0" w:line="222" w:lineRule="auto"/>
        <w:tabs>
          <w:tab w:leader="none" w:pos="1109" w:val="left"/>
        </w:tabs>
        <w:numPr>
          <w:ilvl w:val="0"/>
          <w:numId w:val="4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Suite 140 Space</w:t>
      </w:r>
      <w:r>
        <w:rPr>
          <w:rFonts w:ascii="Arial" w:cs="Arial" w:eastAsia="Arial" w:hAnsi="Arial"/>
          <w:sz w:val="20"/>
          <w:szCs w:val="20"/>
          <w:color w:val="auto"/>
        </w:rPr>
        <w:t>” means that certain space known as Suite 140 located on the first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floor of the Building and deemed to contain 6,215 RSF, as outlined on </w:t>
      </w:r>
      <w:r>
        <w:rPr>
          <w:rFonts w:ascii="Arial" w:cs="Arial" w:eastAsia="Arial" w:hAnsi="Arial"/>
          <w:sz w:val="20"/>
          <w:szCs w:val="20"/>
          <w:u w:val="single" w:color="auto"/>
          <w:color w:val="auto"/>
        </w:rPr>
        <w:t>EXHIBIT B-1</w:t>
      </w:r>
      <w:r>
        <w:rPr>
          <w:rFonts w:ascii="Arial" w:cs="Arial" w:eastAsia="Arial" w:hAnsi="Arial"/>
          <w:sz w:val="20"/>
          <w:szCs w:val="20"/>
          <w:color w:val="auto"/>
        </w:rPr>
        <w:t xml:space="preserve"> attached hereto.</w:t>
      </w:r>
    </w:p>
    <w:p>
      <w:pPr>
        <w:spacing w:after="0" w:line="210" w:lineRule="exact"/>
        <w:rPr>
          <w:rFonts w:ascii="Arial" w:cs="Arial" w:eastAsia="Arial" w:hAnsi="Arial"/>
          <w:sz w:val="20"/>
          <w:szCs w:val="20"/>
          <w:color w:val="auto"/>
        </w:rPr>
      </w:pPr>
    </w:p>
    <w:p>
      <w:pPr>
        <w:jc w:val="both"/>
        <w:ind w:firstLine="656"/>
        <w:spacing w:after="0" w:line="257" w:lineRule="auto"/>
        <w:tabs>
          <w:tab w:leader="none" w:pos="1171" w:val="left"/>
        </w:tabs>
        <w:numPr>
          <w:ilvl w:val="0"/>
          <w:numId w:val="43"/>
        </w:numPr>
        <w:rPr>
          <w:rFonts w:ascii="Arial" w:cs="Arial" w:eastAsia="Arial" w:hAnsi="Arial"/>
          <w:sz w:val="19"/>
          <w:szCs w:val="19"/>
          <w:color w:val="auto"/>
        </w:rPr>
      </w:pPr>
      <w:r>
        <w:rPr>
          <w:rFonts w:ascii="Arial" w:cs="Arial" w:eastAsia="Arial" w:hAnsi="Arial"/>
          <w:sz w:val="19"/>
          <w:szCs w:val="19"/>
          <w:color w:val="auto"/>
        </w:rPr>
        <w:t>If Landlord receives an acceptable offer from a bona fide third party prospect (“</w:t>
      </w:r>
      <w:r>
        <w:rPr>
          <w:rFonts w:ascii="Arial" w:cs="Arial" w:eastAsia="Arial" w:hAnsi="Arial"/>
          <w:sz w:val="19"/>
          <w:szCs w:val="19"/>
          <w:u w:val="single" w:color="auto"/>
          <w:color w:val="auto"/>
        </w:rPr>
        <w:t>Third Party Offer</w:t>
      </w:r>
      <w:r>
        <w:rPr>
          <w:rFonts w:ascii="Arial" w:cs="Arial" w:eastAsia="Arial" w:hAnsi="Arial"/>
          <w:sz w:val="19"/>
          <w:szCs w:val="19"/>
          <w:color w:val="auto"/>
        </w:rPr>
        <w:t>”) other than a prospect exercising a Superior Right (defined below) to lease the Suite 140 Space, Landlord shall first offer to Tenant the right to include the Suite 140 Space within the Premises on the same material economic terms as set forth in the Third Party Offer. Such offer shall be made by Landlord giving written notice (the “</w:t>
      </w:r>
      <w:r>
        <w:rPr>
          <w:rFonts w:ascii="Arial" w:cs="Arial" w:eastAsia="Arial" w:hAnsi="Arial"/>
          <w:sz w:val="19"/>
          <w:szCs w:val="19"/>
          <w:u w:val="single" w:color="auto"/>
          <w:color w:val="auto"/>
        </w:rPr>
        <w:t>Offer Notice</w:t>
      </w:r>
      <w:r>
        <w:rPr>
          <w:rFonts w:ascii="Arial" w:cs="Arial" w:eastAsia="Arial" w:hAnsi="Arial"/>
          <w:sz w:val="19"/>
          <w:szCs w:val="19"/>
          <w:color w:val="auto"/>
        </w:rPr>
        <w:t>”) to Tenant which shall specify the material economic terms for such Suite 140 Space, which shall be the same as those set forth in the Third Party Offer. In order to send the Offer Notice, Landlord does not need to have negotiated full lease terms with the third party, but need only to have received an acceptable bona-fide offer containing the material economic terms (</w:t>
      </w:r>
      <w:r>
        <w:rPr>
          <w:rFonts w:ascii="Arial" w:cs="Arial" w:eastAsia="Arial" w:hAnsi="Arial"/>
          <w:sz w:val="19"/>
          <w:szCs w:val="19"/>
          <w:u w:val="single" w:color="auto"/>
          <w:color w:val="auto"/>
        </w:rPr>
        <w:t>i.e</w:t>
      </w:r>
      <w:r>
        <w:rPr>
          <w:rFonts w:ascii="Arial" w:cs="Arial" w:eastAsia="Arial" w:hAnsi="Arial"/>
          <w:sz w:val="19"/>
          <w:szCs w:val="19"/>
          <w:color w:val="auto"/>
        </w:rPr>
        <w:t>. rent, term, parking, tenant improvements, and any concessions), and Tenant must make its decision with respect to the Suite 140 Space as long as it has received a description of such material economic terms in the Offer Notice.</w:t>
      </w:r>
    </w:p>
    <w:p>
      <w:pPr>
        <w:spacing w:after="0" w:line="194" w:lineRule="exact"/>
        <w:rPr>
          <w:rFonts w:ascii="Arial" w:cs="Arial" w:eastAsia="Arial" w:hAnsi="Arial"/>
          <w:sz w:val="19"/>
          <w:szCs w:val="19"/>
          <w:color w:val="auto"/>
        </w:rPr>
      </w:pPr>
    </w:p>
    <w:p>
      <w:pPr>
        <w:jc w:val="both"/>
        <w:ind w:firstLine="656"/>
        <w:spacing w:after="0" w:line="243" w:lineRule="auto"/>
        <w:tabs>
          <w:tab w:leader="none" w:pos="1041" w:val="left"/>
        </w:tabs>
        <w:numPr>
          <w:ilvl w:val="0"/>
          <w:numId w:val="43"/>
        </w:numPr>
        <w:rPr>
          <w:rFonts w:ascii="Arial" w:cs="Arial" w:eastAsia="Arial" w:hAnsi="Arial"/>
          <w:sz w:val="20"/>
          <w:szCs w:val="20"/>
          <w:color w:val="auto"/>
        </w:rPr>
      </w:pPr>
      <w:r>
        <w:rPr>
          <w:rFonts w:ascii="Arial" w:cs="Arial" w:eastAsia="Arial" w:hAnsi="Arial"/>
          <w:sz w:val="20"/>
          <w:szCs w:val="20"/>
          <w:color w:val="auto"/>
        </w:rPr>
        <w:t>Tenant’s rights under this ROFR are subject and subordinate to the following rights (collectively, “</w:t>
      </w:r>
      <w:r>
        <w:rPr>
          <w:rFonts w:ascii="Arial" w:cs="Arial" w:eastAsia="Arial" w:hAnsi="Arial"/>
          <w:sz w:val="20"/>
          <w:szCs w:val="20"/>
          <w:u w:val="single" w:color="auto"/>
          <w:color w:val="auto"/>
        </w:rPr>
        <w:t>Superior Rights</w:t>
      </w:r>
      <w:r>
        <w:rPr>
          <w:rFonts w:ascii="Arial" w:cs="Arial" w:eastAsia="Arial" w:hAnsi="Arial"/>
          <w:sz w:val="20"/>
          <w:szCs w:val="20"/>
          <w:color w:val="auto"/>
        </w:rPr>
        <w:t>”): (i) any rights set forth in the existing leases of tenants or occupants of the Complex as of the Effective Date of this Second Amendment, and (ii) Landlord's right in its absolute discretion to renew or extend the lease term of (a) any tenant of the Suite 140 Space, or (b) any tenant holding any pre-existing rights of expansion or first offer or refusal or similar rights as to the Suite 140 Space (even if such tenants described in (a) or (b) above do not have extension rights in their respective leases or if such extension or renewal is not in strict accordance with any extension or renewal option in such lease).</w:t>
      </w:r>
    </w:p>
    <w:p>
      <w:pPr>
        <w:spacing w:after="0" w:line="210" w:lineRule="exact"/>
        <w:rPr>
          <w:rFonts w:ascii="Arial" w:cs="Arial" w:eastAsia="Arial" w:hAnsi="Arial"/>
          <w:sz w:val="20"/>
          <w:szCs w:val="20"/>
          <w:color w:val="auto"/>
        </w:rPr>
      </w:pPr>
    </w:p>
    <w:p>
      <w:pPr>
        <w:jc w:val="both"/>
        <w:ind w:firstLine="656"/>
        <w:spacing w:after="0" w:line="243" w:lineRule="auto"/>
        <w:tabs>
          <w:tab w:leader="none" w:pos="10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Tenant will have up to five (5) business days following the date that Tenant receives the Offer Notice to give Landlord its written notice (“</w:t>
      </w:r>
      <w:r>
        <w:rPr>
          <w:rFonts w:ascii="Arial" w:cs="Arial" w:eastAsia="Arial" w:hAnsi="Arial"/>
          <w:sz w:val="20"/>
          <w:szCs w:val="20"/>
          <w:u w:val="single" w:color="auto"/>
          <w:color w:val="auto"/>
        </w:rPr>
        <w:t>Acceptance Notice</w:t>
      </w:r>
      <w:r>
        <w:rPr>
          <w:rFonts w:ascii="Arial" w:cs="Arial" w:eastAsia="Arial" w:hAnsi="Arial"/>
          <w:sz w:val="20"/>
          <w:szCs w:val="20"/>
          <w:color w:val="auto"/>
        </w:rPr>
        <w:t>”) exercising the ROFR to lease the Suite 140 Space on all of the terms set forth in the Offer Notice. If Tenant exercises the ROFR, Tenant must lease all of the Suite 140 Space and not only a portion thereof. If the Third Party Offer is to lease the Suite 140 Space and additional space in the Building, Landlord may offer to Tenant, in the Offer Notice, all such space which the third party desires to lease, and Tenant must exercise its rights hereunder, if at all, with respect to all such space and may not insist on exercising its rights as to only the Suite 140 Space.</w:t>
      </w:r>
    </w:p>
    <w:p>
      <w:pPr>
        <w:spacing w:after="0" w:line="204" w:lineRule="exact"/>
        <w:rPr>
          <w:rFonts w:ascii="Arial" w:cs="Arial" w:eastAsia="Arial" w:hAnsi="Arial"/>
          <w:sz w:val="20"/>
          <w:szCs w:val="20"/>
          <w:color w:val="auto"/>
        </w:rPr>
      </w:pPr>
    </w:p>
    <w:p>
      <w:pPr>
        <w:jc w:val="both"/>
        <w:ind w:firstLine="656"/>
        <w:spacing w:after="0" w:line="258" w:lineRule="auto"/>
        <w:tabs>
          <w:tab w:leader="none" w:pos="990" w:val="left"/>
        </w:tabs>
        <w:numPr>
          <w:ilvl w:val="0"/>
          <w:numId w:val="43"/>
        </w:numPr>
        <w:rPr>
          <w:rFonts w:ascii="Arial" w:cs="Arial" w:eastAsia="Arial" w:hAnsi="Arial"/>
          <w:sz w:val="19"/>
          <w:szCs w:val="19"/>
          <w:color w:val="auto"/>
        </w:rPr>
      </w:pPr>
      <w:r>
        <w:rPr>
          <w:rFonts w:ascii="Arial" w:cs="Arial" w:eastAsia="Arial" w:hAnsi="Arial"/>
          <w:sz w:val="19"/>
          <w:szCs w:val="19"/>
          <w:color w:val="auto"/>
        </w:rPr>
        <w:t>If Tenant fails to timely exercise the ROFR (</w:t>
      </w:r>
      <w:r>
        <w:rPr>
          <w:rFonts w:ascii="Arial" w:cs="Arial" w:eastAsia="Arial" w:hAnsi="Arial"/>
          <w:sz w:val="19"/>
          <w:szCs w:val="19"/>
          <w:b w:val="1"/>
          <w:bCs w:val="1"/>
          <w:color w:val="auto"/>
        </w:rPr>
        <w:t>time being of the essence</w:t>
      </w:r>
      <w:r>
        <w:rPr>
          <w:rFonts w:ascii="Arial" w:cs="Arial" w:eastAsia="Arial" w:hAnsi="Arial"/>
          <w:sz w:val="19"/>
          <w:szCs w:val="19"/>
          <w:color w:val="auto"/>
        </w:rPr>
        <w:t xml:space="preserve"> thereof), or elects not to exercise the ROFR, then the ROFR and Tenant’s rights under this Exhibit will automatically terminate, and Landlord may lease the Suite 140 Space to any third party under any terms in Landlord’s sole and absolute discretion, provided that if, after Tenant fails to exercise the ROFR as to the Suite 140 Space, Landlord desires to lease the Suite 140 Space on materially more beneficial terms than provided in the Offer Notice, then, subject to the provisions of this ROFR, Landlord shall re-offer the Suite 140 Space to Tenant pursuant to this ROFR prior to leasing the Suite 140 Space to the party under the materially more beneficial terms. “</w:t>
      </w:r>
      <w:r>
        <w:rPr>
          <w:rFonts w:ascii="Arial" w:cs="Arial" w:eastAsia="Arial" w:hAnsi="Arial"/>
          <w:sz w:val="19"/>
          <w:szCs w:val="19"/>
          <w:u w:val="single" w:color="auto"/>
          <w:color w:val="auto"/>
        </w:rPr>
        <w:t>Materially more beneficial terms</w:t>
      </w:r>
      <w:r>
        <w:rPr>
          <w:rFonts w:ascii="Arial" w:cs="Arial" w:eastAsia="Arial" w:hAnsi="Arial"/>
          <w:sz w:val="19"/>
          <w:szCs w:val="19"/>
          <w:color w:val="auto"/>
        </w:rPr>
        <w:t>” means an effective rental rate (taking into account amortization of allowances and rent credits on a straight line basis over the applicable term) which is ninety percent (90%) or less than the effective rental rate set forth in the Offer Notice.</w:t>
      </w:r>
    </w:p>
    <w:p>
      <w:pPr>
        <w:sectPr>
          <w:pgSz w:w="11900" w:h="16838" w:orient="portrait"/>
          <w:cols w:equalWidth="0" w:num="1">
            <w:col w:w="11420"/>
          </w:cols>
          <w:pgMar w:left="240" w:top="576" w:right="239" w:bottom="1440" w:gutter="0" w:footer="0" w:header="0"/>
        </w:sectPr>
      </w:pPr>
    </w:p>
    <w:bookmarkStart w:id="67" w:name="page68"/>
    <w:bookmarkEnd w:id="67"/>
    <w:p>
      <w:pPr>
        <w:jc w:val="both"/>
        <w:ind w:left="-656" w:firstLine="656"/>
        <w:spacing w:after="0" w:line="271" w:lineRule="auto"/>
        <w:tabs>
          <w:tab w:leader="none" w:pos="405"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Upon Tenant’s timely delivery of the Acceptance Notice, Landlord and Tenant will be deemed to have added the Suite 140 Space to the Premises for the lease term set forth in the Offer Notice. Tenant will accept the Suite 140 Space in its </w:t>
      </w:r>
      <w:r>
        <w:rPr>
          <w:rFonts w:ascii="Arial" w:cs="Arial" w:eastAsia="Arial" w:hAnsi="Arial"/>
          <w:sz w:val="18"/>
          <w:szCs w:val="18"/>
          <w:b w:val="1"/>
          <w:bCs w:val="1"/>
          <w:color w:val="auto"/>
        </w:rPr>
        <w:t>“AS IS, WHERE IS, WITH ALL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FAULTS” </w:t>
      </w:r>
      <w:r>
        <w:rPr>
          <w:rFonts w:ascii="Arial" w:cs="Arial" w:eastAsia="Arial" w:hAnsi="Arial"/>
          <w:sz w:val="18"/>
          <w:szCs w:val="18"/>
          <w:color w:val="auto"/>
        </w:rPr>
        <w:t>condition on the date Landlord delivers the Suite 140 Space to Tenant, without any obligation of Landlord to improve, alter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remodel the Suite 140 Space,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may be set forth in the Offer Notice. Within twenty (20) days following delivery of the Acceptance Notice, Tenant and Landlord shall execute an amendment to the Lease including the Suite 140 Space in the Premises on all of the economic terms set forth in the Offer Notice, and, to the extent consistent with said economic terms, on the same terms and provisions then in effect on the Suite 140 Space commencement date, and thereafter scheduled to be in effect, under the Lease for the Premises (provided that an otherwise valid exercise of the ROFR shall be fully effective whether or not such amendment is prepared or executed). Landlord will be obligated to pay a brokerage fee or commission to a Tenant’s broker in connection with the Suite 140 Space to any extent such obligation is expressly set forth in a written agreement between Landlord and such Tenant’s broker, but otherwise Landlord will have no obligation to pay a brokerage fee or commission to any Tenant’s broker in connection with any Suite 140 Space.</w:t>
      </w:r>
    </w:p>
    <w:p>
      <w:pPr>
        <w:spacing w:after="0" w:line="184" w:lineRule="exact"/>
        <w:rPr>
          <w:rFonts w:ascii="Arial" w:cs="Arial" w:eastAsia="Arial" w:hAnsi="Arial"/>
          <w:sz w:val="18"/>
          <w:szCs w:val="18"/>
          <w:color w:val="auto"/>
        </w:rPr>
      </w:pPr>
    </w:p>
    <w:p>
      <w:pPr>
        <w:jc w:val="both"/>
        <w:ind w:left="-656" w:firstLine="656"/>
        <w:spacing w:after="0" w:line="271" w:lineRule="auto"/>
        <w:tabs>
          <w:tab w:leader="none" w:pos="412"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Notwithstanding anything to the contrary herein, Tenant shall have no right of first refusal hereunder, if at the time that Landlord would otherwise deliver the Offer Notice, or at the time that Tenant delivers an Acceptance Notice, or on the date that Landlord would otherwise deliver the Suite 140 Space to Tenant, there exists an Event of Default by Tenant under the Lease, as amended hereby (or there exists an event or circumstance which, but for the passage of time or giving of notice, or both, could constitute an Event of Default by Tenant under the Lease, as amended hereby), or the Lease, as amended hereby, is not in full force and effect. This ROFR shall automatically terminate: (i) if the Lease or Tenant's right to possession of the Premises is terminated, or (ii) if Tenant exercises any right to terminate the Lease (partially or in its entirety) or to reduce the size of the Premises, or (iii) if Tenant vacates the Premises (or a substantial part thereof) for in excess of 120 days for reasons other than casualty or approved remodeling or repairs, or (iv) if Tenant’s interest in the Lease is assigned, or Tenant sublets any portion of the Premises. Any of such termination events shall, at Landlord’s option, apply to terminate the ROFR whether or not Tenant may have theretofore delivered an otherwise valid Acceptance Notice. Landlord may, at its option, waive any such termination event in writing.</w:t>
      </w:r>
    </w:p>
    <w:p>
      <w:pPr>
        <w:spacing w:after="0" w:line="188" w:lineRule="exact"/>
        <w:rPr>
          <w:rFonts w:ascii="Arial" w:cs="Arial" w:eastAsia="Arial" w:hAnsi="Arial"/>
          <w:sz w:val="18"/>
          <w:szCs w:val="18"/>
          <w:color w:val="auto"/>
        </w:rPr>
      </w:pPr>
    </w:p>
    <w:p>
      <w:pPr>
        <w:jc w:val="both"/>
        <w:ind w:left="-656" w:right="20" w:firstLine="656"/>
        <w:spacing w:after="0" w:line="269" w:lineRule="auto"/>
        <w:tabs>
          <w:tab w:leader="none" w:pos="3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This ROFR, or any of Tenant’s rights, interests or obligations hereunder, may not be transferred or assigned (by operation of law, merger, direct assignment, subletting, or otherwise) to any person or entity, and may not be exercised by any person or entity other than the original Tenant under the Lease, and any transfer, assignment or exercise in violation hereof will be null and void.</w:t>
      </w:r>
    </w:p>
    <w:p>
      <w:pPr>
        <w:sectPr>
          <w:pgSz w:w="11900" w:h="16838" w:orient="portrait"/>
          <w:cols w:equalWidth="0" w:num="1">
            <w:col w:w="10764"/>
          </w:cols>
          <w:pgMar w:left="896" w:top="582"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20"/>
          <w:szCs w:val="20"/>
          <w:b w:val="1"/>
          <w:bCs w:val="1"/>
          <w:color w:val="auto"/>
        </w:rPr>
        <w:t>EXHIBIT B-1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SUITE 140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166370</wp:posOffset>
            </wp:positionV>
            <wp:extent cx="2761615" cy="6903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61615" cy="690372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20"/>
          <w:szCs w:val="20"/>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TERMINATION OPTION</w:t>
      </w:r>
    </w:p>
    <w:p>
      <w:pPr>
        <w:spacing w:after="0" w:line="235" w:lineRule="exact"/>
        <w:rPr>
          <w:sz w:val="20"/>
          <w:szCs w:val="20"/>
          <w:color w:val="auto"/>
        </w:rPr>
      </w:pPr>
    </w:p>
    <w:p>
      <w:pPr>
        <w:jc w:val="both"/>
        <w:ind w:firstLine="656"/>
        <w:spacing w:after="0" w:line="250" w:lineRule="auto"/>
        <w:tabs>
          <w:tab w:leader="none" w:pos="1048" w:val="left"/>
        </w:tabs>
        <w:numPr>
          <w:ilvl w:val="0"/>
          <w:numId w:val="45"/>
        </w:numPr>
        <w:rPr>
          <w:rFonts w:ascii="Arial" w:cs="Arial" w:eastAsia="Arial" w:hAnsi="Arial"/>
          <w:sz w:val="20"/>
          <w:szCs w:val="20"/>
          <w:color w:val="auto"/>
        </w:rPr>
      </w:pPr>
      <w:r>
        <w:rPr>
          <w:rFonts w:ascii="Arial" w:cs="Arial" w:eastAsia="Arial" w:hAnsi="Arial"/>
          <w:sz w:val="20"/>
          <w:szCs w:val="20"/>
          <w:color w:val="auto"/>
        </w:rPr>
        <w:t>Subject to the conditions and restrictions set forth below and Tenant’s strict compliance with same, Tenant shall have the one-time option (the “</w:t>
      </w:r>
      <w:r>
        <w:rPr>
          <w:rFonts w:ascii="Arial" w:cs="Arial" w:eastAsia="Arial" w:hAnsi="Arial"/>
          <w:sz w:val="20"/>
          <w:szCs w:val="20"/>
          <w:u w:val="single" w:color="auto"/>
          <w:color w:val="auto"/>
        </w:rPr>
        <w:t>Termination Option</w:t>
      </w:r>
      <w:r>
        <w:rPr>
          <w:rFonts w:ascii="Arial" w:cs="Arial" w:eastAsia="Arial" w:hAnsi="Arial"/>
          <w:sz w:val="20"/>
          <w:szCs w:val="20"/>
          <w:color w:val="auto"/>
        </w:rPr>
        <w:t>”) to terminate the Lease (as amended hereby) as to the entire Premises, said termination to be effective on the Termination Date. If applicable, the “</w:t>
      </w:r>
      <w:r>
        <w:rPr>
          <w:rFonts w:ascii="Arial" w:cs="Arial" w:eastAsia="Arial" w:hAnsi="Arial"/>
          <w:sz w:val="20"/>
          <w:szCs w:val="20"/>
          <w:u w:val="single" w:color="auto"/>
          <w:color w:val="auto"/>
        </w:rPr>
        <w:t>Termination Date</w:t>
      </w:r>
      <w:r>
        <w:rPr>
          <w:rFonts w:ascii="Arial" w:cs="Arial" w:eastAsia="Arial" w:hAnsi="Arial"/>
          <w:sz w:val="20"/>
          <w:szCs w:val="20"/>
          <w:color w:val="auto"/>
        </w:rPr>
        <w:t>” shall be July 31, 2025.</w:t>
      </w:r>
    </w:p>
    <w:p>
      <w:pPr>
        <w:spacing w:after="0" w:line="199" w:lineRule="exact"/>
        <w:rPr>
          <w:rFonts w:ascii="Arial" w:cs="Arial" w:eastAsia="Arial" w:hAnsi="Arial"/>
          <w:sz w:val="20"/>
          <w:szCs w:val="20"/>
          <w:color w:val="auto"/>
        </w:rPr>
      </w:pPr>
    </w:p>
    <w:p>
      <w:pPr>
        <w:jc w:val="both"/>
        <w:ind w:firstLine="656"/>
        <w:spacing w:after="0" w:line="256" w:lineRule="auto"/>
        <w:tabs>
          <w:tab w:leader="none" w:pos="1171"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This Termination Option will be effective and exercisable only if, upon the date of the Termination Notice, the following conditions are satisfied: (i) there is no uncured default or breach by Tenant under the Lease, as amended hereby (or an event which, but for the passage of time or giving of notice, or both, could constitute such a default or breach), and (ii) there shall have been no assignment of all or any portion of Tenant’s rights, title or obligations under the Lease, as amended hereby, and there shall have been no subletting of all or any part of the Premises. Additionally, if both of the above conditions are not satisfied on the day immediately preceding the Termination Date, then, at Landlord’s sole option, the Termination Notice shall be null and void and the Lease will not terminate on the scheduled Termination Date. This Termination Option is personal to the original Tenant named in the Lease, and without the prior, written consent of Landlord, may not be transferred or exercised in whole or in part, voluntarily or involuntarily, by or to, any person or entity other than the original Tenant, and any transfer in violation hereof shall be null and void.</w:t>
      </w:r>
    </w:p>
    <w:p>
      <w:pPr>
        <w:spacing w:after="0" w:line="198" w:lineRule="exact"/>
        <w:rPr>
          <w:rFonts w:ascii="Arial" w:cs="Arial" w:eastAsia="Arial" w:hAnsi="Arial"/>
          <w:sz w:val="19"/>
          <w:szCs w:val="19"/>
          <w:color w:val="auto"/>
        </w:rPr>
      </w:pPr>
    </w:p>
    <w:p>
      <w:pPr>
        <w:ind w:right="20" w:firstLine="656"/>
        <w:spacing w:after="0" w:line="260" w:lineRule="auto"/>
        <w:tabs>
          <w:tab w:leader="none" w:pos="1092"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Termination Option is subject to each of the following conditions and requirements (any of which Landlord may waive in writing in its sole and absolute discretion):</w:t>
      </w:r>
    </w:p>
    <w:p>
      <w:pPr>
        <w:spacing w:after="0" w:line="190" w:lineRule="exact"/>
        <w:rPr>
          <w:rFonts w:ascii="Arial" w:cs="Arial" w:eastAsia="Arial" w:hAnsi="Arial"/>
          <w:sz w:val="20"/>
          <w:szCs w:val="20"/>
          <w:color w:val="auto"/>
        </w:rPr>
      </w:pPr>
    </w:p>
    <w:p>
      <w:pPr>
        <w:ind w:left="660" w:firstLine="645"/>
        <w:spacing w:after="0" w:line="287" w:lineRule="auto"/>
        <w:tabs>
          <w:tab w:leader="none" w:pos="1733" w:val="left"/>
        </w:tabs>
        <w:numPr>
          <w:ilvl w:val="1"/>
          <w:numId w:val="45"/>
        </w:numPr>
        <w:rPr>
          <w:rFonts w:ascii="Arial" w:cs="Arial" w:eastAsia="Arial" w:hAnsi="Arial"/>
          <w:sz w:val="19"/>
          <w:szCs w:val="19"/>
          <w:color w:val="auto"/>
        </w:rPr>
      </w:pPr>
      <w:r>
        <w:rPr>
          <w:rFonts w:ascii="Arial" w:cs="Arial" w:eastAsia="Arial" w:hAnsi="Arial"/>
          <w:sz w:val="19"/>
          <w:szCs w:val="19"/>
          <w:color w:val="auto"/>
        </w:rPr>
        <w:t>Tenant must provide written notice (the “</w:t>
      </w:r>
      <w:r>
        <w:rPr>
          <w:rFonts w:ascii="Arial" w:cs="Arial" w:eastAsia="Arial" w:hAnsi="Arial"/>
          <w:sz w:val="19"/>
          <w:szCs w:val="19"/>
          <w:u w:val="single" w:color="auto"/>
          <w:color w:val="auto"/>
        </w:rPr>
        <w:t>Termination Notice</w:t>
      </w:r>
      <w:r>
        <w:rPr>
          <w:rFonts w:ascii="Arial" w:cs="Arial" w:eastAsia="Arial" w:hAnsi="Arial"/>
          <w:sz w:val="19"/>
          <w:szCs w:val="19"/>
          <w:color w:val="auto"/>
        </w:rPr>
        <w:t>”) to Landlord of Tenant’s exercise of the Termination Option no later than October 31, 2024. The Termination Notice, once provided to Landlord, shall be irrevocable.</w:t>
      </w:r>
    </w:p>
    <w:p>
      <w:pPr>
        <w:spacing w:after="0" w:line="166" w:lineRule="exact"/>
        <w:rPr>
          <w:rFonts w:ascii="Arial" w:cs="Arial" w:eastAsia="Arial" w:hAnsi="Arial"/>
          <w:sz w:val="19"/>
          <w:szCs w:val="19"/>
          <w:color w:val="auto"/>
        </w:rPr>
      </w:pPr>
    </w:p>
    <w:p>
      <w:pPr>
        <w:jc w:val="both"/>
        <w:ind w:left="660" w:firstLine="645"/>
        <w:spacing w:after="0" w:line="264" w:lineRule="auto"/>
        <w:tabs>
          <w:tab w:leader="none" w:pos="1766" w:val="left"/>
        </w:tabs>
        <w:numPr>
          <w:ilvl w:val="1"/>
          <w:numId w:val="45"/>
        </w:numPr>
        <w:rPr>
          <w:rFonts w:ascii="Arial" w:cs="Arial" w:eastAsia="Arial" w:hAnsi="Arial"/>
          <w:sz w:val="18"/>
          <w:szCs w:val="18"/>
          <w:color w:val="auto"/>
        </w:rPr>
      </w:pPr>
      <w:r>
        <w:rPr>
          <w:rFonts w:ascii="Arial" w:cs="Arial" w:eastAsia="Arial" w:hAnsi="Arial"/>
          <w:sz w:val="18"/>
          <w:szCs w:val="18"/>
          <w:color w:val="auto"/>
        </w:rPr>
        <w:t>Tenant must pay to Landlord the Termination Cost Recovery Payment. The “</w:t>
      </w:r>
      <w:r>
        <w:rPr>
          <w:rFonts w:ascii="Arial" w:cs="Arial" w:eastAsia="Arial" w:hAnsi="Arial"/>
          <w:sz w:val="18"/>
          <w:szCs w:val="18"/>
          <w:u w:val="single" w:color="auto"/>
          <w:color w:val="auto"/>
        </w:rPr>
        <w:t>Termination Cost Recovery Payment</w:t>
      </w:r>
      <w:r>
        <w:rPr>
          <w:rFonts w:ascii="Arial" w:cs="Arial" w:eastAsia="Arial" w:hAnsi="Arial"/>
          <w:sz w:val="18"/>
          <w:szCs w:val="18"/>
          <w:color w:val="auto"/>
        </w:rPr>
        <w:t xml:space="preserve">” shall be an amount equal to the sum of (i) four (4) months of Basic Rent and four (4) months of Additional Rent, each calculated at the rates that would have been payable during the four (4) months following the Termination Date had Tenant not exercised this Termination Option,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unamortized portion of Landlord’s Termination Costs (as hereafter defined) as of the Termination Date. “</w:t>
      </w:r>
      <w:r>
        <w:rPr>
          <w:rFonts w:ascii="Arial" w:cs="Arial" w:eastAsia="Arial" w:hAnsi="Arial"/>
          <w:sz w:val="18"/>
          <w:szCs w:val="18"/>
          <w:u w:val="single" w:color="auto"/>
          <w:color w:val="auto"/>
        </w:rPr>
        <w:t>Landlord’s Termination Costs</w:t>
      </w:r>
      <w:r>
        <w:rPr>
          <w:rFonts w:ascii="Arial" w:cs="Arial" w:eastAsia="Arial" w:hAnsi="Arial"/>
          <w:sz w:val="18"/>
          <w:szCs w:val="18"/>
          <w:color w:val="auto"/>
        </w:rPr>
        <w:t>” shall mean an amount equal to the sum of (w) all of Landlord’s costs of any tenant improvements in connection with this Second Amendment, including, without limitation, the Construction Allowance (as defined in Section 5 of this Second Amendment), and any tenant improvement costs paid by Landlord in connection with any space added to the Premises after the Effective Date of this Second Amendment, (x) all leasing and brokerage commissions paid by Landlord in connection with this Second Amendment, and any brokerage commissions paid by Landlord in connection with any space added to the Premises after the Effective Date of this Second Amendment, (y) the total of all Basic Rent which is abated, as set forth in Section 4 of this Second Amendment, and any abated Rent in connection with any space added to the Premises after the Effective Date of this Second Amendment, and (z) all reasonable attorneys’ fees incurred by Landlord in connection with this Second Amendment, and any amendments to the Lease following the Effective Date of this Second Amendment. The unamortized portion of Landlord’s Termination Costs shall be calculated based on the amortization of Landlord’s Termination Costs at an interest rate of eight percent (8%) per annum over the period beginning on August 1, 2018 and ending on the Expiration Date. Landlord will notify Tenant of the amount of the Termination Cost Recovery Payment, including documentation setting forth the calculation of Landlord’s Termination Costs and the calculation of the Termination Cost Recovery Payment, following delivery of the Termination Notice. Tenant must pay the Termination Cost Recovery Payment to Landlord in cash or other immediately available funds no later than tenth (10</w:t>
      </w:r>
      <w:r>
        <w:rPr>
          <w:rFonts w:ascii="Arial" w:cs="Arial" w:eastAsia="Arial" w:hAnsi="Arial"/>
          <w:sz w:val="23"/>
          <w:szCs w:val="23"/>
          <w:color w:val="auto"/>
          <w:vertAlign w:val="superscript"/>
        </w:rPr>
        <w:t>th</w:t>
      </w:r>
      <w:r>
        <w:rPr>
          <w:rFonts w:ascii="Arial" w:cs="Arial" w:eastAsia="Arial" w:hAnsi="Arial"/>
          <w:sz w:val="18"/>
          <w:szCs w:val="18"/>
          <w:color w:val="auto"/>
        </w:rPr>
        <w:t>) day following notification of the amount thereof.</w:t>
      </w:r>
    </w:p>
    <w:p>
      <w:pPr>
        <w:sectPr>
          <w:pgSz w:w="11900" w:h="16838" w:orient="portrait"/>
          <w:cols w:equalWidth="0" w:num="1">
            <w:col w:w="11420"/>
          </w:cols>
          <w:pgMar w:left="240" w:top="576" w:right="239" w:bottom="1440" w:gutter="0" w:footer="0" w:header="0"/>
        </w:sectPr>
      </w:pPr>
    </w:p>
    <w:bookmarkStart w:id="70" w:name="page71"/>
    <w:bookmarkEnd w:id="70"/>
    <w:p>
      <w:pPr>
        <w:jc w:val="both"/>
        <w:ind w:left="-656" w:firstLine="656"/>
        <w:spacing w:after="0" w:line="246" w:lineRule="auto"/>
        <w:tabs>
          <w:tab w:leader="none" w:pos="492" w:val="left"/>
        </w:tabs>
        <w:numPr>
          <w:ilvl w:val="0"/>
          <w:numId w:val="46"/>
        </w:numPr>
        <w:rPr>
          <w:rFonts w:ascii="Arial" w:cs="Arial" w:eastAsia="Arial" w:hAnsi="Arial"/>
          <w:sz w:val="20"/>
          <w:szCs w:val="20"/>
          <w:color w:val="auto"/>
        </w:rPr>
      </w:pPr>
      <w:r>
        <w:rPr>
          <w:rFonts w:ascii="Arial" w:cs="Arial" w:eastAsia="Arial" w:hAnsi="Arial"/>
          <w:sz w:val="20"/>
          <w:szCs w:val="20"/>
          <w:color w:val="auto"/>
        </w:rPr>
        <w:t>Tenant must comply with all Lease provisions regarding the expiration or termination of the Lease and the surrender of the Premises thereupon; and the Premises, upon surrender thereof by Tenant, must be in compliance with all applicable laws and building codes. Any holdover by Tenant in all or any portion of the Premises after the Termination Date shall be a default by Tenant under the Lease, as amended hereby, and will be subject to the holdover provisions of the Lease.</w:t>
      </w:r>
    </w:p>
    <w:p>
      <w:pPr>
        <w:spacing w:after="0" w:line="205" w:lineRule="exact"/>
        <w:rPr>
          <w:rFonts w:ascii="Arial" w:cs="Arial" w:eastAsia="Arial" w:hAnsi="Arial"/>
          <w:sz w:val="20"/>
          <w:szCs w:val="20"/>
          <w:color w:val="auto"/>
        </w:rPr>
      </w:pPr>
    </w:p>
    <w:p>
      <w:pPr>
        <w:ind w:left="-656" w:firstLine="656"/>
        <w:spacing w:after="0" w:line="260" w:lineRule="auto"/>
        <w:tabs>
          <w:tab w:leader="none" w:pos="442" w:val="left"/>
        </w:tabs>
        <w:numPr>
          <w:ilvl w:val="0"/>
          <w:numId w:val="46"/>
        </w:numPr>
        <w:rPr>
          <w:rFonts w:ascii="Arial" w:cs="Arial" w:eastAsia="Arial" w:hAnsi="Arial"/>
          <w:sz w:val="20"/>
          <w:szCs w:val="20"/>
          <w:color w:val="auto"/>
        </w:rPr>
      </w:pPr>
      <w:r>
        <w:rPr>
          <w:rFonts w:ascii="Arial" w:cs="Arial" w:eastAsia="Arial" w:hAnsi="Arial"/>
          <w:sz w:val="20"/>
          <w:szCs w:val="20"/>
          <w:color w:val="auto"/>
        </w:rPr>
        <w:t>Any provision of the Lease, as amended hereby, which is intended to survive the expiration or termination of the Lease shall survive the Termination Date.</w:t>
      </w:r>
    </w:p>
    <w:p>
      <w:pPr>
        <w:spacing w:after="0" w:line="190" w:lineRule="exact"/>
        <w:rPr>
          <w:rFonts w:ascii="Arial" w:cs="Arial" w:eastAsia="Arial" w:hAnsi="Arial"/>
          <w:sz w:val="20"/>
          <w:szCs w:val="20"/>
          <w:color w:val="auto"/>
        </w:rPr>
      </w:pPr>
    </w:p>
    <w:p>
      <w:pPr>
        <w:ind w:left="-656" w:right="20" w:firstLine="656"/>
        <w:spacing w:after="0" w:line="260" w:lineRule="auto"/>
        <w:tabs>
          <w:tab w:leader="none" w:pos="438" w:val="left"/>
        </w:tabs>
        <w:numPr>
          <w:ilvl w:val="0"/>
          <w:numId w:val="46"/>
        </w:numPr>
        <w:rPr>
          <w:rFonts w:ascii="Arial" w:cs="Arial" w:eastAsia="Arial" w:hAnsi="Arial"/>
          <w:sz w:val="20"/>
          <w:szCs w:val="20"/>
          <w:color w:val="auto"/>
        </w:rPr>
      </w:pPr>
      <w:r>
        <w:rPr>
          <w:rFonts w:ascii="Arial" w:cs="Arial" w:eastAsia="Arial" w:hAnsi="Arial"/>
          <w:sz w:val="20"/>
          <w:szCs w:val="20"/>
          <w:color w:val="auto"/>
        </w:rPr>
        <w:t xml:space="preserve">With respect to all dates for exercising any rights and the performance of any obligations in connection with the exercise or implementation of this Termination Option, </w:t>
      </w:r>
      <w:r>
        <w:rPr>
          <w:rFonts w:ascii="Arial" w:cs="Arial" w:eastAsia="Arial" w:hAnsi="Arial"/>
          <w:sz w:val="20"/>
          <w:szCs w:val="20"/>
          <w:b w:val="1"/>
          <w:bCs w:val="1"/>
          <w:color w:val="auto"/>
        </w:rPr>
        <w:t>time shall be of the essence</w:t>
      </w:r>
      <w:r>
        <w:rPr>
          <w:rFonts w:ascii="Arial" w:cs="Arial" w:eastAsia="Arial" w:hAnsi="Arial"/>
          <w:sz w:val="20"/>
          <w:szCs w:val="20"/>
          <w:color w:val="auto"/>
        </w:rPr>
        <w:t>.</w:t>
      </w:r>
    </w:p>
    <w:p>
      <w:pPr>
        <w:spacing w:after="0" w:line="190" w:lineRule="exact"/>
        <w:rPr>
          <w:rFonts w:ascii="Arial" w:cs="Arial" w:eastAsia="Arial" w:hAnsi="Arial"/>
          <w:sz w:val="20"/>
          <w:szCs w:val="20"/>
          <w:color w:val="auto"/>
        </w:rPr>
      </w:pPr>
    </w:p>
    <w:p>
      <w:pPr>
        <w:jc w:val="both"/>
        <w:ind w:left="-656" w:right="20" w:firstLine="656"/>
        <w:spacing w:after="0" w:line="269" w:lineRule="auto"/>
        <w:tabs>
          <w:tab w:leader="none" w:pos="547"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Notwithstanding anything in the Lease or this Second Amendment to the contrary, in no event may Tenant exercise this Termination Option so as to terminate the Lease with respect to any portion of the Premises consisting of Suite 140 Space (as defined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of this Second Amendment), unless Landlord agrees otherwise in writing in its sole and absolute discretion.</w:t>
      </w:r>
    </w:p>
    <w:p>
      <w:pPr>
        <w:spacing w:after="0" w:line="183" w:lineRule="exact"/>
        <w:rPr>
          <w:rFonts w:ascii="Arial" w:cs="Arial" w:eastAsia="Arial" w:hAnsi="Arial"/>
          <w:sz w:val="19"/>
          <w:szCs w:val="19"/>
          <w:color w:val="auto"/>
        </w:rPr>
      </w:pPr>
    </w:p>
    <w:p>
      <w:pPr>
        <w:jc w:val="both"/>
        <w:ind w:left="-656" w:firstLine="656"/>
        <w:spacing w:after="0" w:line="282" w:lineRule="auto"/>
        <w:tabs>
          <w:tab w:leader="none" w:pos="372"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of the date Tenant provides Landlord with a Termination Notice, any unexercised rights or options of Tenant to extend or renew the Term or to expand the Premises (whether expansion options, rights of refusal, rights of offer, or other similar rights), and any outstanding tenant improvement allowance or other allowance or credits not claimed and properly utilized by Tenant in accordance with the Lease, as amended hereby, as of such date, shall immediately be deemed terminated and no longer available or of any further force or effect.</w:t>
      </w:r>
    </w:p>
    <w:p>
      <w:pPr>
        <w:sectPr>
          <w:pgSz w:w="11900" w:h="16838" w:orient="portrait"/>
          <w:cols w:equalWidth="0" w:num="1">
            <w:col w:w="10764"/>
          </w:cols>
          <w:pgMar w:left="896" w:top="582"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Bonnie H. Anderson, certify that:</w:t>
      </w:r>
    </w:p>
    <w:p>
      <w:pPr>
        <w:spacing w:after="0" w:line="225" w:lineRule="exact"/>
        <w:rPr>
          <w:sz w:val="20"/>
          <w:szCs w:val="20"/>
          <w:color w:val="auto"/>
        </w:rPr>
      </w:pPr>
    </w:p>
    <w:p>
      <w:pPr>
        <w:ind w:left="1340" w:hanging="684"/>
        <w:spacing w:after="0"/>
        <w:tabs>
          <w:tab w:leader="none" w:pos="1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 for the quarter ended September 30, 2017;</w:t>
      </w:r>
    </w:p>
    <w:p>
      <w:pPr>
        <w:spacing w:after="0" w:line="265" w:lineRule="exact"/>
        <w:rPr>
          <w:rFonts w:ascii="Arial" w:cs="Arial" w:eastAsia="Arial" w:hAnsi="Arial"/>
          <w:sz w:val="18"/>
          <w:szCs w:val="18"/>
          <w:color w:val="auto"/>
        </w:rPr>
      </w:pPr>
    </w:p>
    <w:p>
      <w:pPr>
        <w:ind w:left="1340" w:hanging="684"/>
        <w:spacing w:after="0"/>
        <w:tabs>
          <w:tab w:leader="none" w:pos="1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70" w:lineRule="exact"/>
        <w:rPr>
          <w:sz w:val="20"/>
          <w:szCs w:val="20"/>
          <w:color w:val="auto"/>
        </w:rPr>
      </w:pPr>
    </w:p>
    <w:p>
      <w:pPr>
        <w:ind w:right="460" w:firstLine="656"/>
        <w:spacing w:after="0" w:line="357" w:lineRule="auto"/>
        <w:tabs>
          <w:tab w:leader="none" w:pos="1328"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1340" w:hanging="684"/>
        <w:spacing w:after="0"/>
        <w:tabs>
          <w:tab w:leader="none" w:pos="1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980" w:hanging="675"/>
        <w:spacing w:after="0"/>
        <w:tabs>
          <w:tab w:leader="none" w:pos="1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w:t>
      </w:r>
    </w:p>
    <w:p>
      <w:pPr>
        <w:spacing w:after="0" w:line="73"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980" w:hanging="675"/>
        <w:spacing w:after="0"/>
        <w:tabs>
          <w:tab w:leader="none" w:pos="1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w:t>
      </w:r>
    </w:p>
    <w:p>
      <w:pPr>
        <w:spacing w:after="0" w:line="6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320" w:firstLine="645"/>
        <w:spacing w:after="0" w:line="395" w:lineRule="auto"/>
        <w:tabs>
          <w:tab w:leader="none" w:pos="1993" w:val="left"/>
        </w:tabs>
        <w:numPr>
          <w:ilvl w:val="0"/>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980" w:hanging="675"/>
        <w:spacing w:after="0"/>
        <w:tabs>
          <w:tab w:leader="none" w:pos="1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w:t>
      </w:r>
    </w:p>
    <w:p>
      <w:pPr>
        <w:spacing w:after="0" w:line="73"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520" w:firstLine="656"/>
        <w:spacing w:after="0" w:line="395" w:lineRule="auto"/>
        <w:tabs>
          <w:tab w:leader="none" w:pos="1328"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660" w:right="220" w:firstLine="645"/>
        <w:spacing w:after="0" w:line="357" w:lineRule="auto"/>
        <w:tabs>
          <w:tab w:leader="none" w:pos="1979"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60" w:right="240" w:firstLine="645"/>
        <w:spacing w:after="0" w:line="324" w:lineRule="auto"/>
        <w:tabs>
          <w:tab w:leader="none" w:pos="1989"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6, 2017</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Bonnie H. Anderson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S. Kennedy, certify that:</w:t>
      </w:r>
    </w:p>
    <w:p>
      <w:pPr>
        <w:spacing w:after="0" w:line="225" w:lineRule="exact"/>
        <w:rPr>
          <w:sz w:val="20"/>
          <w:szCs w:val="20"/>
          <w:color w:val="auto"/>
        </w:rPr>
      </w:pPr>
    </w:p>
    <w:p>
      <w:pPr>
        <w:ind w:left="1340" w:hanging="684"/>
        <w:spacing w:after="0"/>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 for the quarter ended September 30, 2017;</w:t>
      </w:r>
    </w:p>
    <w:p>
      <w:pPr>
        <w:spacing w:after="0" w:line="265" w:lineRule="exact"/>
        <w:rPr>
          <w:rFonts w:ascii="Arial" w:cs="Arial" w:eastAsia="Arial" w:hAnsi="Arial"/>
          <w:sz w:val="18"/>
          <w:szCs w:val="18"/>
          <w:color w:val="auto"/>
        </w:rPr>
      </w:pPr>
    </w:p>
    <w:p>
      <w:pPr>
        <w:ind w:left="1340" w:hanging="684"/>
        <w:spacing w:after="0"/>
        <w:tabs>
          <w:tab w:leader="none" w:pos="1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70" w:lineRule="exact"/>
        <w:rPr>
          <w:sz w:val="20"/>
          <w:szCs w:val="20"/>
          <w:color w:val="auto"/>
        </w:rPr>
      </w:pPr>
    </w:p>
    <w:p>
      <w:pPr>
        <w:ind w:right="460" w:firstLine="656"/>
        <w:spacing w:after="0" w:line="357" w:lineRule="auto"/>
        <w:tabs>
          <w:tab w:leader="none" w:pos="1328"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1340" w:hanging="684"/>
        <w:spacing w:after="0"/>
        <w:tabs>
          <w:tab w:leader="none" w:pos="1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980" w:hanging="675"/>
        <w:spacing w:after="0"/>
        <w:tabs>
          <w:tab w:leader="none" w:pos="19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w:t>
      </w:r>
    </w:p>
    <w:p>
      <w:pPr>
        <w:spacing w:after="0" w:line="73"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980" w:hanging="675"/>
        <w:spacing w:after="0"/>
        <w:tabs>
          <w:tab w:leader="none" w:pos="1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w:t>
      </w:r>
    </w:p>
    <w:p>
      <w:pPr>
        <w:spacing w:after="0" w:line="6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320" w:firstLine="645"/>
        <w:spacing w:after="0" w:line="395" w:lineRule="auto"/>
        <w:tabs>
          <w:tab w:leader="none" w:pos="1993" w:val="left"/>
        </w:tabs>
        <w:numPr>
          <w:ilvl w:val="0"/>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980" w:hanging="675"/>
        <w:spacing w:after="0"/>
        <w:tabs>
          <w:tab w:leader="none" w:pos="1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w:t>
      </w:r>
    </w:p>
    <w:p>
      <w:pPr>
        <w:spacing w:after="0" w:line="73"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520" w:firstLine="656"/>
        <w:spacing w:after="0" w:line="395" w:lineRule="auto"/>
        <w:tabs>
          <w:tab w:leader="none" w:pos="1328"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660" w:right="220" w:firstLine="645"/>
        <w:spacing w:after="0" w:line="357" w:lineRule="auto"/>
        <w:tabs>
          <w:tab w:leader="none" w:pos="1979"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60" w:right="240" w:firstLine="645"/>
        <w:spacing w:after="0" w:line="324" w:lineRule="auto"/>
        <w:tabs>
          <w:tab w:leader="none" w:pos="1989"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6, 2017</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Keith S.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Keith S. Kennedy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connection with the quarterly report of Veracyte, Inc. (the “Company”) on Form 10-Q for the quarter ended September 30, 2017,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1" w:lineRule="exact"/>
        <w:rPr>
          <w:sz w:val="20"/>
          <w:szCs w:val="20"/>
          <w:color w:val="auto"/>
        </w:rPr>
      </w:pPr>
    </w:p>
    <w:p>
      <w:pPr>
        <w:ind w:left="2000" w:hanging="695"/>
        <w:spacing w:after="0"/>
        <w:tabs>
          <w:tab w:leader="none" w:pos="2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2000" w:hanging="695"/>
        <w:spacing w:after="0"/>
        <w:tabs>
          <w:tab w:leader="none" w:pos="2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38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6, 2017</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Bonnie H. Anderson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connection with the quarterly report of Veracyte, Inc. (the “Company”) on Form 10-Q for the quarter ended September 30, 2017,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1" w:lineRule="exact"/>
        <w:rPr>
          <w:sz w:val="20"/>
          <w:szCs w:val="20"/>
          <w:color w:val="auto"/>
        </w:rPr>
      </w:pPr>
    </w:p>
    <w:p>
      <w:pPr>
        <w:ind w:left="2000" w:hanging="695"/>
        <w:spacing w:after="0"/>
        <w:tabs>
          <w:tab w:leader="none" w:pos="2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2000" w:hanging="695"/>
        <w:spacing w:after="0"/>
        <w:tabs>
          <w:tab w:leader="none" w:pos="2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38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6, 2017</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Keith S.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Keith S. Kennedy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1)"/>
      <w:numFmt w:val="lowerRoman"/>
      <w:start w:val="2"/>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1."/>
      <w:numFmt w:val="upperLetter"/>
      <w:start w:val="1"/>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1."/>
      <w:numFmt w:val="decimal"/>
      <w:start w:val="5"/>
    </w:lvl>
  </w:abstractNum>
  <w:abstractNum w:abstractNumId="24">
    <w:nsid w:val="6A2342EC"/>
    <w:multiLevelType w:val="hybridMultilevel"/>
    <w:lvl w:ilvl="0">
      <w:lvlJc w:val="left"/>
      <w:lvlText w:val="%1."/>
      <w:numFmt w:val="decimal"/>
      <w:start w:val="13"/>
    </w:lvl>
  </w:abstractNum>
  <w:abstractNum w:abstractNumId="25">
    <w:nsid w:val="2A487CB0"/>
    <w:multiLevelType w:val="hybridMultilevel"/>
    <w:lvl w:ilvl="0">
      <w:lvlJc w:val="left"/>
      <w:lvlText w:val="%1."/>
      <w:numFmt w:val="decimal"/>
      <w:start w:val="16"/>
    </w:lvl>
  </w:abstractNum>
  <w:abstractNum w:abstractNumId="26">
    <w:nsid w:val="1D4ED43B"/>
    <w:multiLevelType w:val="hybridMultilevel"/>
    <w:lvl w:ilvl="0">
      <w:lvlJc w:val="left"/>
      <w:lvlText w:val="%1."/>
      <w:numFmt w:val="decimal"/>
      <w:start w:val="20"/>
    </w:lvl>
  </w:abstractNum>
  <w:abstractNum w:abstractNumId="27">
    <w:nsid w:val="725A06FB"/>
    <w:multiLevelType w:val="hybridMultilevel"/>
    <w:lvl w:ilvl="0">
      <w:lvlJc w:val="left"/>
      <w:lvlText w:val="%1."/>
      <w:numFmt w:val="decimal"/>
      <w:start w:val="1"/>
    </w:lvl>
    <w:lvl w:ilvl="1">
      <w:lvlJc w:val="left"/>
      <w:lvlText w:val="(%2)"/>
      <w:numFmt w:val="lowerLetter"/>
      <w:start w:val="1"/>
    </w:lvl>
  </w:abstractNum>
  <w:abstractNum w:abstractNumId="28">
    <w:nsid w:val="2CD89A32"/>
    <w:multiLevelType w:val="hybridMultilevel"/>
    <w:lvl w:ilvl="0">
      <w:lvlJc w:val="left"/>
      <w:lvlText w:val="%1"/>
      <w:numFmt w:val="decimal"/>
      <w:start w:val="1"/>
    </w:lvl>
    <w:lvl w:ilvl="1">
      <w:lvlJc w:val="left"/>
      <w:lvlText w:val="(%2)"/>
      <w:numFmt w:val="lowerLetter"/>
      <w:start w:val="2"/>
    </w:lvl>
  </w:abstractNum>
  <w:abstractNum w:abstractNumId="29">
    <w:nsid w:val="57E4CCAF"/>
    <w:multiLevelType w:val="hybridMultilevel"/>
    <w:lvl w:ilvl="0">
      <w:lvlJc w:val="left"/>
      <w:lvlText w:val="%1."/>
      <w:numFmt w:val="decimal"/>
      <w:start w:val="4"/>
    </w:lvl>
    <w:lvl w:ilvl="1">
      <w:lvlJc w:val="left"/>
      <w:lvlText w:val="(%2)"/>
      <w:numFmt w:val="lowerLetter"/>
      <w:start w:val="1"/>
    </w:lvl>
  </w:abstractNum>
  <w:abstractNum w:abstractNumId="30">
    <w:nsid w:val="7A6D8D3C"/>
    <w:multiLevelType w:val="hybridMultilevel"/>
    <w:lvl w:ilvl="0">
      <w:lvlJc w:val="left"/>
      <w:lvlText w:val="%1"/>
      <w:numFmt w:val="lowerLetter"/>
      <w:start w:val="1"/>
    </w:lvl>
    <w:lvl w:ilvl="1">
      <w:lvlJc w:val="left"/>
      <w:lvlText w:val="(%2)"/>
      <w:numFmt w:val="lowerLetter"/>
      <w:start w:val="2"/>
    </w:lvl>
  </w:abstractNum>
  <w:abstractNum w:abstractNumId="31">
    <w:nsid w:val="4B588F54"/>
    <w:multiLevelType w:val="hybridMultilevel"/>
    <w:lvl w:ilvl="0">
      <w:lvlJc w:val="left"/>
      <w:lvlText w:val="(%1)"/>
      <w:numFmt w:val="lowerLetter"/>
      <w:start w:val="3"/>
    </w:lvl>
    <w:lvl w:ilvl="1">
      <w:lvlJc w:val="left"/>
      <w:lvlText w:val="%2"/>
      <w:numFmt w:val="lowerLetter"/>
      <w:start w:val="1"/>
    </w:lvl>
  </w:abstractNum>
  <w:abstractNum w:abstractNumId="32">
    <w:nsid w:val="542289EC"/>
    <w:multiLevelType w:val="hybridMultilevel"/>
    <w:lvl w:ilvl="0">
      <w:lvlJc w:val="left"/>
      <w:lvlText w:val="%1."/>
      <w:numFmt w:val="decimal"/>
      <w:start w:val="5"/>
    </w:lvl>
    <w:lvl w:ilvl="1">
      <w:lvlJc w:val="left"/>
      <w:lvlText w:val="(%2)"/>
      <w:numFmt w:val="lowerLetter"/>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lowerRoman"/>
      <w:start w:val="1"/>
    </w:lvl>
    <w:lvl w:ilvl="1">
      <w:lvlJc w:val="left"/>
      <w:lvlText w:val="(%2)"/>
      <w:numFmt w:val="decimal"/>
      <w:start w:val="2"/>
    </w:lvl>
  </w:abstractNum>
  <w:abstractNum w:abstractNumId="35">
    <w:nsid w:val="7644A45C"/>
    <w:multiLevelType w:val="hybridMultilevel"/>
    <w:lvl w:ilvl="0">
      <w:lvlJc w:val="left"/>
      <w:lvlText w:val="(%1)"/>
      <w:numFmt w:val="lowerRoman"/>
      <w:start w:val="4"/>
    </w:lvl>
    <w:lvl w:ilvl="1">
      <w:lvlJc w:val="left"/>
      <w:lvlText w:val="%2"/>
      <w:numFmt w:val="decimal"/>
      <w:start w:val="1"/>
    </w:lvl>
  </w:abstractNum>
  <w:abstractNum w:abstractNumId="36">
    <w:nsid w:val="32FFF902"/>
    <w:multiLevelType w:val="hybridMultilevel"/>
    <w:lvl w:ilvl="0">
      <w:lvlJc w:val="left"/>
      <w:lvlText w:val="(%1)"/>
      <w:numFmt w:val="lowerLetter"/>
      <w:start w:val="2"/>
    </w:lvl>
  </w:abstractNum>
  <w:abstractNum w:abstractNumId="37">
    <w:nsid w:val="684A481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38">
    <w:nsid w:val="579478FE"/>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39">
    <w:nsid w:val="749ABB43"/>
    <w:multiLevelType w:val="hybridMultilevel"/>
    <w:lvl w:ilvl="0">
      <w:lvlJc w:val="left"/>
      <w:lvlText w:val="(%1)"/>
      <w:numFmt w:val="lowerLetter"/>
      <w:start w:val="26"/>
    </w:lvl>
    <w:lvl w:ilvl="1">
      <w:lvlJc w:val="left"/>
      <w:lvlText w:val="%2."/>
      <w:numFmt w:val="decimal"/>
      <w:start w:val="10"/>
    </w:lvl>
    <w:lvl w:ilvl="2">
      <w:lvlJc w:val="left"/>
      <w:lvlText w:val="%3"/>
      <w:numFmt w:val="lowerLetter"/>
      <w:start w:val="1"/>
    </w:lvl>
  </w:abstractNum>
  <w:abstractNum w:abstractNumId="40">
    <w:nsid w:val="3DC240FB"/>
    <w:multiLevelType w:val="hybridMultilevel"/>
    <w:lvl w:ilvl="0">
      <w:lvlJc w:val="left"/>
      <w:lvlText w:val="%1."/>
      <w:numFmt w:val="decimal"/>
      <w:start w:val="12"/>
    </w:lvl>
  </w:abstractNum>
  <w:abstractNum w:abstractNumId="41">
    <w:nsid w:val="1BA026FA"/>
    <w:multiLevelType w:val="hybridMultilevel"/>
    <w:lvl w:ilvl="0">
      <w:lvlJc w:val="left"/>
      <w:lvlText w:val="%1."/>
      <w:numFmt w:val="decimal"/>
      <w:start w:val="13"/>
    </w:lvl>
  </w:abstractNum>
  <w:abstractNum w:abstractNumId="42">
    <w:nsid w:val="79A1DEAA"/>
    <w:multiLevelType w:val="hybridMultilevel"/>
    <w:lvl w:ilvl="0">
      <w:lvlJc w:val="left"/>
      <w:lvlText w:val="%1."/>
      <w:numFmt w:val="upperLetter"/>
      <w:start w:val="1"/>
    </w:lvl>
  </w:abstractNum>
  <w:abstractNum w:abstractNumId="43">
    <w:nsid w:val="75C6C33A"/>
    <w:multiLevelType w:val="hybridMultilevel"/>
    <w:lvl w:ilvl="0">
      <w:lvlJc w:val="left"/>
      <w:lvlText w:val="%1."/>
      <w:numFmt w:val="upperLetter"/>
      <w:start w:val="7"/>
    </w:lvl>
  </w:abstractNum>
  <w:abstractNum w:abstractNumId="44">
    <w:nsid w:val="12E685FB"/>
    <w:multiLevelType w:val="hybridMultilevel"/>
    <w:lvl w:ilvl="0">
      <w:lvlJc w:val="left"/>
      <w:lvlText w:val="%1."/>
      <w:numFmt w:val="upperLetter"/>
      <w:start w:val="1"/>
    </w:lvl>
    <w:lvl w:ilvl="1">
      <w:lvlJc w:val="left"/>
      <w:lvlText w:val="(%2)"/>
      <w:numFmt w:val="decimal"/>
      <w:start w:val="1"/>
    </w:lvl>
  </w:abstractNum>
  <w:abstractNum w:abstractNumId="45">
    <w:nsid w:val="70C6A529"/>
    <w:multiLevelType w:val="hybridMultilevel"/>
    <w:lvl w:ilvl="0">
      <w:lvlJc w:val="left"/>
      <w:lvlText w:val="%1."/>
      <w:numFmt w:val="upperLetter"/>
      <w:start w:val="4"/>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decimal"/>
      <w:start w:val="3"/>
    </w:lvl>
  </w:abstractNum>
  <w:abstractNum w:abstractNumId="48">
    <w:nsid w:val="4F4EF005"/>
    <w:multiLevelType w:val="hybridMultilevel"/>
    <w:lvl w:ilvl="0">
      <w:lvlJc w:val="left"/>
      <w:lvlText w:val="%1)"/>
      <w:numFmt w:val="lowerLetter"/>
      <w:start w:val="1"/>
    </w:lvl>
  </w:abstractNum>
  <w:abstractNum w:abstractNumId="49">
    <w:nsid w:val="23F9C13C"/>
    <w:multiLevelType w:val="hybridMultilevel"/>
    <w:lvl w:ilvl="0">
      <w:lvlJc w:val="left"/>
      <w:lvlText w:val="%1)"/>
      <w:numFmt w:val="lowerLetter"/>
      <w:start w:val="2"/>
    </w:lvl>
  </w:abstractNum>
  <w:abstractNum w:abstractNumId="50">
    <w:nsid w:val="649BB77C"/>
    <w:multiLevelType w:val="hybridMultilevel"/>
    <w:lvl w:ilvl="0">
      <w:lvlJc w:val="left"/>
      <w:lvlText w:val="%1)"/>
      <w:numFmt w:val="lowerLetter"/>
      <w:start w:val="3"/>
    </w:lvl>
  </w:abstractNum>
  <w:abstractNum w:abstractNumId="51">
    <w:nsid w:val="275AC794"/>
    <w:multiLevelType w:val="hybridMultilevel"/>
    <w:lvl w:ilvl="0">
      <w:lvlJc w:val="left"/>
      <w:lvlText w:val="%1."/>
      <w:numFmt w:val="decimal"/>
      <w:start w:val="5"/>
    </w:lvl>
    <w:lvl w:ilvl="1">
      <w:lvlJc w:val="left"/>
      <w:lvlText w:val="%2)"/>
      <w:numFmt w:val="lowerLetter"/>
      <w:start w:val="1"/>
    </w:lvl>
  </w:abstractNum>
  <w:abstractNum w:abstractNumId="52">
    <w:nsid w:val="39386575"/>
    <w:multiLevelType w:val="hybridMultilevel"/>
    <w:lvl w:ilvl="0">
      <w:lvlJc w:val="left"/>
      <w:lvlText w:val="%1."/>
      <w:numFmt w:val="decimal"/>
      <w:start w:val="1"/>
    </w:lvl>
  </w:abstractNum>
  <w:abstractNum w:abstractNumId="53">
    <w:nsid w:val="1CF10FD8"/>
    <w:multiLevelType w:val="hybridMultilevel"/>
    <w:lvl w:ilvl="0">
      <w:lvlJc w:val="left"/>
      <w:lvlText w:val="%1."/>
      <w:numFmt w:val="decimal"/>
      <w:start w:val="3"/>
    </w:lvl>
  </w:abstractNum>
  <w:abstractNum w:abstractNumId="54">
    <w:nsid w:val="180115BE"/>
    <w:multiLevelType w:val="hybridMultilevel"/>
    <w:lvl w:ilvl="0">
      <w:lvlJc w:val="left"/>
      <w:lvlText w:val="%1)"/>
      <w:numFmt w:val="lowerLetter"/>
      <w:start w:val="1"/>
    </w:lvl>
  </w:abstractNum>
  <w:abstractNum w:abstractNumId="55">
    <w:nsid w:val="235BA861"/>
    <w:multiLevelType w:val="hybridMultilevel"/>
    <w:lvl w:ilvl="0">
      <w:lvlJc w:val="left"/>
      <w:lvlText w:val="%1)"/>
      <w:numFmt w:val="lowerLetter"/>
      <w:start w:val="2"/>
    </w:lvl>
  </w:abstractNum>
  <w:abstractNum w:abstractNumId="56">
    <w:nsid w:val="47398C89"/>
    <w:multiLevelType w:val="hybridMultilevel"/>
    <w:lvl w:ilvl="0">
      <w:lvlJc w:val="left"/>
      <w:lvlText w:val="%1)"/>
      <w:numFmt w:val="lowerLetter"/>
      <w:start w:val="3"/>
    </w:lvl>
  </w:abstractNum>
  <w:abstractNum w:abstractNumId="57">
    <w:nsid w:val="354FE9F9"/>
    <w:multiLevelType w:val="hybridMultilevel"/>
    <w:lvl w:ilvl="0">
      <w:lvlJc w:val="left"/>
      <w:lvlText w:val="%1."/>
      <w:numFmt w:val="decimal"/>
      <w:start w:val="5"/>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2019-12-29T03:44:49Z</dcterms:created>
  <dcterms:modified xsi:type="dcterms:W3CDTF">2019-12-29T03:44:49Z</dcterms:modified>
</cp:coreProperties>
</file>