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15, 2022</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VERACYTE,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43"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302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139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2"/>
              </w:rPr>
              <w:t>(State or other jurisdiction of</w:t>
            </w:r>
          </w:p>
        </w:tc>
        <w:tc>
          <w:tcPr>
            <w:tcW w:w="37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4"/>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Arial" w:cs="Arial" w:eastAsia="Arial" w:hAnsi="Arial"/>
                <w:sz w:val="18"/>
                <w:szCs w:val="18"/>
                <w:color w:val="auto"/>
                <w:w w:val="93"/>
              </w:rPr>
              <w:t>No.)</w:t>
            </w:r>
          </w:p>
        </w:tc>
      </w:tr>
      <w:tr>
        <w:trPr>
          <w:trHeight w:val="36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94080</w:t>
            </w:r>
          </w:p>
        </w:tc>
      </w:tr>
      <w:tr>
        <w:trPr>
          <w:trHeight w:val="257"/>
        </w:trPr>
        <w:tc>
          <w:tcPr>
            <w:tcW w:w="674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stockholders of Veracyte, Inc. (“Veracyte”) voted on the following proposals at Veracyte’s Annual Meeting of Stockholders held on June 15, 2022:</w:t>
      </w:r>
    </w:p>
    <w:p>
      <w:pPr>
        <w:spacing w:after="0" w:line="275" w:lineRule="exact"/>
        <w:rPr>
          <w:sz w:val="20"/>
          <w:szCs w:val="20"/>
          <w:color w:val="auto"/>
        </w:rPr>
      </w:pPr>
    </w:p>
    <w:p>
      <w:pPr>
        <w:ind w:right="20" w:firstLine="332"/>
        <w:spacing w:after="0" w:line="263" w:lineRule="auto"/>
        <w:tabs>
          <w:tab w:leader="none" w:pos="63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Class III Directors were nominated to serve until the 2025 Annual Meeting of Stockholders or until their successors are duly elected and qualified: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For</w:t>
            </w:r>
          </w:p>
        </w:tc>
        <w:tc>
          <w:tcPr>
            <w:tcW w:w="2180" w:type="dxa"/>
            <w:vAlign w:val="bottom"/>
            <w:gridSpan w:val="2"/>
          </w:tcPr>
          <w:p>
            <w:pPr>
              <w:ind w:left="620"/>
              <w:spacing w:after="0"/>
              <w:rPr>
                <w:sz w:val="20"/>
                <w:szCs w:val="20"/>
                <w:color w:val="auto"/>
              </w:rPr>
            </w:pPr>
            <w:r>
              <w:rPr>
                <w:rFonts w:ascii="Arial" w:cs="Arial" w:eastAsia="Arial" w:hAnsi="Arial"/>
                <w:sz w:val="18"/>
                <w:szCs w:val="18"/>
                <w:b w:val="1"/>
                <w:bCs w:val="1"/>
                <w:color w:val="auto"/>
              </w:rPr>
              <w:t>Against</w:t>
            </w:r>
          </w:p>
        </w:tc>
        <w:tc>
          <w:tcPr>
            <w:tcW w:w="2180" w:type="dxa"/>
            <w:vAlign w:val="bottom"/>
            <w:gridSpan w:val="2"/>
          </w:tcPr>
          <w:p>
            <w:pPr>
              <w:ind w:left="620"/>
              <w:spacing w:after="0"/>
              <w:rPr>
                <w:sz w:val="20"/>
                <w:szCs w:val="20"/>
                <w:color w:val="auto"/>
              </w:rPr>
            </w:pPr>
            <w:r>
              <w:rPr>
                <w:rFonts w:ascii="Arial" w:cs="Arial" w:eastAsia="Arial" w:hAnsi="Arial"/>
                <w:sz w:val="18"/>
                <w:szCs w:val="18"/>
                <w:b w:val="1"/>
                <w:bCs w:val="1"/>
                <w:color w:val="auto"/>
              </w:rPr>
              <w:t>Abstain</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196"/>
        </w:trPr>
        <w:tc>
          <w:tcPr>
            <w:tcW w:w="2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Karin Eastham</w:t>
            </w:r>
          </w:p>
        </w:tc>
        <w:tc>
          <w:tcPr>
            <w:tcW w:w="18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52,211,923</w:t>
            </w:r>
          </w:p>
        </w:tc>
        <w:tc>
          <w:tcPr>
            <w:tcW w:w="34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12,051,310</w:t>
            </w:r>
          </w:p>
        </w:tc>
        <w:tc>
          <w:tcPr>
            <w:tcW w:w="34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ind w:right="550"/>
              <w:spacing w:after="0" w:line="196" w:lineRule="exact"/>
              <w:rPr>
                <w:sz w:val="20"/>
                <w:szCs w:val="20"/>
                <w:color w:val="auto"/>
              </w:rPr>
            </w:pPr>
            <w:r>
              <w:rPr>
                <w:rFonts w:ascii="Arial" w:cs="Arial" w:eastAsia="Arial" w:hAnsi="Arial"/>
                <w:sz w:val="18"/>
                <w:szCs w:val="18"/>
                <w:color w:val="auto"/>
              </w:rPr>
              <w:t>190,531</w:t>
            </w:r>
          </w:p>
        </w:tc>
        <w:tc>
          <w:tcPr>
            <w:tcW w:w="34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2,812,253</w:t>
            </w: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Jens Holstein</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64,322,026</w:t>
            </w:r>
          </w:p>
        </w:tc>
        <w:tc>
          <w:tcPr>
            <w:tcW w:w="340" w:type="dxa"/>
            <w:vAlign w:val="bottom"/>
          </w:tcPr>
          <w:p>
            <w:pPr>
              <w:spacing w:after="0"/>
              <w:rPr>
                <w:sz w:val="20"/>
                <w:szCs w:val="20"/>
                <w:color w:val="auto"/>
              </w:rPr>
            </w:pPr>
          </w:p>
        </w:tc>
        <w:tc>
          <w:tcPr>
            <w:tcW w:w="1840" w:type="dxa"/>
            <w:vAlign w:val="bottom"/>
          </w:tcPr>
          <w:p>
            <w:pPr>
              <w:jc w:val="right"/>
              <w:ind w:right="550"/>
              <w:spacing w:after="0"/>
              <w:rPr>
                <w:sz w:val="20"/>
                <w:szCs w:val="20"/>
                <w:color w:val="auto"/>
              </w:rPr>
            </w:pPr>
            <w:r>
              <w:rPr>
                <w:rFonts w:ascii="Arial" w:cs="Arial" w:eastAsia="Arial" w:hAnsi="Arial"/>
                <w:sz w:val="18"/>
                <w:szCs w:val="18"/>
                <w:color w:val="auto"/>
              </w:rPr>
              <w:t>120,540</w:t>
            </w:r>
          </w:p>
        </w:tc>
        <w:tc>
          <w:tcPr>
            <w:tcW w:w="340" w:type="dxa"/>
            <w:vAlign w:val="bottom"/>
          </w:tcPr>
          <w:p>
            <w:pPr>
              <w:spacing w:after="0"/>
              <w:rPr>
                <w:sz w:val="20"/>
                <w:szCs w:val="20"/>
                <w:color w:val="auto"/>
              </w:rPr>
            </w:pP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11,198</w:t>
            </w:r>
          </w:p>
        </w:tc>
        <w:tc>
          <w:tcPr>
            <w:tcW w:w="34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2,812,253</w:t>
            </w:r>
          </w:p>
        </w:tc>
      </w:tr>
    </w:tbl>
    <w:p>
      <w:pPr>
        <w:spacing w:after="0" w:line="29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of the two nominees for director was elected to serve until the 2025 annual meeting of stockholders and until their successors are duly elected and qualified.</w:t>
      </w:r>
    </w:p>
    <w:p>
      <w:pPr>
        <w:spacing w:after="0" w:line="197"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The ratification of the appointment of Ernst &amp; Young LLP as Veracyte’s independent registered public accounting firm for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For</w:t>
            </w:r>
          </w:p>
        </w:tc>
        <w:tc>
          <w:tcPr>
            <w:tcW w:w="2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Against</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196"/>
        </w:trPr>
        <w:tc>
          <w:tcPr>
            <w:tcW w:w="2500" w:type="dxa"/>
            <w:vAlign w:val="bottom"/>
            <w:tcBorders>
              <w:top w:val="single" w:sz="8" w:color="auto"/>
            </w:tcBorders>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rPr>
              <w:t>67,194,440</w:t>
            </w:r>
          </w:p>
        </w:tc>
        <w:tc>
          <w:tcPr>
            <w:tcW w:w="3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930"/>
              <w:spacing w:after="0" w:line="196" w:lineRule="exact"/>
              <w:rPr>
                <w:sz w:val="20"/>
                <w:szCs w:val="20"/>
                <w:color w:val="auto"/>
              </w:rPr>
            </w:pPr>
            <w:r>
              <w:rPr>
                <w:rFonts w:ascii="Arial" w:cs="Arial" w:eastAsia="Arial" w:hAnsi="Arial"/>
                <w:sz w:val="18"/>
                <w:szCs w:val="18"/>
                <w:color w:val="auto"/>
              </w:rPr>
              <w:t>61,572</w:t>
            </w:r>
          </w:p>
        </w:tc>
        <w:tc>
          <w:tcPr>
            <w:tcW w:w="3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930"/>
              <w:spacing w:after="0" w:line="196" w:lineRule="exact"/>
              <w:rPr>
                <w:sz w:val="20"/>
                <w:szCs w:val="20"/>
                <w:color w:val="auto"/>
              </w:rPr>
            </w:pPr>
            <w:r>
              <w:rPr>
                <w:rFonts w:ascii="Arial" w:cs="Arial" w:eastAsia="Arial" w:hAnsi="Arial"/>
                <w:sz w:val="18"/>
                <w:szCs w:val="18"/>
                <w:color w:val="auto"/>
              </w:rPr>
              <w:t>10,005</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stockholders ratified the appointment of Ernst &amp; Young LLP as Veracyte’s independent registered public accounting firm for the fiscal year ending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December 31, 2022.</w:t>
            </w:r>
          </w:p>
        </w:tc>
        <w:tc>
          <w:tcPr>
            <w:tcW w:w="2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45"/>
        </w:trPr>
        <w:tc>
          <w:tcPr>
            <w:tcW w:w="8440" w:type="dxa"/>
            <w:vAlign w:val="bottom"/>
            <w:gridSpan w:val="6"/>
          </w:tcPr>
          <w:p>
            <w:pPr>
              <w:ind w:left="340"/>
              <w:spacing w:after="0"/>
              <w:rPr>
                <w:sz w:val="20"/>
                <w:szCs w:val="20"/>
                <w:color w:val="auto"/>
              </w:rPr>
            </w:pPr>
            <w:r>
              <w:rPr>
                <w:rFonts w:ascii="Arial" w:cs="Arial" w:eastAsia="Arial" w:hAnsi="Arial"/>
                <w:sz w:val="18"/>
                <w:szCs w:val="18"/>
                <w:color w:val="auto"/>
                <w:w w:val="91"/>
              </w:rPr>
              <w:t>3.  The approval, on a non-binding advisory basis, of the compensation of Veracyte’s named executive officers:</w:t>
            </w:r>
          </w:p>
        </w:tc>
        <w:tc>
          <w:tcPr>
            <w:tcW w:w="2500" w:type="dxa"/>
            <w:vAlign w:val="bottom"/>
          </w:tcPr>
          <w:p>
            <w:pPr>
              <w:spacing w:after="0"/>
              <w:rPr>
                <w:sz w:val="24"/>
                <w:szCs w:val="24"/>
                <w:color w:val="auto"/>
              </w:rPr>
            </w:pPr>
          </w:p>
        </w:tc>
      </w:tr>
      <w:tr>
        <w:trPr>
          <w:trHeight w:val="473"/>
        </w:trPr>
        <w:tc>
          <w:tcPr>
            <w:tcW w:w="2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For</w:t>
            </w:r>
          </w:p>
        </w:tc>
        <w:tc>
          <w:tcPr>
            <w:tcW w:w="2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Against</w:t>
            </w:r>
          </w:p>
        </w:tc>
        <w:tc>
          <w:tcPr>
            <w:tcW w:w="2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Abstain</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196"/>
        </w:trPr>
        <w:tc>
          <w:tcPr>
            <w:tcW w:w="2500" w:type="dxa"/>
            <w:vAlign w:val="bottom"/>
            <w:tcBorders>
              <w:top w:val="single" w:sz="8" w:color="auto"/>
            </w:tcBorders>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rPr>
              <w:t>59,077,731</w:t>
            </w:r>
          </w:p>
        </w:tc>
        <w:tc>
          <w:tcPr>
            <w:tcW w:w="30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rPr>
              <w:t>5,356,352</w:t>
            </w:r>
          </w:p>
        </w:tc>
        <w:tc>
          <w:tcPr>
            <w:tcW w:w="3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910"/>
              <w:spacing w:after="0" w:line="196" w:lineRule="exact"/>
              <w:rPr>
                <w:sz w:val="20"/>
                <w:szCs w:val="20"/>
                <w:color w:val="auto"/>
              </w:rPr>
            </w:pPr>
            <w:r>
              <w:rPr>
                <w:rFonts w:ascii="Arial" w:cs="Arial" w:eastAsia="Arial" w:hAnsi="Arial"/>
                <w:sz w:val="18"/>
                <w:szCs w:val="18"/>
                <w:color w:val="auto"/>
              </w:rPr>
              <w:t>19,681</w:t>
            </w:r>
          </w:p>
        </w:tc>
        <w:tc>
          <w:tcPr>
            <w:tcW w:w="3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rPr>
              <w:t>2,812,253</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approved, on a non-binding advisory basis, the compensation of Veracyte’s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June 16, 2022</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458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Rebecca Chambers</w:t>
            </w:r>
          </w:p>
        </w:tc>
      </w:tr>
      <w:tr>
        <w:trPr>
          <w:trHeight w:val="243"/>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5660" w:type="dxa"/>
            <w:vAlign w:val="bottom"/>
          </w:tcPr>
          <w:p>
            <w:pPr>
              <w:ind w:left="80"/>
              <w:spacing w:after="0"/>
              <w:rPr>
                <w:sz w:val="20"/>
                <w:szCs w:val="20"/>
                <w:color w:val="auto"/>
              </w:rPr>
            </w:pPr>
            <w:r>
              <w:rPr>
                <w:rFonts w:ascii="Arial" w:cs="Arial" w:eastAsia="Arial" w:hAnsi="Arial"/>
                <w:sz w:val="18"/>
                <w:szCs w:val="18"/>
                <w:color w:val="auto"/>
              </w:rPr>
              <w:t>Rebecca Chambers</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66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r>
      <w:tr>
        <w:trPr>
          <w:trHeight w:val="257"/>
        </w:trPr>
        <w:tc>
          <w:tcPr>
            <w:tcW w:w="920" w:type="dxa"/>
            <w:vAlign w:val="bottom"/>
          </w:tcPr>
          <w:p>
            <w:pPr>
              <w:spacing w:after="0"/>
              <w:rPr>
                <w:sz w:val="22"/>
                <w:szCs w:val="22"/>
                <w:color w:val="auto"/>
              </w:rPr>
            </w:pPr>
          </w:p>
        </w:tc>
        <w:tc>
          <w:tcPr>
            <w:tcW w:w="56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00"/>
      </w:cols>
      <w:pgMar w:left="320" w:top="14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2022-06-16T15:17:48Z</dcterms:created>
  <dcterms:modified xsi:type="dcterms:W3CDTF">2022-06-16T15:17:48Z</dcterms:modified>
</cp:coreProperties>
</file>