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1,087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41,226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12/03/2024</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7"/>
                <w:szCs w:val="17"/>
                <w:color w:val="0000FF"/>
              </w:rPr>
              <w:t>956</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43.3603</w:t>
            </w:r>
          </w:p>
        </w:tc>
        <w:tc>
          <w:tcPr>
            <w:tcW w:w="3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40,270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381, 362, and 344 shares of common stock to satisfy the reporting person's tax withholding obligations in connection with the vesting of 750, 713, and 677 Restricted Stock Units granted on February 22, 2022,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2024-12-04T16:00:44Z</dcterms:created>
  <dcterms:modified xsi:type="dcterms:W3CDTF">2024-12-04T16:00:44Z</dcterms:modified>
</cp:coreProperties>
</file>