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185062639314.xml.htm"/>
      <w:bookmarkStart w:id="1" w:name="kswfform4_16818506263931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Anderson Bonnie H</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6000 SHORELINE COURT</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300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SOUTH SAN FRANCISCO</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94080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VERACYTE, INC.</w:t>
              </w:r>
            </w:hyperlink>
            <w:r>
              <w:rPr/>
              <w:t xml:space="preserve"> [ </w:t>
            </w:r>
            <w:r>
              <w:rPr>
                <w:rFonts w:ascii="Times;serif" w:hAnsi="Times;serif"/>
                <w:color w:val="0000FF"/>
                <w:sz w:val="24"/>
                <w:highlight w:val="white"/>
              </w:rPr>
              <w:t>VCYT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04/14/2023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063"/>
        <w:gridCol w:w="910"/>
        <w:gridCol w:w="781"/>
        <w:gridCol w:w="604"/>
        <w:gridCol w:w="340"/>
        <w:gridCol w:w="908"/>
        <w:gridCol w:w="426"/>
        <w:gridCol w:w="982"/>
        <w:gridCol w:w="1119"/>
        <w:gridCol w:w="967"/>
        <w:gridCol w:w="11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0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1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10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06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1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04/14/2023</w:t>
            </w:r>
          </w:p>
        </w:tc>
        <w:tc>
          <w:tcPr>
            <w:tcW w:w="78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M</w:t>
            </w:r>
            <w:r>
              <w:rPr>
                <w:rFonts w:ascii="Times;serif" w:hAnsi="Times;serif"/>
                <w:color w:val="008000"/>
                <w:position w:val="7"/>
                <w:sz w:val="16"/>
                <w:sz w:val="20"/>
                <w:highlight w:val="white"/>
              </w:rPr>
              <w:t>(1)</w:t>
            </w:r>
            <w:r>
              <w:rPr/>
              <w:t xml:space="preserve"> </w:t>
            </w:r>
          </w:p>
        </w:tc>
        <w:tc>
          <w:tcPr>
            <w:tcW w:w="3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34,000</w:t>
            </w:r>
          </w:p>
        </w:tc>
        <w:tc>
          <w:tcPr>
            <w:tcW w:w="4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5.61</w:t>
            </w:r>
            <w:r>
              <w:rPr/>
              <w:t xml:space="preserve"> </w:t>
            </w:r>
          </w:p>
        </w:tc>
        <w:tc>
          <w:tcPr>
            <w:tcW w:w="111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76,681</w:t>
            </w:r>
          </w:p>
        </w:tc>
        <w:tc>
          <w:tcPr>
            <w:tcW w:w="9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10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06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1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04/14/2023</w:t>
            </w:r>
          </w:p>
        </w:tc>
        <w:tc>
          <w:tcPr>
            <w:tcW w:w="78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34,000</w:t>
            </w:r>
          </w:p>
        </w:tc>
        <w:tc>
          <w:tcPr>
            <w:tcW w:w="4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22.0399</w:t>
            </w:r>
            <w:r>
              <w:rPr>
                <w:rFonts w:ascii="Times;serif" w:hAnsi="Times;serif"/>
                <w:color w:val="008000"/>
                <w:position w:val="7"/>
                <w:sz w:val="16"/>
                <w:sz w:val="20"/>
                <w:highlight w:val="white"/>
              </w:rPr>
              <w:t>(2)</w:t>
            </w:r>
            <w:r>
              <w:rPr/>
              <w:t xml:space="preserve"> </w:t>
            </w:r>
          </w:p>
        </w:tc>
        <w:tc>
          <w:tcPr>
            <w:tcW w:w="111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42,681</w:t>
            </w:r>
          </w:p>
        </w:tc>
        <w:tc>
          <w:tcPr>
            <w:tcW w:w="9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10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06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1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1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134,800</w:t>
            </w:r>
          </w:p>
        </w:tc>
        <w:tc>
          <w:tcPr>
            <w:tcW w:w="96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The Bonnie H. Anderson Living Trust</w:t>
            </w:r>
          </w:p>
        </w:tc>
      </w:tr>
    </w:tbl>
    <w:tbl>
      <w:tblPr>
        <w:tblW w:w="12029" w:type="dxa"/>
        <w:jc w:val="left"/>
        <w:tblInd w:w="0" w:type="dxa"/>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5.61</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04/14/2023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M</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34,000</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03/14/2026</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34,000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34,117</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transactions on this Form 4 were made pursuant to a Rule 10b5-1 plan adopted by the reporting person on August 25,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Represents weighted average sales price. Sale prices for the transactions range from $21.78 to $22.65. Detailed information regarding the number of shares sold at each separate price will be provided to the SEC, the issuer or a shareholder upon request.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option is fully vested.</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On December 13, 2021, 11,286 shares were transferred from the Reporting Person to the The Bonnie H. Anderson Living Trust and Forms 4 filed between March 4, 2022 and March 16, 2023 do not reflect this transfer, and therefore the Reporting Person's direct holdings were overstated by 11,286 shares and the trust holdings were understated by the same number of shares.</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Jonathan Wygant, as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04/18/2023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88970" TargetMode="External"/><Relationship Id="rId4" Type="http://schemas.openxmlformats.org/officeDocument/2006/relationships/hyperlink" Target="http://www.sec.gov/cgi-bin/browse-edgar?action=getcompany&amp;CIK=000138410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724</Words>
  <CharactersWithSpaces>4523</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