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2025, Veracyte, Inc. issued a press release announcing its financial results for the quarter ended June 30, 2025.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8x06x20258xkearningsa.htm">
              <w:r>
                <w:rPr>
                  <w:rStyle w:val="InternetLink"/>
                  <w:rFonts w:ascii="Times New Roman;serif" w:hAnsi="Times New Roman;serif"/>
                  <w:b w:val="false"/>
                  <w:color w:val="000080"/>
                  <w:sz w:val="20"/>
                  <w:u w:val="single"/>
                </w:rPr>
                <w:t xml:space="preserve">Press release issued by Veracyte, Inc. dated </w:t>
              </w:r>
            </w:hyperlink>
            <w:hyperlink w:anchor="vcyt-08x06x20258xkearningsa.htm">
              <w:r>
                <w:rPr>
                  <w:rStyle w:val="InternetLink"/>
                  <w:rFonts w:ascii="Times New Roman;serif" w:hAnsi="Times New Roman;serif"/>
                  <w:b w:val="false"/>
                  <w:color w:val="000080"/>
                  <w:sz w:val="20"/>
                  <w:u w:val="single"/>
                </w:rPr>
                <w:t>August 6</w:t>
              </w:r>
            </w:hyperlink>
            <w:hyperlink w:anchor="vcyt-08x06x20258xkearningsa.htm">
              <w:r>
                <w:rPr>
                  <w:rStyle w:val="InternetLink"/>
                  <w:rFonts w:ascii="Times New Roman;serif" w:hAnsi="Times New Roman;serif"/>
                  <w:b w:val="false"/>
                  <w:color w:val="000080"/>
                  <w:sz w:val="20"/>
                  <w:u w:val="single"/>
                </w:rPr>
                <w:t>, 2025.</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66" w:type="dxa"/>
        <w:jc w:val="left"/>
        <w:tblInd w:w="0" w:type="dxa"/>
        <w:tblLayout w:type="fixed"/>
        <w:tblCellMar>
          <w:top w:w="28" w:type="dxa"/>
          <w:left w:w="28" w:type="dxa"/>
          <w:bottom w:w="28" w:type="dxa"/>
          <w:right w:w="28" w:type="dxa"/>
        </w:tblCellMar>
      </w:tblPr>
      <w:tblGrid>
        <w:gridCol w:w="260"/>
        <w:gridCol w:w="229"/>
        <w:gridCol w:w="231"/>
        <w:gridCol w:w="449"/>
        <w:gridCol w:w="449"/>
        <w:gridCol w:w="451"/>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Second Quarter 2025 Financial Results</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Grew total revenue to $130.2 million and testing revenue to $122.3 million, representing increases of 14% year-over-year</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SOUTH SAN FRANCISCO, Calif., August 6, 2025 --- Veracyte, Inc. (Nasdaq: VCYT), a leading cancer diagnostics company, today announced financial results for the second quarter ended June 30, 2025.</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Testing growth continues to exceed our expectations, driven by Decipher which achieved its thirteenth consecutive quarter of over 25% year-over-year volume growth” said Marc Stapley, Veracyte’s chief executive officer. “This strong result, combined with Afirma volume meeting our expectations and the resolution of the French subsidiary proceedings, has positioned us for incremental investment in our strategic portfolio in the second half of 2025 and beyond, strengthening our confidence in delivering sustained long-term revenue growth. Backed by our differentiated platform and a growing body of clinical evidence, we are deeply committed to improving outcomes for patients around the world.”</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Key Financial Highlights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the three-month period ended June 30, 2025, as compared to the same period in 2024:</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revenue by 14% to $130.2 million and testing revenue by 14% to $122.3 million.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volume by 15% to 44,966 tests and testing volume by 18% to 42,441 tests.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Decipher revenue by 24% to $76.3 million and Afirma revenue by 5% to $43.4 million.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Decipher volume by 28% to approximately 25,500 tests and Afirma volume by 8% to approximately 16,950 tests.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Recorded GAAP net loss of $1.0 million, or (0.8%) of revenue, including $20.5 million of one-time impairment charges, and adjusted EBITDA of $35.8 million, or 27.5% of revenue.</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Generated $33.6 million of cash from operations to end the quarter with $320.7 million of cash, cash equivalents, and short-term investments as of June 30, 2025.</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Provided full year revenue guidance of $496 million to $504 million; raised testing revenue guidance to $477 million to $483 million or 14% to 15% year-over-year growth.</w:t>
      </w:r>
    </w:p>
    <w:p>
      <w:pPr>
        <w:pStyle w:val="TextBody"/>
        <w:bidi w:val="0"/>
        <w:spacing w:lineRule="auto" w:line="268" w:before="120" w:after="283"/>
        <w:jc w:val="both"/>
        <w:rPr>
          <w:rFonts w:ascii="Arial;sans-serif" w:hAnsi="Arial;sans-serif"/>
          <w:b/>
          <w:color w:val="000000"/>
          <w:sz w:val="20"/>
        </w:rPr>
      </w:pPr>
      <w:r>
        <w:rPr>
          <w:rFonts w:ascii="Arial;sans-serif" w:hAnsi="Arial;sans-serif"/>
          <w:b/>
          <w:color w:val="000000"/>
          <w:sz w:val="20"/>
        </w:rPr>
        <w:t>Key Business Highlights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Kicked off our high risk and metastatic growth strategy with the full launch of Decipher for use in the metastatic population in June, engaging physicians in understanding the utility of Decipher in aiding decision making on treatment intensification.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Demonstrated utility of Decipher Prostate and Decipher Bladder Genomic Classifiers as well as the Decipher GRID research capabilities through 29 abstracts presented and nine new publications.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Supported the presentation of seven different abstracts covering clinical Afirma GSC data and research with Afirma GRID at scientific and medical conferences, and saw the publication of the first study detailing the development and validation of tumor behavior classifiers offered on the Afirma GRID research report, in </w:t>
      </w:r>
      <w:r>
        <w:rPr>
          <w:rFonts w:ascii="Arial;sans-serif" w:hAnsi="Arial;sans-serif"/>
          <w:b w:val="false"/>
          <w:i/>
          <w:color w:val="000000"/>
          <w:sz w:val="20"/>
        </w:rPr>
        <w:t>Frontiers in Endocrinology.</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Added to the clinical data demonstrating that Prosigna accurately classifies patients’ risk of recurrence with the presentation of 10-year clinical outcomes data from the OPTIMA Prelim study at ESMO Breast Cancer Annual Congress.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Completed the French entity restructuring process as it relates to the sale of the Veracyte SAS product manufacturing business and deconsolidation of the Veracyte SAS operations (see below).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A reconciliation of GAAP to non-GAAP financial measures has been provided in the tables included in this press release. An explanation of these measures is also included below under the heading "Note Regarding Use of Non-GAAP Financial Measures." </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Second Quarter 2025 Financial Results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revenue for the second quarter of 2025 was $130.2 million, an increase of 14% compared to $114.4 million reported in the second quarter of 2024. Testing revenue was $122.3 million, an increase of 14% compared to $107.0 million in the second quarter of 2024, driven by our Decipher Prostate and Afirma tests. Product revenue was $3.6 million, a decrease of 8% compared to $3.9 million in the second quarter of 2024. Biopharmaceutical and other revenue was $4.3 million, an increase of 21% compared to $3.6 million in the second quarter of 2024.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second quarter of 2025 was 69%, compared to 68% in the second quarter of 2024. Non-GAAP gross margin was 72%, compared to 71% in the second quarter of 2024.</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were $95.0 million for the second quarter of 2025 including $20.5 million of impairment given the partial sale and subsequent liquidation proceedings of our French subsidiary. Non-GAAP operating expenses grew 2% to $60.3 million compared to $59.0 million in the second quarter of 2024.</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loss for the second quarter of 2025 was $1.0 million, a decrease of 117% compared to the second quarter of 2024. Diluted net loss per common share was $0.01, a decrease of $0.08 compared to the second quarter of 2024. Non-GAAP diluted net earnings per common share was $0.44, an increase of $0.14 compared to the second quarter of 2024. Net cash provided by operating activities in the first six months of 2025 was $39.0 million, an improvement of $18.4 million compared to the same period in 2024.</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EBITDA for the second quarter of 2025 was $35.8 million, an improvement of 49% compared to the second quarter of 2024, representing 27.5% of revenue compared to 21.0% of revenue in the same period of 2024.</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 xml:space="preserve">Update on Marseille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previously communicated, on May 7, 2025, the Commercial Court of Marseille opened restructuring proceedings related to Veracyte SAS, Veracyte Inc.'s French subsidiary. These proceedings allowed the court-appointed representative to evaluate opportunities for sale of all or part of the Veracyte SAS business, including Veracyte's immune-oncology biopharma business, contract IVD development and manufacturing and support for Veracyte's IVD product development and manufacturing.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July 16, 2025, the Marseille Commercial Court published a decision approving the sale of the manufacturing operations of Veracyte SAS to Helio Diagnostics SAS. The sale closed on August 1, 2025. Following the sale, the remaining Veracyte SAS assets will continue to be managed by the court-appointed administration until formal liquidation proceedings are opened, at which point the proceeding will be managed solely by a court-appointed judicial liquidator. Given the sale and subsequent liquidation proceedings we took a $20.5 million impairment charge on related assets in Q2 and have deconsolidated the entity as of August 1, 2025, the effective date of the sale.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Management will provide further details on the potential impact to Veracyte’s 2025 financial outlook during the conference call this afternoon.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2025 Financial Outlook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is raising full-year 2025 testing revenue guidance to $477 million to $483 million, or 14% to 15% year-over-year growth, from prior guidance of $470 million to $480 million. Adjusting for the impact of the paused Envisia test, the guidance implies 16% to 17% year-over-year testing revenue growth. Given the resolution of the French subsidiary proceedings, the company is initiating full-year 2025 total revenue guidance of $496 million to $504 million, or 11% to 13% year-over-year growth.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Additionally, the company is raising guidance for adjusted EBITDA as a percentage of revenue in 2025 to 23.5% from 22.5%.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The company is unable to provide a quantitative reconciliation of expected adjusted EBITDA as a percentage of revenue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company’s control, or that cannot be reasonably predicted. Such adjustments include, but are not limited to, acquisition-related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sans-serif" w:hAnsi="Arial;sans-serif"/>
          <w:b w:val="false"/>
          <w:color w:val="0000FF"/>
          <w:sz w:val="20"/>
        </w:rPr>
        <w:t>https://edge.media-server.com/mmc/p/5gqvvmtt</w:t>
      </w:r>
      <w:r>
        <w:rPr>
          <w:rFonts w:ascii="Arial;sans-serif" w:hAnsi="Arial;sans-serif"/>
          <w:b w:val="false"/>
          <w:color w:val="000000"/>
          <w:sz w:val="20"/>
        </w:rPr>
        <w: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conference call dial-in can be accessed by registering at the following link</w:t>
      </w:r>
      <w:r>
        <w:rPr>
          <w:rFonts w:ascii="Arial;sans-serif" w:hAnsi="Arial;sans-serif"/>
          <w:b w:val="false"/>
          <w:color w:val="0000FF"/>
          <w:sz w:val="20"/>
        </w:rPr>
        <w:t>: https://register-conf.media-server.com/register/BIa43bf725ecd6429ca843c042bb78bdf8.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2222"/>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sans-serif" w:hAnsi="Arial;sans-serif"/>
          <w:b w:val="false"/>
          <w:color w:val="000000"/>
          <w:sz w:val="20"/>
          <w:shd w:fill="FFFFFF" w:val="clear"/>
        </w:rPr>
        <w:t xml:space="preserve">For more information, please visit </w:t>
      </w:r>
      <w:r>
        <w:rPr>
          <w:rFonts w:ascii="Arial;sans-serif" w:hAnsi="Arial;sans-serif"/>
          <w:b w:val="false"/>
          <w:color w:val="0563C1"/>
          <w:sz w:val="20"/>
          <w:shd w:fill="FFFFFF" w:val="clear"/>
        </w:rPr>
        <w:t xml:space="preserve">www.veracyte.com </w:t>
      </w:r>
      <w:r>
        <w:rPr>
          <w:rFonts w:ascii="Arial;sans-serif" w:hAnsi="Arial;sans-serif"/>
          <w:b w:val="false"/>
          <w:color w:val="000000"/>
          <w:sz w:val="20"/>
          <w:shd w:fill="FFFFFF" w:val="clear"/>
        </w:rPr>
        <w:t xml:space="preserve">or follow us on </w:t>
      </w:r>
      <w:r>
        <w:rPr>
          <w:rFonts w:ascii="Arial;sans-serif" w:hAnsi="Arial;sans-serif"/>
          <w:b w:val="false"/>
          <w:color w:val="0563C1"/>
          <w:sz w:val="20"/>
          <w:shd w:fill="FFFFFF" w:val="clear"/>
        </w:rPr>
        <w:t xml:space="preserve">LinkedIn </w:t>
      </w:r>
      <w:r>
        <w:rPr>
          <w:rFonts w:ascii="Arial;sans-serif" w:hAnsi="Arial;sans-serif"/>
          <w:b w:val="false"/>
          <w:color w:val="000000"/>
          <w:sz w:val="20"/>
          <w:shd w:fill="FFFFFF" w:val="clear"/>
        </w:rPr>
        <w:t xml:space="preserve">or </w:t>
      </w:r>
      <w:r>
        <w:rPr>
          <w:rFonts w:ascii="Arial;sans-serif" w:hAnsi="Arial;sans-serif"/>
          <w:b w:val="false"/>
          <w:color w:val="0563C1"/>
          <w:sz w:val="20"/>
          <w:shd w:fill="FFFFFF" w:val="clear"/>
        </w:rPr>
        <w:t>X (Twitter).</w:t>
      </w:r>
    </w:p>
    <w:p>
      <w:pPr>
        <w:pStyle w:val="TextBody"/>
        <w:bidi w:val="0"/>
        <w:spacing w:lineRule="auto" w:line="268"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plans, objectives, and expectations (financial and otherwise), including with respect to our Marseille, France operations, 2025 financial and operating results; and our intentions with respect to our tests and products, for use in diagnosing and treating diseases, in and outside of the United States.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the impact of foreign currency fluctuations, volatile interest rates, inflation, the impact of legislation and policies enacted by the current U.S. administration;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28, 2025,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Veracyte, the Veracyte logo, Decipher, C2i Genomics, and Afirma are registered trademarks of Veracyte, Inc., and its subsidiaries in the U.S. and selected countries.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adjusted EBITDA, adjusted EBITDA as a percentage of revenue, non-GAAP net income, and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non‐GAAP information and the reconciliation between these presentations. See “Reconciliation of U.S. GAAP to Non-GAAP Financial Measures” for a reconciliation of each non-GAAP measure presented to the comparable 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32"/>
        <w:gridCol w:w="1346"/>
        <w:gridCol w:w="1353"/>
        <w:gridCol w:w="222"/>
        <w:gridCol w:w="904"/>
        <w:gridCol w:w="110"/>
        <w:gridCol w:w="110"/>
        <w:gridCol w:w="110"/>
        <w:gridCol w:w="110"/>
        <w:gridCol w:w="222"/>
        <w:gridCol w:w="904"/>
        <w:gridCol w:w="110"/>
        <w:gridCol w:w="109"/>
        <w:gridCol w:w="109"/>
        <w:gridCol w:w="109"/>
        <w:gridCol w:w="222"/>
        <w:gridCol w:w="904"/>
        <w:gridCol w:w="109"/>
        <w:gridCol w:w="109"/>
        <w:gridCol w:w="109"/>
        <w:gridCol w:w="109"/>
        <w:gridCol w:w="222"/>
        <w:gridCol w:w="904"/>
        <w:gridCol w:w="157"/>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Testing revenue</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122,263 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197,273 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130,164 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114,428 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211,272 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(1)</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53,899 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cost of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40,395 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89,769 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77,913 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140,381 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32,430 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operating expenses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140,431 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(5,268)</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7,361 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share:</w:t>
            </w:r>
          </w:p>
        </w:tc>
        <w:tc>
          <w:tcPr>
            <w:tcW w:w="1236"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earnings (loss) per common share:</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78,391,502 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76,538,325 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78,210,881 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75,649,057 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78,391,502 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77,163,149 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79,905,121 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76,600,079 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364" w:type="dxa"/>
        <w:jc w:val="center"/>
        <w:tblInd w:w="0" w:type="dxa"/>
        <w:tblLayout w:type="fixed"/>
        <w:tblCellMar>
          <w:top w:w="28" w:type="dxa"/>
          <w:left w:w="28" w:type="dxa"/>
          <w:bottom w:w="28" w:type="dxa"/>
          <w:right w:w="28" w:type="dxa"/>
        </w:tblCellMar>
      </w:tblPr>
      <w:tblGrid>
        <w:gridCol w:w="1359"/>
        <w:gridCol w:w="1193"/>
        <w:gridCol w:w="1198"/>
        <w:gridCol w:w="243"/>
        <w:gridCol w:w="867"/>
        <w:gridCol w:w="125"/>
        <w:gridCol w:w="125"/>
        <w:gridCol w:w="125"/>
        <w:gridCol w:w="125"/>
        <w:gridCol w:w="243"/>
        <w:gridCol w:w="746"/>
        <w:gridCol w:w="125"/>
        <w:gridCol w:w="109"/>
        <w:gridCol w:w="109"/>
        <w:gridCol w:w="109"/>
        <w:gridCol w:w="215"/>
        <w:gridCol w:w="766"/>
        <w:gridCol w:w="111"/>
        <w:gridCol w:w="111"/>
        <w:gridCol w:w="111"/>
        <w:gridCol w:w="111"/>
        <w:gridCol w:w="215"/>
        <w:gridCol w:w="766"/>
        <w:gridCol w:w="157"/>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11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5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21"/>
        <w:gridCol w:w="1074"/>
        <w:gridCol w:w="1030"/>
        <w:gridCol w:w="281"/>
        <w:gridCol w:w="1004"/>
        <w:gridCol w:w="145"/>
        <w:gridCol w:w="145"/>
        <w:gridCol w:w="145"/>
        <w:gridCol w:w="145"/>
        <w:gridCol w:w="281"/>
        <w:gridCol w:w="863"/>
        <w:gridCol w:w="145"/>
        <w:gridCol w:w="145"/>
        <w:gridCol w:w="145"/>
        <w:gridCol w:w="145"/>
        <w:gridCol w:w="281"/>
        <w:gridCol w:w="1004"/>
        <w:gridCol w:w="145"/>
        <w:gridCol w:w="145"/>
        <w:gridCol w:w="145"/>
        <w:gridCol w:w="145"/>
        <w:gridCol w:w="281"/>
        <w:gridCol w:w="929"/>
        <w:gridCol w:w="216"/>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INCOME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income (loss)</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15,702 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30,198 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7"/>
        <w:gridCol w:w="1439"/>
        <w:gridCol w:w="1383"/>
        <w:gridCol w:w="351"/>
        <w:gridCol w:w="1703"/>
        <w:gridCol w:w="181"/>
        <w:gridCol w:w="181"/>
        <w:gridCol w:w="181"/>
        <w:gridCol w:w="181"/>
        <w:gridCol w:w="351"/>
        <w:gridCol w:w="1703"/>
        <w:gridCol w:w="181"/>
        <w:gridCol w:w="163"/>
      </w:tblGrid>
      <w:tr>
        <w:trPr/>
        <w:tc>
          <w:tcPr>
            <w:tcW w:w="220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219,499 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101,220 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50,814 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46,525 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414,681 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372,267 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38,679 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773,255 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745,800 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1,344,104 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1,300,035 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other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76,433 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78,633 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44,232 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123,047 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124,069 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1,221,057 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1,175,966 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1,344,104 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1,300,035 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2024 has been derived from the audited financial statements at that date included in the Company's Annual Report on Form 10-K for the year ended December 31, 2024, filed with the Securities and Exchange Commission on February 28, 2025.</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12"/>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77"/>
        <w:gridCol w:w="1722"/>
        <w:gridCol w:w="1727"/>
        <w:gridCol w:w="335"/>
        <w:gridCol w:w="1360"/>
        <w:gridCol w:w="172"/>
        <w:gridCol w:w="172"/>
        <w:gridCol w:w="172"/>
        <w:gridCol w:w="172"/>
        <w:gridCol w:w="335"/>
        <w:gridCol w:w="1360"/>
        <w:gridCol w:w="501"/>
      </w:tblGrid>
      <w:tr>
        <w:trPr/>
        <w:tc>
          <w:tcPr>
            <w:tcW w:w="217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11,328 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(10,086)</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(3,266)</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20,609 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C2i, net of cash acquired</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(99,998)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maturity of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51,061 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(4,904)</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(52,042)</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(7,050)</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Increase (decrease) in cash, cash equivalents and restricted cash</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(20,125)</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19,842 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increase (decrease) in cash, cash equivalents and restricted cash</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(19,478)</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19,673 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221,153 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237,003 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219,499 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239,087 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221,153 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240,631 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89"/>
        <w:gridCol w:w="862"/>
        <w:gridCol w:w="864"/>
        <w:gridCol w:w="246"/>
        <w:gridCol w:w="879"/>
        <w:gridCol w:w="334"/>
        <w:gridCol w:w="127"/>
        <w:gridCol w:w="127"/>
        <w:gridCol w:w="127"/>
        <w:gridCol w:w="246"/>
        <w:gridCol w:w="879"/>
        <w:gridCol w:w="334"/>
        <w:gridCol w:w="127"/>
        <w:gridCol w:w="127"/>
        <w:gridCol w:w="127"/>
        <w:gridCol w:w="246"/>
        <w:gridCol w:w="1002"/>
        <w:gridCol w:w="334"/>
        <w:gridCol w:w="127"/>
        <w:gridCol w:w="127"/>
        <w:gridCol w:w="127"/>
        <w:gridCol w:w="246"/>
        <w:gridCol w:w="1002"/>
        <w:gridCol w:w="399"/>
      </w:tblGrid>
      <w:tr>
        <w:trPr/>
        <w:tc>
          <w:tcPr>
            <w:tcW w:w="118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Cost of Revenue:</w:t>
            </w:r>
          </w:p>
        </w:tc>
        <w:tc>
          <w:tcPr>
            <w:tcW w:w="14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testing revenue</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27,920 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53,899 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testing revenue</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27,423 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59,679 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52,946 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product revenue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product revenue</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4,516 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biopharmaceutical and other revenue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biopharmaceutical and other revenue</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6,448 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Gross Margin:</w:t>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89,769 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77,913 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169,277 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140,381 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3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5,824 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93,076 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81,426 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175,689 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147,362 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1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For the six months ended June 30, 2024, adjustments consist primarily of transaction-related expenses associated with the acquisition of C2i Genomics.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2.For the three months ended June 30, 2025, and six months ended June 30, 2025, adjustments include expenses related to Veracyte SAS investment review. For the six months ended June 30, 2024, adjustments include expenses related to restructuring cost associated with portfolio prioritization.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44"/>
        <w:gridCol w:w="919"/>
        <w:gridCol w:w="921"/>
        <w:gridCol w:w="279"/>
        <w:gridCol w:w="995"/>
        <w:gridCol w:w="144"/>
        <w:gridCol w:w="144"/>
        <w:gridCol w:w="144"/>
        <w:gridCol w:w="144"/>
        <w:gridCol w:w="279"/>
        <w:gridCol w:w="995"/>
        <w:gridCol w:w="144"/>
        <w:gridCol w:w="144"/>
        <w:gridCol w:w="144"/>
        <w:gridCol w:w="144"/>
        <w:gridCol w:w="279"/>
        <w:gridCol w:w="1135"/>
        <w:gridCol w:w="144"/>
        <w:gridCol w:w="144"/>
        <w:gridCol w:w="144"/>
        <w:gridCol w:w="144"/>
        <w:gridCol w:w="279"/>
        <w:gridCol w:w="1135"/>
        <w:gridCol w:w="217"/>
      </w:tblGrid>
      <w:tr>
        <w:trPr/>
        <w:tc>
          <w:tcPr>
            <w:tcW w:w="10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Operating Expenses:</w:t>
            </w:r>
          </w:p>
        </w:tc>
        <w:tc>
          <w:tcPr>
            <w:tcW w:w="14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32,430 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(3,658)</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28,099 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sales and marketing</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45,614 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43,545 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66,139 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(4,585)</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22,562 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40,361 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total operating expenses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171,641 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140,431 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(16,782)</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total operating expenses</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59,037 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120,813 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112,004 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June 30, 2025, adjustments consist primarily of transaction-related expenses associated with contingent consideration related to the NanoString Technologies, Inc. ("NanoString") transaction ($1.0 million) partially offset by contingent consideration associated with the C2i Genomics Ltd ("C2i Genomics") acquisition ($0.1 million). For the three months ended June 30, 2024, adjustments consist primarily of transaction-related expenses associated with the acquisition of C2i Genomics ($1.0 million) and adjustments relating to the remeasurement of contingent consideration related to our adoption of a multi-platform IVD strategy ($0.1 million). For the six months ended June 30, 2025, adjustments consist primarily of transaction-related expenses associated with the acquisition of C2i Genomics ($1.4 million) partially offset by NanoString contingent consideration ($1.0 million). For the six months ended June 30, 2024, adjustments consist of transaction-related expenses associated with the acquisition of C2i Genomics.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2.For the three months ended June 30, 2025, adjustments primarily include expenses related to Veracyte SAS impairment loss ($20.5 million) and Veracyte SAS investment review ($4.2 million). For the three months ended June 30, 2024, adjustments primarily include expense related to restructuring costs associated with a reduction in our Biopharmaceutical and Other segment ($2.9 million) and expense related to restructuring costs associated with portfolio prioritization including the reduction in Envisia commercial support ($0.2 million). For the six months ended June 30, 2025, adjustments include additional expenses related to Veracyte SAS investment review ($3.8 million) partially offset by adjustments related to restructuring costs ($0.1 million). For the six months ended June 30, 2024, adjustments include additional restructuring costs associated with the portfolio prioritization including the reduction in Envisia commercial support ($1.4 million).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5"/>
        <w:gridCol w:w="1105"/>
        <w:gridCol w:w="1107"/>
        <w:gridCol w:w="246"/>
        <w:gridCol w:w="880"/>
        <w:gridCol w:w="313"/>
        <w:gridCol w:w="111"/>
        <w:gridCol w:w="111"/>
        <w:gridCol w:w="111"/>
        <w:gridCol w:w="246"/>
        <w:gridCol w:w="880"/>
        <w:gridCol w:w="291"/>
        <w:gridCol w:w="111"/>
        <w:gridCol w:w="111"/>
        <w:gridCol w:w="111"/>
        <w:gridCol w:w="246"/>
        <w:gridCol w:w="880"/>
        <w:gridCol w:w="291"/>
        <w:gridCol w:w="111"/>
        <w:gridCol w:w="111"/>
        <w:gridCol w:w="111"/>
        <w:gridCol w:w="246"/>
        <w:gridCol w:w="880"/>
        <w:gridCol w:w="340"/>
      </w:tblGrid>
      <w:tr>
        <w:trPr/>
        <w:tc>
          <w:tcPr>
            <w:tcW w:w="12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EBITDA:</w:t>
            </w:r>
          </w:p>
        </w:tc>
        <w:tc>
          <w:tcPr>
            <w:tcW w:w="14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 as a % of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 (2)</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(6,313)</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35,776 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24,040 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60,491 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38,433 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Net Income (Loss)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34,952 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23,403 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59,428 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38,032 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Earnings per Share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Rounding and impact of dilutive shares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non-GAAP</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0.74 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used in computing diluted earnings per share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GAAP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78,391,502 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77,163,149 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79,905,121 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76,600,079 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equity awards (5)</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1,057,711 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non-GAAP</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79,449,213 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77,163,149 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79,905,121 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76,600,079 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60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June 30, 2025, adjustments consist primarily of transaction-related expenses associated with contingent consideration related to NanoString ($1.0 million) partially offset by contingent consideration associated with the acquisition of C2i Genomics ($0.1 million). For the three months ended June 30, 2024, adjustments consist primarily of transaction related expenses associated with the acquisition of C2i Genomics ($1.0 million) and adjustments relating to the remeasurement of contingent consideration related to our adoption of a multi-platform IVD strategy ($0.1 million). For the six months ended June 30, 2025, adjustments consist primarily of transaction-related expenses associated with the acquisition of C2i Genomics ($1.4 million) partially offset by NanoString contingent consideration ($1.0 million). For the six months ended June 30, 2024, adjustments consist of transaction-related expenses associated with the acquisition of C2i Genomics.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2.Includes interest income and income related to research tax credits.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 xml:space="preserve">3.For the three months ended June 30, 2025, adjustments primarily include expenses related to Veracyte SAS impairment loss ($20.5 million) and Veracyte SAS investment review ($4.2 million), partially offset by the exclusion of unrealized gains associated with foreign exchange impacts on stock-based compensation and intercompany loans ($2.5 million). For the three months ended June 30, 2024, adjustments primarily include expense related to restructuring costs associated with a reduction in our Biopharmaceutical and Other segment ($2.9 million) and expense related to restructuring costs associated with portfolio prioritization including the reduction in Envisia commercial support ($0.2 million). For the six months ended June 30, 2025 adjustments include additional expenses related to Veracyte SAS investment review ($3.8 million) partially offset by adjustments related to restructuring costs ($0.1 million) and additional exclusion of unrealized gains associated with foreign exchange impacts on stock-based compensation and intercompany loans ($1.1 million). For the six months ended June 30, 2024, adjustments include additional restructuring costs associated with the portfolio prioritization including the reduction in Envisia commercial support ($1.4 million).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4.Incremental non-GAAP tax expense reflects the tax impact of the non-GAAP adjustments listed.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5.In those periods in which GAAP net (loss) income is negative and non-GAAP net (loss) income is positive, non-GAAP diluted weighted average shares outstanding includes potentially dilutive common shares from equity awards as determined using the treasury stock method.</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Shayla Gorman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Tracy Morris</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650-380-4413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5271</Words>
  <Characters>30685</Characters>
  <CharactersWithSpaces>35360</CharactersWithSpaces>
  <Paragraphs>1092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