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40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July 22, 2020</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VERACYTE,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3020" w:type="dxa"/>
            <w:vAlign w:val="bottom"/>
          </w:tcPr>
          <w:p>
            <w:pPr>
              <w:jc w:val="center"/>
              <w:ind w:right="830"/>
              <w:spacing w:after="0"/>
              <w:rPr>
                <w:sz w:val="20"/>
                <w:szCs w:val="20"/>
                <w:color w:val="auto"/>
              </w:rPr>
            </w:pPr>
            <w:r>
              <w:rPr>
                <w:rFonts w:ascii="Arial" w:cs="Arial" w:eastAsia="Arial" w:hAnsi="Arial"/>
                <w:sz w:val="18"/>
                <w:szCs w:val="18"/>
                <w:b w:val="1"/>
                <w:bCs w:val="1"/>
                <w:color w:val="auto"/>
                <w:w w:val="93"/>
              </w:rPr>
              <w:t>Delaware</w:t>
            </w:r>
          </w:p>
        </w:tc>
        <w:tc>
          <w:tcPr>
            <w:tcW w:w="3700" w:type="dxa"/>
            <w:vAlign w:val="bottom"/>
          </w:tcPr>
          <w:p>
            <w:pPr>
              <w:jc w:val="right"/>
              <w:ind w:right="1370"/>
              <w:spacing w:after="0"/>
              <w:rPr>
                <w:sz w:val="20"/>
                <w:szCs w:val="20"/>
                <w:color w:val="auto"/>
              </w:rPr>
            </w:pPr>
            <w:r>
              <w:rPr>
                <w:rFonts w:ascii="Arial" w:cs="Arial" w:eastAsia="Arial" w:hAnsi="Arial"/>
                <w:sz w:val="18"/>
                <w:szCs w:val="18"/>
                <w:b w:val="1"/>
                <w:bCs w:val="1"/>
                <w:color w:val="auto"/>
              </w:rPr>
              <w:t>001-36156</w:t>
            </w:r>
          </w:p>
        </w:tc>
        <w:tc>
          <w:tcPr>
            <w:tcW w:w="3000" w:type="dxa"/>
            <w:vAlign w:val="bottom"/>
          </w:tcPr>
          <w:p>
            <w:pPr>
              <w:jc w:val="center"/>
              <w:ind w:left="810"/>
              <w:spacing w:after="0"/>
              <w:rPr>
                <w:sz w:val="20"/>
                <w:szCs w:val="20"/>
                <w:color w:val="auto"/>
              </w:rPr>
            </w:pPr>
            <w:r>
              <w:rPr>
                <w:rFonts w:ascii="Arial" w:cs="Arial" w:eastAsia="Arial" w:hAnsi="Arial"/>
                <w:sz w:val="18"/>
                <w:szCs w:val="18"/>
                <w:b w:val="1"/>
                <w:bCs w:val="1"/>
                <w:color w:val="auto"/>
                <w:w w:val="89"/>
              </w:rPr>
              <w:t>20-5455398</w:t>
            </w:r>
          </w:p>
        </w:tc>
      </w:tr>
      <w:tr>
        <w:trPr>
          <w:trHeight w:val="216"/>
        </w:trPr>
        <w:tc>
          <w:tcPr>
            <w:tcW w:w="3020" w:type="dxa"/>
            <w:vAlign w:val="bottom"/>
          </w:tcPr>
          <w:p>
            <w:pPr>
              <w:jc w:val="center"/>
              <w:ind w:right="830"/>
              <w:spacing w:after="0"/>
              <w:rPr>
                <w:sz w:val="20"/>
                <w:szCs w:val="20"/>
                <w:color w:val="auto"/>
              </w:rPr>
            </w:pPr>
            <w:r>
              <w:rPr>
                <w:rFonts w:ascii="Arial" w:cs="Arial" w:eastAsia="Arial" w:hAnsi="Arial"/>
                <w:sz w:val="18"/>
                <w:szCs w:val="18"/>
                <w:color w:val="auto"/>
                <w:w w:val="93"/>
              </w:rPr>
              <w:t>(State or other jurisdiction of</w:t>
            </w:r>
          </w:p>
        </w:tc>
        <w:tc>
          <w:tcPr>
            <w:tcW w:w="370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000" w:type="dxa"/>
            <w:vAlign w:val="bottom"/>
          </w:tcPr>
          <w:p>
            <w:pPr>
              <w:ind w:left="900"/>
              <w:spacing w:after="0"/>
              <w:rPr>
                <w:sz w:val="20"/>
                <w:szCs w:val="20"/>
                <w:color w:val="auto"/>
              </w:rPr>
            </w:pPr>
            <w:r>
              <w:rPr>
                <w:rFonts w:ascii="Arial" w:cs="Arial" w:eastAsia="Arial" w:hAnsi="Arial"/>
                <w:sz w:val="18"/>
                <w:szCs w:val="18"/>
                <w:color w:val="auto"/>
                <w:w w:val="93"/>
              </w:rPr>
              <w:t>(IRS Employer Identification</w:t>
            </w:r>
          </w:p>
        </w:tc>
      </w:tr>
      <w:tr>
        <w:trPr>
          <w:trHeight w:val="230"/>
        </w:trPr>
        <w:tc>
          <w:tcPr>
            <w:tcW w:w="3020" w:type="dxa"/>
            <w:vAlign w:val="bottom"/>
          </w:tcPr>
          <w:p>
            <w:pPr>
              <w:jc w:val="center"/>
              <w:ind w:right="830"/>
              <w:spacing w:after="0"/>
              <w:rPr>
                <w:sz w:val="20"/>
                <w:szCs w:val="20"/>
                <w:color w:val="auto"/>
              </w:rPr>
            </w:pPr>
            <w:r>
              <w:rPr>
                <w:rFonts w:ascii="Arial" w:cs="Arial" w:eastAsia="Arial" w:hAnsi="Arial"/>
                <w:sz w:val="18"/>
                <w:szCs w:val="18"/>
                <w:color w:val="auto"/>
                <w:w w:val="92"/>
              </w:rPr>
              <w:t>incorporation)</w:t>
            </w:r>
          </w:p>
        </w:tc>
        <w:tc>
          <w:tcPr>
            <w:tcW w:w="3700" w:type="dxa"/>
            <w:vAlign w:val="bottom"/>
          </w:tcPr>
          <w:p>
            <w:pPr>
              <w:spacing w:after="0"/>
              <w:rPr>
                <w:sz w:val="20"/>
                <w:szCs w:val="20"/>
                <w:color w:val="auto"/>
              </w:rPr>
            </w:pPr>
          </w:p>
        </w:tc>
        <w:tc>
          <w:tcPr>
            <w:tcW w:w="3000" w:type="dxa"/>
            <w:vAlign w:val="bottom"/>
          </w:tcPr>
          <w:p>
            <w:pPr>
              <w:jc w:val="center"/>
              <w:ind w:left="810"/>
              <w:spacing w:after="0"/>
              <w:rPr>
                <w:sz w:val="20"/>
                <w:szCs w:val="20"/>
                <w:color w:val="auto"/>
              </w:rPr>
            </w:pPr>
            <w:r>
              <w:rPr>
                <w:rFonts w:ascii="Arial" w:cs="Arial" w:eastAsia="Arial" w:hAnsi="Arial"/>
                <w:sz w:val="18"/>
                <w:szCs w:val="18"/>
                <w:color w:val="auto"/>
                <w:w w:val="99"/>
              </w:rPr>
              <w:t>No.)</w:t>
            </w:r>
          </w:p>
        </w:tc>
      </w:tr>
      <w:tr>
        <w:trPr>
          <w:trHeight w:val="850"/>
        </w:trPr>
        <w:tc>
          <w:tcPr>
            <w:tcW w:w="6720" w:type="dxa"/>
            <w:vAlign w:val="bottom"/>
            <w:gridSpan w:val="2"/>
          </w:tcPr>
          <w:p>
            <w:pPr>
              <w:jc w:val="center"/>
              <w:ind w:right="1530"/>
              <w:spacing w:after="0"/>
              <w:rPr>
                <w:sz w:val="20"/>
                <w:szCs w:val="20"/>
                <w:color w:val="auto"/>
              </w:rPr>
            </w:pPr>
            <w:r>
              <w:rPr>
                <w:rFonts w:ascii="Arial" w:cs="Arial" w:eastAsia="Arial" w:hAnsi="Arial"/>
                <w:sz w:val="18"/>
                <w:szCs w:val="18"/>
                <w:b w:val="1"/>
                <w:bCs w:val="1"/>
                <w:color w:val="auto"/>
                <w:w w:val="90"/>
              </w:rPr>
              <w:t>6000 Shoreline Court, Suite 300, South San Francisco, California</w:t>
            </w:r>
          </w:p>
        </w:tc>
        <w:tc>
          <w:tcPr>
            <w:tcW w:w="3000" w:type="dxa"/>
            <w:vAlign w:val="bottom"/>
          </w:tcPr>
          <w:p>
            <w:pPr>
              <w:jc w:val="center"/>
              <w:ind w:left="850"/>
              <w:spacing w:after="0"/>
              <w:rPr>
                <w:sz w:val="20"/>
                <w:szCs w:val="20"/>
                <w:color w:val="auto"/>
              </w:rPr>
            </w:pPr>
            <w:r>
              <w:rPr>
                <w:rFonts w:ascii="Arial" w:cs="Arial" w:eastAsia="Arial" w:hAnsi="Arial"/>
                <w:sz w:val="18"/>
                <w:szCs w:val="18"/>
                <w:b w:val="1"/>
                <w:bCs w:val="1"/>
                <w:color w:val="auto"/>
                <w:w w:val="91"/>
              </w:rPr>
              <w:t>94080</w:t>
            </w:r>
          </w:p>
        </w:tc>
      </w:tr>
      <w:tr>
        <w:trPr>
          <w:trHeight w:val="230"/>
        </w:trPr>
        <w:tc>
          <w:tcPr>
            <w:tcW w:w="6720" w:type="dxa"/>
            <w:vAlign w:val="bottom"/>
            <w:gridSpan w:val="2"/>
          </w:tcPr>
          <w:p>
            <w:pPr>
              <w:jc w:val="center"/>
              <w:ind w:right="155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jc w:val="center"/>
              <w:ind w:left="850"/>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left="120" w:right="50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640" w:hanging="565"/>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640" w:hanging="565"/>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40" w:hanging="565"/>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40" w:hanging="565"/>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32"/>
        </w:trPr>
        <w:tc>
          <w:tcPr>
            <w:tcW w:w="8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40" w:type="dxa"/>
            <w:vAlign w:val="bottom"/>
          </w:tcPr>
          <w:p>
            <w:pPr>
              <w:spacing w:after="0"/>
              <w:rPr>
                <w:sz w:val="24"/>
                <w:szCs w:val="24"/>
                <w:color w:val="auto"/>
              </w:rPr>
            </w:pPr>
          </w:p>
        </w:tc>
        <w:tc>
          <w:tcPr>
            <w:tcW w:w="20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6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Common Stock, par value, $0.001 per share</w:t>
            </w:r>
          </w:p>
        </w:tc>
        <w:tc>
          <w:tcPr>
            <w:tcW w:w="140" w:type="dxa"/>
            <w:vAlign w:val="bottom"/>
          </w:tcPr>
          <w:p>
            <w:pPr>
              <w:spacing w:after="0"/>
              <w:rPr>
                <w:sz w:val="19"/>
                <w:szCs w:val="19"/>
                <w:color w:val="auto"/>
              </w:rPr>
            </w:pPr>
          </w:p>
        </w:tc>
        <w:tc>
          <w:tcPr>
            <w:tcW w:w="2040" w:type="dxa"/>
            <w:vAlign w:val="bottom"/>
          </w:tcPr>
          <w:p>
            <w:pPr>
              <w:ind w:left="780"/>
              <w:spacing w:after="0"/>
              <w:rPr>
                <w:sz w:val="20"/>
                <w:szCs w:val="20"/>
                <w:color w:val="auto"/>
              </w:rPr>
            </w:pPr>
            <w:r>
              <w:rPr>
                <w:rFonts w:ascii="Arial" w:cs="Arial" w:eastAsia="Arial" w:hAnsi="Arial"/>
                <w:sz w:val="18"/>
                <w:szCs w:val="18"/>
                <w:color w:val="auto"/>
              </w:rPr>
              <w:t>VCYT</w:t>
            </w:r>
          </w:p>
        </w:tc>
        <w:tc>
          <w:tcPr>
            <w:tcW w:w="16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60" w:right="18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left="60" w:right="4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758825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37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On July 22, 2020, following recommendation from the Nominating and Corporate Governance Committee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Veracyte, Inc. (the “</w:t>
      </w:r>
      <w:r>
        <w:rPr>
          <w:rFonts w:ascii="Arial" w:cs="Arial" w:eastAsia="Arial" w:hAnsi="Arial"/>
          <w:sz w:val="18"/>
          <w:szCs w:val="18"/>
          <w:b w:val="1"/>
          <w:bCs w:val="1"/>
          <w:color w:val="auto"/>
        </w:rPr>
        <w:t>Company</w:t>
      </w:r>
      <w:r>
        <w:rPr>
          <w:rFonts w:ascii="Arial" w:cs="Arial" w:eastAsia="Arial" w:hAnsi="Arial"/>
          <w:sz w:val="18"/>
          <w:szCs w:val="18"/>
          <w:color w:val="auto"/>
        </w:rPr>
        <w:t>”), the Board appointed Jens Holstein to serve as a director of the Company, effective August 1, 2020. Mr. Holstein will serve as a Class III director whose term will expire at the Company’s 2022 annual meeting of stockholders. In connection with his appointment as a director, Mr. Holstein has been appointed to the Audit Committee of the Board.</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is no arrangement or understanding between Mr. Holstein and any other persons pursuant to which he was selected as a director. Mr. Holstein has no direct or indirect material interest in any transaction required to be disclosed pursuant to Item 404(a) of Regulation S-K.</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his appointment to the Board, and in accordance with the Company’s non-employee director compensation program, Mr. Holstein will receive an annual cash retainer of $40,000 for serving on the Board, a $10,000 annual cash retainer in connection with his service on the Audit Committee of the Board and annual cash retainers for service on any other committees of the Board to which Mr. Holstein is appointed, if any. In addition, in accordance with the Company’s 2013 Stock Incentive Plan (the “</w:t>
      </w:r>
      <w:r>
        <w:rPr>
          <w:rFonts w:ascii="Arial" w:cs="Arial" w:eastAsia="Arial" w:hAnsi="Arial"/>
          <w:sz w:val="17"/>
          <w:szCs w:val="17"/>
          <w:b w:val="1"/>
          <w:bCs w:val="1"/>
          <w:color w:val="auto"/>
        </w:rPr>
        <w:t>Plan</w:t>
      </w:r>
      <w:r>
        <w:rPr>
          <w:rFonts w:ascii="Arial" w:cs="Arial" w:eastAsia="Arial" w:hAnsi="Arial"/>
          <w:sz w:val="17"/>
          <w:szCs w:val="17"/>
          <w:color w:val="auto"/>
        </w:rPr>
        <w:t>”), on the effective date of his appointment, Mr. Holstein will be granted an initial stock option to purchase 35,000 shares of the Company’s common stock at an exercise price equal to the fair market value of the Company’s common stock on the date of grant. The option will vest and become exercisable as to one-third of those shares on each of the first, second and third annual anniversaries of the date of grant. The option will vest in full upon a change in control of the company (as defined in the Plan). He will also be entitled to an annual stock option grant in accordance with the Plan.</w:t>
      </w:r>
    </w:p>
    <w:p>
      <w:pPr>
        <w:spacing w:after="0" w:line="17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Mr. Holstein has entered into the Company’s standard form of indemnity agreement for non-executive directors, which was filed as Exhibit 10.1 to the Company’s Registration Statement on Form S-1 filed with the U.S. Securities and Exchange Commission on October 7, 2013 (File No. 333-191282). The agreement will be effective upon Mr. Holstein’s appointment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right="460" w:firstLine="50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27, 2020</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tbl>
      <w:tblPr>
        <w:tblLayout w:type="fixed"/>
        <w:tblInd w:w="43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Keith Kennedy</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6120" w:type="dxa"/>
            <w:vAlign w:val="bottom"/>
          </w:tcPr>
          <w:p>
            <w:pPr>
              <w:ind w:left="40"/>
              <w:spacing w:after="0" w:line="195" w:lineRule="exact"/>
              <w:rPr>
                <w:sz w:val="20"/>
                <w:szCs w:val="20"/>
                <w:color w:val="auto"/>
              </w:rPr>
            </w:pPr>
            <w:r>
              <w:rPr>
                <w:rFonts w:ascii="Arial" w:cs="Arial" w:eastAsia="Arial" w:hAnsi="Arial"/>
                <w:sz w:val="18"/>
                <w:szCs w:val="18"/>
                <w:color w:val="auto"/>
              </w:rPr>
              <w:t>Keith Kennedy</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612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 and Chief Operating Officer</w:t>
            </w:r>
          </w:p>
        </w:tc>
      </w:tr>
      <w:tr>
        <w:trPr>
          <w:trHeight w:val="230"/>
        </w:trPr>
        <w:tc>
          <w:tcPr>
            <w:tcW w:w="820" w:type="dxa"/>
            <w:vAlign w:val="bottom"/>
          </w:tcPr>
          <w:p>
            <w:pPr>
              <w:spacing w:after="0"/>
              <w:rPr>
                <w:sz w:val="20"/>
                <w:szCs w:val="20"/>
                <w:color w:val="auto"/>
              </w:rPr>
            </w:pPr>
          </w:p>
        </w:tc>
        <w:tc>
          <w:tcPr>
            <w:tcW w:w="61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2020-07-27T16:19:15Z</dcterms:created>
  <dcterms:modified xsi:type="dcterms:W3CDTF">2020-07-27T16:19:15Z</dcterms:modified>
</cp:coreProperties>
</file>