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333-252681</w:t>
      </w:r>
    </w:p>
    <w:p>
      <w:pPr>
        <w:spacing w:after="0" w:line="13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EB0029"/>
        </w:rPr>
        <w:t>Subject to completion, dated February 3, 2021</w:t>
      </w:r>
    </w:p>
    <w:p>
      <w:pPr>
        <w:spacing w:after="0" w:line="11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Prospectus dated February 3, 2021)</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$400,000,000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182245</wp:posOffset>
            </wp:positionV>
            <wp:extent cx="391731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731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203"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9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offering an aggregate of $400,000,000 in shares of our common stock.</w:t>
      </w:r>
    </w:p>
    <w:p>
      <w:pPr>
        <w:spacing w:after="0" w:line="185" w:lineRule="exact"/>
        <w:rPr>
          <w:sz w:val="24"/>
          <w:szCs w:val="24"/>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 On February 2, 2021, the last reported sale price of our shares of common stock on The Nasdaq Global Market was $65.03 per share.</w:t>
      </w:r>
    </w:p>
    <w:p>
      <w:pPr>
        <w:spacing w:after="0" w:line="121" w:lineRule="exact"/>
        <w:rPr>
          <w:sz w:val="24"/>
          <w:szCs w:val="24"/>
          <w:color w:val="auto"/>
        </w:rPr>
      </w:pPr>
    </w:p>
    <w:p>
      <w:pPr>
        <w:ind w:left="120" w:right="88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See “</w:t>
      </w:r>
      <w:hyperlink w:anchor="page11">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S-9 of this prospectus supplement.</w:t>
      </w:r>
    </w:p>
    <w:p>
      <w:pPr>
        <w:spacing w:after="0" w:line="144"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Per</w:t>
            </w:r>
          </w:p>
        </w:tc>
        <w:tc>
          <w:tcPr>
            <w:tcW w:w="540" w:type="dxa"/>
            <w:vAlign w:val="bottom"/>
          </w:tcPr>
          <w:p>
            <w:pPr>
              <w:spacing w:after="0"/>
              <w:rPr>
                <w:sz w:val="13"/>
                <w:szCs w:val="13"/>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00" w:type="dxa"/>
            <w:vAlign w:val="bottom"/>
            <w:tcBorders>
              <w:top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500" w:type="dxa"/>
            <w:vAlign w:val="bottom"/>
          </w:tcPr>
          <w:p>
            <w:pPr>
              <w:jc w:val="right"/>
              <w:ind w:right="341"/>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85725</wp:posOffset>
            </wp:positionV>
            <wp:extent cx="77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4"/>
          <w:szCs w:val="24"/>
          <w:color w:val="auto"/>
        </w:rPr>
      </w:pPr>
    </w:p>
    <w:p>
      <w:pPr>
        <w:ind w:left="2080" w:hanging="533"/>
        <w:spacing w:after="0"/>
        <w:tabs>
          <w:tab w:leader="none" w:pos="2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 description of compensation payable to the underwriters.</w:t>
      </w:r>
    </w:p>
    <w:p>
      <w:pPr>
        <w:spacing w:after="0" w:line="198" w:lineRule="exact"/>
        <w:rPr>
          <w:sz w:val="24"/>
          <w:szCs w:val="24"/>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the right to purchase up to an additional $60,000,000 in additional shares of our common stock. The underwriters may exercise this right at any time within 30 days after the date of this prospectus supplement.</w:t>
      </w:r>
    </w:p>
    <w:p>
      <w:pPr>
        <w:spacing w:after="0" w:line="121"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in New York, New York on or about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153" w:lineRule="exact"/>
        <w:rPr>
          <w:sz w:val="24"/>
          <w:szCs w:val="24"/>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Lead Book-Running Managers</w:t>
      </w:r>
    </w:p>
    <w:p>
      <w:pPr>
        <w:sectPr>
          <w:pgSz w:w="11900" w:h="16838" w:orient="portrait"/>
          <w:cols w:equalWidth="0" w:num="1">
            <w:col w:w="11140"/>
          </w:cols>
          <w:pgMar w:left="320" w:top="226" w:right="439" w:bottom="1440" w:gutter="0" w:footer="0" w:header="0"/>
        </w:sectPr>
      </w:pPr>
    </w:p>
    <w:p>
      <w:pPr>
        <w:spacing w:after="0" w:line="20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SVB Leerink</w:t>
      </w:r>
    </w:p>
    <w:p>
      <w:pPr>
        <w:spacing w:after="0" w:line="195" w:lineRule="exact"/>
        <w:rPr>
          <w:sz w:val="24"/>
          <w:szCs w:val="24"/>
          <w:color w:val="auto"/>
        </w:rPr>
      </w:pPr>
    </w:p>
    <w:p>
      <w:pPr>
        <w:sectPr>
          <w:pgSz w:w="11900" w:h="16838" w:orient="portrait"/>
          <w:cols w:equalWidth="0" w:num="2">
            <w:col w:w="8800" w:space="720"/>
            <w:col w:w="1620"/>
          </w:cols>
          <w:pgMar w:left="320" w:top="226"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Book-Running Manager</w:t>
      </w:r>
    </w:p>
    <w:p>
      <w:pPr>
        <w:spacing w:after="0" w:line="2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William Blair</w:t>
      </w:r>
    </w:p>
    <w:p>
      <w:pPr>
        <w:spacing w:after="0" w:line="2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Co-Managers</w:t>
      </w:r>
    </w:p>
    <w:p>
      <w:pPr>
        <w:sectPr>
          <w:pgSz w:w="11900" w:h="16838" w:orient="portrait"/>
          <w:cols w:equalWidth="0" w:num="1">
            <w:col w:w="11140"/>
          </w:cols>
          <w:pgMar w:left="320" w:top="226" w:right="439" w:bottom="1440" w:gutter="0" w:footer="0" w:header="0"/>
          <w:type w:val="continuous"/>
        </w:sectPr>
      </w:pPr>
    </w:p>
    <w:p>
      <w:pPr>
        <w:spacing w:after="0" w:line="21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BTIG</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960"/>
        <w:spacing w:after="0"/>
        <w:rPr>
          <w:sz w:val="20"/>
          <w:szCs w:val="20"/>
          <w:color w:val="auto"/>
        </w:rPr>
      </w:pPr>
      <w:r>
        <w:rPr>
          <w:rFonts w:ascii="Times New Roman" w:cs="Times New Roman" w:eastAsia="Times New Roman" w:hAnsi="Times New Roman"/>
          <w:sz w:val="21"/>
          <w:szCs w:val="21"/>
          <w:b w:val="1"/>
          <w:bCs w:val="1"/>
          <w:color w:val="auto"/>
        </w:rPr>
        <w:t>Needham &amp;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Lake Street</w:t>
      </w:r>
    </w:p>
    <w:p>
      <w:pPr>
        <w:spacing w:after="0" w:line="186" w:lineRule="exact"/>
        <w:rPr>
          <w:sz w:val="24"/>
          <w:szCs w:val="24"/>
          <w:color w:val="auto"/>
        </w:rPr>
      </w:pPr>
    </w:p>
    <w:p>
      <w:pPr>
        <w:sectPr>
          <w:pgSz w:w="11900" w:h="16838" w:orient="portrait"/>
          <w:cols w:equalWidth="0" w:num="3">
            <w:col w:w="3600" w:space="720"/>
            <w:col w:w="5020" w:space="720"/>
            <w:col w:w="1080"/>
          </w:cols>
          <w:pgMar w:left="320" w:top="226" w:right="439" w:bottom="1440" w:gutter="0" w:footer="0" w:header="0"/>
          <w:type w:val="continuous"/>
        </w:sectPr>
      </w:pPr>
    </w:p>
    <w:p>
      <w:pPr>
        <w:ind w:left="3520"/>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 2021.</w:t>
      </w:r>
    </w:p>
    <w:p>
      <w:pPr>
        <w:spacing w:after="0" w:line="158" w:lineRule="exact"/>
        <w:rPr>
          <w:sz w:val="24"/>
          <w:szCs w:val="24"/>
          <w:color w:val="auto"/>
        </w:rPr>
      </w:pPr>
    </w:p>
    <w:p>
      <w:pPr>
        <w:sectPr>
          <w:pgSz w:w="11900" w:h="16838" w:orient="portrait"/>
          <w:cols w:equalWidth="0" w:num="2">
            <w:col w:w="6680" w:space="540"/>
            <w:col w:w="3920"/>
          </w:cols>
          <w:pgMar w:left="320" w:top="226" w:right="439" w:bottom="1440" w:gutter="0" w:footer="0" w:header="0"/>
          <w:type w:val="continuous"/>
        </w:sect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contained in this preliminary prospectus supplement is not complete and may be changed. This preliminary prospectus supplement and the accompanying prospectus are not an offer to sell nor do they seek an offer to buy these securities in any jurisdiction where such offer or sale is not permitted.</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620" w:type="dxa"/>
            <w:vAlign w:val="bottom"/>
          </w:tcPr>
          <w:p>
            <w:pPr>
              <w:spacing w:after="0"/>
              <w:rPr>
                <w:sz w:val="20"/>
                <w:szCs w:val="20"/>
                <w:color w:val="auto"/>
              </w:rPr>
            </w:pPr>
          </w:p>
        </w:tc>
      </w:tr>
      <w:tr>
        <w:trPr>
          <w:trHeight w:val="513"/>
        </w:trPr>
        <w:tc>
          <w:tcPr>
            <w:tcW w:w="1046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4"/>
                <w:szCs w:val="24"/>
                <w:color w:val="auto"/>
              </w:rPr>
            </w:pPr>
          </w:p>
        </w:tc>
      </w:tr>
      <w:tr>
        <w:trPr>
          <w:trHeight w:val="459"/>
        </w:trPr>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620" w:type="dxa"/>
            <w:vAlign w:val="bottom"/>
          </w:tcPr>
          <w:p>
            <w:pPr>
              <w:spacing w:after="0"/>
              <w:rPr>
                <w:sz w:val="24"/>
                <w:szCs w:val="24"/>
                <w:color w:val="auto"/>
              </w:rPr>
            </w:pPr>
          </w:p>
        </w:tc>
      </w:tr>
      <w:tr>
        <w:trPr>
          <w:trHeight w:val="30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 SUPPLEMENT</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PROSPECTUS SUPPLEMENT SUMMARY</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THE OFFERING</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S-8</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FORWARD-LOOKING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DILUTION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DIVIDEND POLICY</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S-17</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MATERIAL UNITED STATES FEDERAL INCOME TAX CONSEQUENCES FOR NON-U.S. HOLDERS OF OUR COMMON STOCK</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S-18</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UNDERWRITING</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S-23</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S-30</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EXPERTS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S-30</w:t>
            </w:r>
          </w:p>
        </w:tc>
      </w:tr>
      <w:tr>
        <w:trPr>
          <w:trHeight w:val="234"/>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S-30</w:t>
            </w:r>
          </w:p>
        </w:tc>
      </w:tr>
      <w:tr>
        <w:trPr>
          <w:trHeight w:val="324"/>
        </w:trPr>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20" w:type="dxa"/>
            <w:vAlign w:val="bottom"/>
          </w:tcPr>
          <w:p>
            <w:pPr>
              <w:spacing w:after="0"/>
              <w:rPr>
                <w:sz w:val="24"/>
                <w:szCs w:val="24"/>
                <w:color w:val="auto"/>
              </w:rPr>
            </w:pPr>
          </w:p>
        </w:tc>
      </w:tr>
      <w:tr>
        <w:trPr>
          <w:trHeight w:val="30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ABOUT THIS PROSPECTUS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PROSPECTUS SUMMARY</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FORWARD-LOOKING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SECURITIES WE MAY OFFER</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DESCRIPTION OF COMMON STOCK</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DESCRIPTION OF PREFERRED STOCK</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DESCRIPTION OF DEBT SECURITIES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DESCRIPTION OF WARRANTS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DESCRIPTION OF SUBSCRIPTION RIGHTS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DESCRIPTION OF UNITS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SELLING SECURITYHOLDERS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PLAN OF DISTRIBUTION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EXPERTS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0460" w:type="dxa"/>
            <w:vAlign w:val="bottom"/>
          </w:tcPr>
          <w:p>
            <w:pPr>
              <w:ind w:left="12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jc w:val="right"/>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February 3, 2021, we filed with the Securities and Exchange Commission, or SEC, a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6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Veracyte, Afirma, Percepta, Envisia, Prosigna, Know by Design and the Veracyte, Afirma, Percepta, Envisia and Prosigna logos, among others, are our registered trademarks in the United States and other countries. We also have common law rights and pending trademark applications for LymphMark and More About You.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80"/>
        <w:spacing w:after="0" w:line="273" w:lineRule="auto"/>
        <w:rPr>
          <w:sz w:val="20"/>
          <w:szCs w:val="20"/>
          <w:color w:val="auto"/>
        </w:rPr>
      </w:pPr>
      <w:r>
        <w:rPr>
          <w:rFonts w:ascii="Times New Roman" w:cs="Times New Roman" w:eastAsia="Times New Roman" w:hAnsi="Times New Roman"/>
          <w:sz w:val="17"/>
          <w:szCs w:val="17"/>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reduce time to appropriate treatment. In addition to making our genomic tests available in the United States through our central laboratory, our exclusive license to the nCounter Analysis System, which we believe to be a best-in-class diagnostics platform, positions us to deliver our tests to patients worldwide through laboratories and hospitals that can perform the tests locally. We estimate that our current and near-term pipeline products address an estimated $10 billion global market and that our longer-term pipeline products will enable us to address an estimated $50 billion global market.</w:t>
      </w:r>
    </w:p>
    <w:p>
      <w:pPr>
        <w:spacing w:after="0" w:line="171" w:lineRule="exact"/>
        <w:rPr>
          <w:sz w:val="20"/>
          <w:szCs w:val="20"/>
          <w:color w:val="auto"/>
        </w:rPr>
      </w:pPr>
    </w:p>
    <w:p>
      <w:pPr>
        <w:ind w:left="300" w:right="20"/>
        <w:spacing w:after="0" w:line="289" w:lineRule="auto"/>
        <w:rPr>
          <w:sz w:val="20"/>
          <w:szCs w:val="20"/>
          <w:color w:val="auto"/>
        </w:rPr>
      </w:pPr>
      <w:r>
        <w:rPr>
          <w:rFonts w:ascii="Times New Roman" w:cs="Times New Roman" w:eastAsia="Times New Roman" w:hAnsi="Times New Roman"/>
          <w:sz w:val="17"/>
          <w:szCs w:val="17"/>
          <w:color w:val="auto"/>
        </w:rPr>
        <w:t>We design our tests to answer critical questions in the diagnosis, prognosis and treatment of cancer and other diseases and improve patient outcomes. We deliver clinical and economic utility to patients, physicians and payers, thereby helping to eliminate unnecessary costs burdening the healthcare system. We position our tests to integrate seamlessly into the way physicians currently evaluate patients in order to facilitate adoption.</w:t>
      </w:r>
    </w:p>
    <w:p>
      <w:pPr>
        <w:spacing w:after="0" w:line="158"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We develop our genomic tests using advanced scientific methods, such as ribonucleic acid, or RNA, whole-transcriptome sequencing and machine learning, and then optimize the assays and classifiers for the platform on which the test will be performed. Historically, we have utilized RNA sequencing methods performed in our CLIA laboratory in South San Francisco, California. Beginning in 2021, we expect to adapt select tests to be performed on the nCounter Analysis System for international distribution of our tests.</w:t>
      </w:r>
    </w:p>
    <w:p>
      <w:pPr>
        <w:spacing w:after="0" w:line="180" w:lineRule="exact"/>
        <w:rPr>
          <w:sz w:val="20"/>
          <w:szCs w:val="20"/>
          <w:color w:val="auto"/>
        </w:rPr>
      </w:pPr>
    </w:p>
    <w:p>
      <w:pPr>
        <w:ind w:left="300" w:right="260"/>
        <w:spacing w:after="0" w:line="282" w:lineRule="auto"/>
        <w:rPr>
          <w:sz w:val="20"/>
          <w:szCs w:val="20"/>
          <w:color w:val="auto"/>
        </w:rPr>
      </w:pPr>
      <w:r>
        <w:rPr>
          <w:rFonts w:ascii="Times New Roman" w:cs="Times New Roman" w:eastAsia="Times New Roman" w:hAnsi="Times New Roman"/>
          <w:sz w:val="18"/>
          <w:szCs w:val="18"/>
          <w:color w:val="auto"/>
        </w:rPr>
        <w:t>We believe our powerful scientific platform provides multiple vectors to create value for patients, providers and payers, as well as stockholders, and to help advance precision medicine:</w:t>
      </w:r>
    </w:p>
    <w:p>
      <w:pPr>
        <w:spacing w:after="0" w:line="67" w:lineRule="exact"/>
        <w:rPr>
          <w:sz w:val="20"/>
          <w:szCs w:val="20"/>
          <w:color w:val="auto"/>
        </w:rPr>
      </w:pPr>
    </w:p>
    <w:p>
      <w:pPr>
        <w:ind w:left="1240" w:right="60" w:hanging="415"/>
        <w:spacing w:after="0" w:line="25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Biorepositories—When we develop new tests,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92" w:lineRule="exact"/>
        <w:rPr>
          <w:rFonts w:ascii="Times New Roman" w:cs="Times New Roman" w:eastAsia="Times New Roman" w:hAnsi="Times New Roman"/>
          <w:sz w:val="18"/>
          <w:szCs w:val="18"/>
          <w:color w:val="auto"/>
        </w:rPr>
      </w:pPr>
    </w:p>
    <w:p>
      <w:pPr>
        <w:jc w:val="both"/>
        <w:ind w:left="124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and Bioinformatics—For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18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55"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High-Performing Commercial Genomic Tests—With the exception of Prosigna, which competes with a first-to-market test in a highly competitive environment, our genomic tests generally serve large, untapped markets where they are changing the diagnostic and treatment paradigm for patients. The majority of our genomic testing business stems from our CLIA certified laboratory serving the United States market. We believe the nCounter Analysis System affords us the opportunity to adapt our test menu for multiple markets globally, providing flexibility for a global distributed testing model and increased efficiency in our United States-based CLIA lab. Our RNA sequencing platform enables us to offer testing from our CLIA lab for a broad range of gene alterations, which can inform treatment decisions at the time of diagnosis.</w:t>
      </w:r>
    </w:p>
    <w:p>
      <w:pPr>
        <w:spacing w:after="0" w:line="18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currently offer commercialized genomic tests in four clinical indications that we believe are changing disease diagnosis and patient care. All of our commercial tests are available in the United States and one is available internationally. These include the Afirma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Genomic Sequencing Classifier, or GSC, and the Xpression Atlas, or XA, designed to improve diagnosis of and inform treatment decisions, respectively, for thyroid cancer; the Percepta GSC for lung cancer; the Envisia Genomic Classifier for interstitial lung disease, or ILD, and idiopathic pulmonary fibrosis, or IPF; and the Prosigna Breast Cancer Assay for assessing risk of breast cancer distant recurrence. The Prosigna test is available for use on the nCounter Analysis System internationally and in the United States. Our investigational LymphMark lymphoma subtyping is also intended for use on the nCounter Analysis System and is expected to launch in 2021.</w:t>
      </w:r>
    </w:p>
    <w:p>
      <w:pPr>
        <w:spacing w:after="0" w:line="189"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We expect to continue expanding our offerings in thyroid cancer, lung cancer, ILD/IPF, breast cancer and lymphoma, as well as other indications that we believe will benefit from our technology and approach. Our product development pipelines address what we believe to be an over $50 billion annual market opportunity in early detection, diagnosis, staging/prognosis, therapy selection/surgery and disease monitoring across the aforementioned indications. We plan to commercially introduce four products in 2021: Our nasal swab test for early lung cancer detection and our Percepta Genomic Atlas, which, together with the Percepta GSC, form a comprehensive lung cancer portfolio that we believe may improve lung cancer diagnosis and treatment decisions; our Envisia classifier on the nCounter Analysis System for expansion into global markets; and, if the FDA grants our De Novo classification request, our LymphMark lymphoma subtyping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27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We believe our ability to leverage RNA whole-transcriptome sequencing data in large biorepositories of patient-consented samples in oncology and other indications, our strong commercial position in major clinical indications and our global reach, present partnership opportunities for biopharmaceutical companies to enhance their research and development capabilities and for other genomic diagnostics companies to introduce their non-competitive tests to global markets on the nCounter Analysis System.</w:t>
      </w:r>
    </w:p>
    <w:p>
      <w:pPr>
        <w:spacing w:after="0" w:line="180"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have formed several biopharmaceutical partnerships, each focused on our current indications to derive value out of our current business or advance future business. Our collaboration with the Lung Cancer Initiative at Johnson &amp; Johnson, which began in December 2018, has helped advance our pipeline, including the launch in 2019 of our Percepta GSC on our RNA whole-transcriptome sequencing platform and development of the first non-invasive nasal swab test designed for early lung cancer detection. We have recently expanded our program with Johnson &amp; Johnson to potentially develop future tests designed to detect lung disease before cancer develops.</w:t>
      </w:r>
    </w:p>
    <w:p>
      <w:pPr>
        <w:spacing w:after="0" w:line="183" w:lineRule="exact"/>
        <w:rPr>
          <w:sz w:val="20"/>
          <w:szCs w:val="20"/>
          <w:color w:val="auto"/>
        </w:rPr>
      </w:pPr>
    </w:p>
    <w:p>
      <w:pPr>
        <w:ind w:left="300" w:right="120"/>
        <w:spacing w:after="0" w:line="281" w:lineRule="auto"/>
        <w:rPr>
          <w:sz w:val="20"/>
          <w:szCs w:val="20"/>
          <w:color w:val="auto"/>
        </w:rPr>
      </w:pPr>
      <w:r>
        <w:rPr>
          <w:rFonts w:ascii="Times New Roman" w:cs="Times New Roman" w:eastAsia="Times New Roman" w:hAnsi="Times New Roman"/>
          <w:sz w:val="17"/>
          <w:szCs w:val="17"/>
          <w:color w:val="auto"/>
        </w:rPr>
        <w:t>Our partnership with Bayer, announced in December 2020, utilizes our Afirma XA to identify certain thyroid cancer patients with gene alterations who may benefit from targeted therapy. The program builds upon a similar collaboration with Loxo Oncology (now a wholly owned subsidiary of Eli Lilly and Company). We also collaborate with Acerta Pharma, the hematology research and development arm of AstraZeneca, to provide genomic information that will support its development of oncology therapeutics in lymphoma, for which we are developing our LymphMark test.</w:t>
      </w:r>
    </w:p>
    <w:p>
      <w:pPr>
        <w:spacing w:after="0" w:line="164" w:lineRule="exact"/>
        <w:rPr>
          <w:sz w:val="20"/>
          <w:szCs w:val="20"/>
          <w:color w:val="auto"/>
        </w:rPr>
      </w:pPr>
    </w:p>
    <w:p>
      <w:pPr>
        <w:jc w:val="both"/>
        <w:ind w:left="300" w:right="80"/>
        <w:spacing w:after="0" w:line="266" w:lineRule="auto"/>
        <w:rPr>
          <w:sz w:val="20"/>
          <w:szCs w:val="20"/>
          <w:color w:val="auto"/>
        </w:rPr>
      </w:pPr>
      <w:r>
        <w:rPr>
          <w:rFonts w:ascii="Times New Roman" w:cs="Times New Roman" w:eastAsia="Times New Roman" w:hAnsi="Times New Roman"/>
          <w:sz w:val="18"/>
          <w:szCs w:val="18"/>
          <w:color w:val="auto"/>
        </w:rPr>
        <w:t>During 2020, we also announced our first two diagnostic company partnerships—with CareDx in transplantation and MAVIDx in COVID-19 and other infectious diseases. We expect these collaborations to help expand our testing menu on the nCounter Analysis System and provide additional revenue opportunities.</w:t>
      </w:r>
    </w:p>
    <w:p>
      <w:pPr>
        <w:spacing w:after="0" w:line="176"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The published evidence supporting our tests demonstrates the robustness of our science and clinical studies, which we believe is key to driving adoption and reimbursement. Patients and physicians can access a more comprehensive list of publications on our website. Over 50 clinical studies covering our products have been published, including three landmark clinical validation papers published in The New England Journal of Medicine for the Afirma and Percepta classifiers, respectively, and in The Lancet Respiratory Medicine for the Envisia classifier. We continue to build upon our extensive library of clinical evidence.</w:t>
      </w:r>
    </w:p>
    <w:p>
      <w:pPr>
        <w:spacing w:after="0" w:line="183"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189"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Patients access our tests through their physician. Our Afirma, Percepta and Envisia tests are used as part of the diagnostic process and genomic testing services are performed in our CLIA laboratory located in San Francisco, California and marketed as laboratory developed tests. We perform slide preparation and staining for cytopathology on fine needle aspiration samples, for use with Afirma testing, in our reference laboratory in Austin, Texas. The Prosigna test is an FDA-cleared in vitro diagnostic test that is performed on the nCounter Analysis System in laboratories worldwide, as well as in the United States.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Decipher Biosciences’ Business</w:t>
      </w:r>
    </w:p>
    <w:p>
      <w:pPr>
        <w:spacing w:after="0" w:line="117" w:lineRule="exact"/>
        <w:rPr>
          <w:sz w:val="20"/>
          <w:szCs w:val="20"/>
          <w:color w:val="auto"/>
        </w:rPr>
      </w:pPr>
    </w:p>
    <w:p>
      <w:pPr>
        <w:ind w:left="300" w:right="420"/>
        <w:spacing w:after="0" w:line="282" w:lineRule="auto"/>
        <w:rPr>
          <w:sz w:val="20"/>
          <w:szCs w:val="20"/>
          <w:color w:val="auto"/>
        </w:rPr>
      </w:pPr>
      <w:r>
        <w:rPr>
          <w:rFonts w:ascii="Times New Roman" w:cs="Times New Roman" w:eastAsia="Times New Roman" w:hAnsi="Times New Roman"/>
          <w:sz w:val="18"/>
          <w:szCs w:val="18"/>
          <w:color w:val="auto"/>
        </w:rPr>
        <w:t>Decipher Biosciences, Inc., a Delaware corporation, or Decipher, is a commercial-stage precision oncology company, with a focus in urologic oncology specific to prostate and bladder cancers. Decipher’s novel prostate</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30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cancer genomic testing products, Decipher Biopsy and Decipher RP, provide valuable information about the underlying biology of a patient’s tumor, assisting physicians in their selection of an optimal therapy. Decipher’s differentiated approach measures the biological activity of a patient’s entire tumor genome, known as whole transcriptome analysis, and applies proprietary machine learning algorithms to help physicians improve therapy selection and accelerate adoption of new therapies into the standard of care. Collectively, Decipher’s genomic tests have been used by more than 3,200 urologists and radiation oncologists, and at all 28 National Comprehensive Cancer Network, or NCCN, centers in the United States. Decipher’s prostate cancer products are covered by Medicare in nine clinical indications, representing the entire known spectrum of localized, regional and biochemically recurrent prostate cancer. Six of Decipher’s clinical indications received Medicare coverage in 2020. Decipher’s whole transcriptome analysis of clinical patient samples from its commercial channel and its participation in practice-changing clinical trials has allowed it to build and expand the Decipher GRID database, one of the largest and best-annotated urologic cancer genomic databases in the world. Decipher leverages Decipher GRID internally to expand its portfolio of innovative products. Additionally, Decipher is partnering with investigators and pharmaceutical companies to identify patient populations which would benefit from earlier use of proprietary drugs or combination therapeutic strategies, or that are candidates for novel therapeutics.</w:t>
      </w:r>
    </w:p>
    <w:p>
      <w:pPr>
        <w:spacing w:after="0" w:line="190"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Decipher has developed a portfolio of genomic testing products designed to guide therapy selection across the prostate cancer care continuum. The worldwide prostate cancer therapeutic market is one of the fastest growing cancer therapeutic markets of the decade and grew from approximately $2.0 billion in 2010 to an estimated $10.0 billion in 2019. Decipher estimates that its therapy-directing genomic tests have a potential aggregate market opportunity of approximately $2.0 billion across urologic cancers. Decipher’s product portfolio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20" w:hanging="422"/>
        <w:spacing w:after="0"/>
        <w:tabs>
          <w:tab w:leader="none" w:pos="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2020 estimates by Global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right="80" w:hanging="422"/>
        <w:spacing w:after="0" w:line="233" w:lineRule="auto"/>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patients who are eligible for new drug therapy, including first-, second-, and third-line therapies. Includes patients at diagnosis and patients that progress from BCR to mCRPC, mHSPC to mCRPC, and nmCRPC to mCRPC.</w:t>
      </w:r>
    </w:p>
    <w:p>
      <w:pPr>
        <w:ind w:left="720" w:hanging="422"/>
        <w:spacing w:after="0" w:line="222" w:lineRule="auto"/>
        <w:tabs>
          <w:tab w:leader="none" w:pos="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Draft LCD DL38647 published 5/21/2020, expected to be final and effective in 2021.</w:t>
      </w:r>
    </w:p>
    <w:p>
      <w:pPr>
        <w:ind w:left="720" w:hanging="422"/>
        <w:spacing w:after="0"/>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Decipher is covered by numerous regional and select international payors and is actively pursuing additional coverage.</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Decipher Biosciences Merger</w:t>
      </w:r>
    </w:p>
    <w:p>
      <w:pPr>
        <w:spacing w:after="0" w:line="117"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On February 2, 2021, we entered into an Agreement and Plan of Merger, or Merger Agreement, with Delight Merger Sub I, Inc., a Delaware corporation and wholly owned subsidiary of ours, or Delight Merger Sub I, Delight Merger Sub II, LLC, a Delaware limited liability company and wholly owned subsidiary of ours, or Delight Merger Sub II, Decipher, and Fortis Advisors LLC, as the stockholders’ agent.</w:t>
      </w:r>
    </w:p>
    <w:p>
      <w:pPr>
        <w:spacing w:after="0" w:line="176"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Delight Merger Sub I will merge with and into Decipher and Decipher shall survive and become a wholly owned subsidiary of ours, which we refer to as the First Merger. Promptly following consummation of the First Merger, Decipher will merge with and into Delight Merger Sub II, with Merger Sub II surviving as a wholly owned subsidiary of ours, which, together with the First Merger, we refer to as the Merger.</w:t>
      </w:r>
    </w:p>
    <w:p>
      <w:pPr>
        <w:spacing w:after="0" w:line="180"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have agreed to acquire Decipher for $250.0 million in cash and up to $350.0 million in shares of our common stock. The number of shares of our common stock to be issued in the Merger is based on a fixed price of $54.30 per share, resulting in a maximum issuance of approximately 6.45 million shares of our common stock. However, without changing the total consideration paid at closing, we have the option, at our sole discretion, until the earlier of March 15, 2021 and the fourth business day following the closing of this offering, to substitute cash in lieu of shares in any amount up to the entire stock consideration of $350 million. We have agreed to register the stock consideration, if any, on a Registration Statement on Form S-4 to be filed by March 1, 2021. The purchase price for the Merger is subject to customary adjustments for Decipher’s transaction expenses, cash, indebtedness and the aggregate exercise price of Decipher’s outstanding stock options.</w:t>
      </w:r>
    </w:p>
    <w:p>
      <w:pPr>
        <w:spacing w:after="0" w:line="189"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covenants and agreements of Decipher and Veracyte. The closing of the transaction contemplated by the Merger Agreement is anticipated to occur by May 2021 and is subject to customary closing conditions, including the expiration or termination of the applicable waiting period under the Hart-Scott-Rodino Antitrust Improvements Act of 1976, as amended. The Merger Agreement also provides customary termination rights to each of the parties.</w:t>
      </w:r>
    </w:p>
    <w:p>
      <w:pPr>
        <w:spacing w:after="0" w:line="180"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Tina S. Nova, Ph.D., the President and Chief Executive Officer of Decipher, was previously a member of our board of directors. Dr. Nova was not involved in our deliberations regarding the transaction and has resigned from our board of directors in connection with the transaction. Upon the closing of the Merger, we anticipate that Dr. Nova will serve as the general manger for our urologic cancers business unit.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Preliminary Unaudited Financial Update</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Veracyte</w:t>
      </w:r>
    </w:p>
    <w:p>
      <w:pPr>
        <w:spacing w:after="0" w:line="119"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On February 3, 2021, we announced that we expect to report that we generated total revenue of between $34.0 million and $35.0 million, and that our product and testing volume was 13,130 tests, in each case for the three months ended December 31, 2020. We also expect to report total revenue of between $117.0 million and $118.0 million, and product and testing volume of 44,489 tests, in each case for the full year ended December 31, 2020.</w:t>
      </w:r>
    </w:p>
    <w:p>
      <w:pPr>
        <w:spacing w:after="0" w:line="180"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These total revenue amounts are preliminary, have not been audited and are subject to change in connection with the completion of our financial statements for the year ended December 31, 2020. In addition, our independent</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80"/>
          </w:cols>
          <w:pgMar w:left="320" w:top="455" w:right="6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8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4281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360"/>
        <w:spacing w:after="0" w:line="266" w:lineRule="auto"/>
        <w:rPr>
          <w:sz w:val="20"/>
          <w:szCs w:val="20"/>
          <w:color w:val="auto"/>
        </w:rPr>
      </w:pPr>
      <w:r>
        <w:rPr>
          <w:rFonts w:ascii="Times New Roman" w:cs="Times New Roman" w:eastAsia="Times New Roman" w:hAnsi="Times New Roman"/>
          <w:sz w:val="18"/>
          <w:szCs w:val="18"/>
          <w:color w:val="auto"/>
        </w:rPr>
        <w:t>registered public accounting firm does not express an opinion or any other form of assurance with respect thereto. Accordingly, you should not place undue reliance on this information. Additional information and disclosures would be required for a more complete understanding of our financial position and results of operations as of, and for the period ended on, December 31, 2020.</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Decipher</w:t>
      </w:r>
    </w:p>
    <w:p>
      <w:pPr>
        <w:spacing w:after="0" w:line="119" w:lineRule="exact"/>
        <w:rPr>
          <w:sz w:val="20"/>
          <w:szCs w:val="20"/>
          <w:color w:val="auto"/>
        </w:rPr>
      </w:pPr>
    </w:p>
    <w:p>
      <w:pPr>
        <w:ind w:left="300" w:right="4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Decipher achieved positive cash flows from operating activities. In addition, the table below presents certain financial and operating information for Decipher, including certain preliminary unaudited information for the three months ended December 31, 2020 (in thousands, except genomic testing data):</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16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16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rPr>
              <w:t>,</w:t>
            </w:r>
          </w:p>
        </w:tc>
      </w:tr>
      <w:tr>
        <w:trPr>
          <w:trHeight w:val="142"/>
        </w:trPr>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4"/>
          </w:tcPr>
          <w:p>
            <w:pPr>
              <w:jc w:val="right"/>
              <w:ind w:right="112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$10,675</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$ 27,412</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11,750 – 12,250</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Genomic Testing Volume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8,123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3,700 – 4,700</w:t>
            </w:r>
          </w:p>
        </w:tc>
      </w:tr>
    </w:tbl>
    <w:p>
      <w:pPr>
        <w:spacing w:after="0" w:line="206" w:lineRule="exact"/>
        <w:rPr>
          <w:sz w:val="20"/>
          <w:szCs w:val="20"/>
          <w:color w:val="auto"/>
        </w:rPr>
      </w:pPr>
    </w:p>
    <w:p>
      <w:pPr>
        <w:ind w:left="720" w:right="180" w:hanging="422"/>
        <w:spacing w:after="0" w:line="277" w:lineRule="auto"/>
        <w:tabs>
          <w:tab w:leader="none" w:pos="7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amounts for the three months ended December 31, 2020 amounts are preliminary, have not been audited and are subject to change in connection with the completion of Decipher’s financial statements for the year ended December 31, 2020. In addition, neither our or Decipher’s independent registered public accounting firm express an opinion or any other form of assurance with respect thereto. Accordingly, you should not place undue reliance on this information. Additional information and disclosures would be required for a more complete understanding of Decipher’s financial position and results of operations as of, and for the period ended on, December 31, 2020.</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jc w:val="both"/>
        <w:ind w:left="300" w:right="200"/>
        <w:spacing w:after="0" w:line="277" w:lineRule="auto"/>
        <w:rPr>
          <w:sz w:val="20"/>
          <w:szCs w:val="20"/>
          <w:color w:val="auto"/>
        </w:rPr>
      </w:pPr>
      <w:r>
        <w:rPr>
          <w:rFonts w:ascii="Times New Roman" w:cs="Times New Roman" w:eastAsia="Times New Roman" w:hAnsi="Times New Roman"/>
          <w:sz w:val="17"/>
          <w:szCs w:val="17"/>
          <w:color w:val="auto"/>
        </w:rPr>
        <w:t>We were incorporated in the state of Delaware on August 15, 2006 as Calderome, Inc. Calderome, Inc.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7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870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Veracyte, Inc.</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we are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6,151,007 shares.</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63,964,840 shares (or 64,887,491 shares if the underwriters exercise in full their option to purchase additional shares of our common stock).</w:t>
      </w:r>
    </w:p>
    <w:p>
      <w:pPr>
        <w:spacing w:after="0" w:line="189" w:lineRule="exact"/>
        <w:rPr>
          <w:sz w:val="20"/>
          <w:szCs w:val="20"/>
          <w:color w:val="auto"/>
        </w:rPr>
      </w:pPr>
    </w:p>
    <w:p>
      <w:pPr>
        <w:sectPr>
          <w:pgSz w:w="11900" w:h="16838" w:orient="portrait"/>
          <w:cols w:equalWidth="0" w:num="2">
            <w:col w:w="3940" w:space="40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an additional 922,651 shares of our common stock.</w:t>
      </w:r>
    </w:p>
    <w:p>
      <w:pPr>
        <w:spacing w:after="0" w:line="18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and cash equivalents, to finance some or all of the aggregate purchase price of $600.0 million for our acquisition of Decipher. We intend to use the remaining net proceeds of this offering, if any, for working capital and other general corporate purposes, which may include acquisitions or investments in complementary businesses, technologies or other assets, although we have no present commitments or agreements to do so (other than with respect to Decipher). This offering is not conditioned upon the closing of the Merger. If the Merger does not close, we will have broad discretion as to the use of proceeds from this offering. See the section entitled “Use of Proceeds.”</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See the section entitled “Risk Factors” for a discussion of factors you should consider carefully before deciding to invest in our common stock.</w:t>
      </w:r>
    </w:p>
    <w:p>
      <w:pPr>
        <w:spacing w:after="0" w:line="18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“VCYT”</w:t>
      </w:r>
    </w:p>
    <w:p>
      <w:pPr>
        <w:spacing w:after="0" w:line="211"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57,813,833 shares outstanding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2020 and excludes:</w:t>
      </w:r>
    </w:p>
    <w:p>
      <w:pPr>
        <w:spacing w:after="0" w:line="112" w:lineRule="exact"/>
        <w:rPr>
          <w:sz w:val="20"/>
          <w:szCs w:val="20"/>
          <w:color w:val="auto"/>
        </w:rPr>
      </w:pPr>
    </w:p>
    <w:p>
      <w:pPr>
        <w:ind w:left="1240" w:right="4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4,412,050 shares of our common stock issuable upon the exercise of stock options outstanding as of September 30, 2020, with a weighted-average exercise price of $14.68 per share;</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of our common stock issuable upon the exercise of stock options granted after September 30, 2020, with a weighted-average exercise price of $47.34 per share;</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742,227 shares of common stock issuable upon the settlement of restricted stock units, or RSUs, and 125,000 shares of common stock issuable upon the settlement of performance stock units, or PSUs, in each case, outstanding as of September 30, 2020;</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49,350 shares of common stock issuable upon the settlement of RSUs granted after September 30, 2020;</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6,445,672 shares of common stock issuable in connection with our acquisition of Decipher, subject to reduction pursuant to our option, as described under “Prospectus Supplement Summary—Recent Developments—Decipher Biosciences Merger;”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2,936,958 shares of common stock reserved for future issuance under our 2013 Stock Incentive Plan, as amended;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1,522,653 shares of common stock reserved for future issuance under our Amended and Restated Employee Stock Purchase Plan.</w:t>
      </w:r>
    </w:p>
    <w:p>
      <w:pPr>
        <w:spacing w:after="0" w:line="225"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or settlement of the outstanding stock options, RSUs, PSUs or other equity awards described above and no exercise by the underwriters of their option to purchase additional shares.</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00"/>
          </w:cols>
          <w:pgMar w:left="320" w:top="455" w:right="67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shares of our common stock involves a high degree of risk. You should consider carefully the risks and uncertainties described below and in our Quarterly Report on Form 10-Q for the quarter ended September 30, 2020 incorporated by reference in this prospectus supplement and the accompanying prospectus, any amendment or update thereto reflected in our subsequent filings with the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Acquisition of Decipher</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pending acquisition of Decipher may present many risks and we may not realize the strategic and financial goals that were contemplated at the time we entered into the Merger Agreement.</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we may face in connection with the pending acquisition and subsequent integration of Decipher include:</w:t>
      </w:r>
    </w:p>
    <w:p>
      <w:pPr>
        <w:spacing w:after="0" w:line="131" w:lineRule="exact"/>
        <w:rPr>
          <w:sz w:val="20"/>
          <w:szCs w:val="20"/>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acquisition could be delayed or not consummated, including in the event that the closing conditions are not satisfied or waived or we or Decipher terminate the Merger Agreement;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we expect to receive from the transaction, such as anticipated synergies and an enhanced menu of genomic tests;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conditions to the acquisition may not be satisfied or waived, including that the expiration or termination of the applicable waiting period may not be satisfied or waived under the Hart-Scott-Rodino Antitrust Improvements Act of 1976, as amended;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Decipher’s products and tests or retaining key personnel from Decipher;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may not further our business strategy as we expected, we may not successfully integrate Decipher as planned, there could be unanticipated adverse impacts on Decipher’s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85"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does not provide for post-closing indemnification protection related to pre-closing Decipher operations and, therefore, we may incur unforeseen costs as a result of Decipher’s pre-closing activities, over which we have limited control, including Decipher’s breach of the covenants contained in the Merger Agreement;</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(i) claims or liabilities related to Decipher’s business including, among others, claims from U.S. or international regulatory or other governmental agencies, terminated employees, current or former customers or business partners, or other third parties; (ii) pre-existing contractual relationships of Decipher that we would not have otherwise entered into, the termination or modification of which may be costly or disruptive to our business; (iii) unfavorable accounting treatment as a result of Decipher’s practices; and (iv) intellectual property claims or disputes;</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Decipher was not required to maintain an internal control infrastructure that would meet the standards of a public company, including the requirements of the Sarbanes-Oxley Act of 2002. The costs that we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may incur to implement such controls and procedures may be substantial and we could encounter unexpected delays and challenges in this implementation. In addition, we may discover significant deficiencies or material weaknesses in the quality of Decipher’s financial and disclosure controls and procedures;</w:t>
      </w:r>
    </w:p>
    <w:p>
      <w:pPr>
        <w:spacing w:after="0" w:line="81" w:lineRule="exact"/>
        <w:rPr>
          <w:sz w:val="20"/>
          <w:szCs w:val="20"/>
          <w:color w:val="auto"/>
        </w:rPr>
      </w:pPr>
    </w:p>
    <w:p>
      <w:pPr>
        <w:jc w:val="both"/>
        <w:ind w:left="1080" w:right="40" w:hanging="424"/>
        <w:spacing w:after="0" w:line="31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Decipher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45" w:lineRule="exact"/>
        <w:rPr>
          <w:rFonts w:ascii="Times New Roman" w:cs="Times New Roman" w:eastAsia="Times New Roman" w:hAnsi="Times New Roman"/>
          <w:sz w:val="17"/>
          <w:szCs w:val="17"/>
          <w:color w:val="auto"/>
        </w:rPr>
      </w:pPr>
    </w:p>
    <w:p>
      <w:pPr>
        <w:ind w:left="1080" w:right="3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or assess the magnitude of certain liabilities, shortcomings or other circumstances prior to acquiring Decipher, which could result in unexpected litigation or regulatory exposure, unfavorable accounting treatment, a diversion of management’s attention and resources, and other adverse effects on our business, financial condition, and operating results.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occurrence of any of these risks could have a material adverse effect on our business, financial condition, and operating results.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outstanding common stock prior</w:t>
      </w:r>
    </w:p>
    <w:p>
      <w:pPr>
        <w:spacing w:after="0" w:line="27"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to this offering. Based on the public offering price of $ per share, and our net tangible book value as of September 30, 2020 of approximately $6.21 per share, if you purchase shares of common stock in this offering, you will suffer immediate and substantial dilution of $ per share,</w:t>
      </w:r>
    </w:p>
    <w:p>
      <w:pPr>
        <w:spacing w:after="0" w:line="1" w:lineRule="exact"/>
        <w:rPr>
          <w:sz w:val="20"/>
          <w:szCs w:val="20"/>
          <w:color w:val="auto"/>
        </w:rPr>
      </w:pPr>
    </w:p>
    <w:p>
      <w:pPr>
        <w:ind w:left="120" w:right="600"/>
        <w:spacing w:after="0" w:line="253" w:lineRule="auto"/>
        <w:rPr>
          <w:sz w:val="20"/>
          <w:szCs w:val="20"/>
          <w:color w:val="auto"/>
        </w:rPr>
      </w:pPr>
      <w:r>
        <w:rPr>
          <w:rFonts w:ascii="Times New Roman" w:cs="Times New Roman" w:eastAsia="Times New Roman" w:hAnsi="Times New Roman"/>
          <w:sz w:val="18"/>
          <w:szCs w:val="18"/>
          <w:color w:val="auto"/>
        </w:rPr>
        <w:t>representing the difference between the public offering price and the as adjusted net tangible book value per share of our common stock as of September 30, 2020 after giving effect to this offering, and excluding our payment to Deciphers’ stockholders of up to $600.0 million in cash in connection with the Merger as described in the section entitled “Use of Proceeds.” See the section entitled “Dilution” below for a more detailed discussion of the dilution you will incur if you purchase common stock in this offering.</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In addition, under the Merger Agreement, we have agreed to issue up to 6,445,672 shares of our common stock as consideration for the Merger, which, unless we elect to pay such amount on a dollar-for-dollar basis with cash, as permitted under the Merger Agreement, would result in further dilution to you.</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Finally, we have a significant number of stock options to purchase common stock, RSUs and PSUs outstanding, and may choose to issue additional common stock, or securities convertible into or exchangeable for common stock, in the future. In the event that the outstanding stock options, RSUs or PSUs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our existing stockholders could cause our stock price to decline.</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RSUs and PSUs outstanding. As of September 30, 2020, we had 57,813,833 shares of outstanding common stock, of which approximately 395,936 shares and an additional 3,290,231 shares underlying stock options, RSUs and PSUs are subject to restrictions on transfer under 60-day lock-up arrangements with the underwriters of this offering. These shares will become eligible for public sale at the expiration of the lock-up period, subject to vesting requirements and volume limitations applicable to affiliates. If a substantial number of shares of common stock, including shares of common stock underlying outstanding stock options, RSUs and PSUs, are sold, or if it is perceived that they will be sold, in the public market, it could have an adverse impact on the market price of our common stock.</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under the Merger Agreement, we have agreed to register the up to 6,445,672 shares of our common stock as consideration payable to Decipher, on a Registration Statement on Form S-4 to be filed by March 1, 2021. In the event we issue such shares in the form of our common stock, and do not elect to pay such amount in cash, following the closing of the Merger, such shares would be freely tradeable by any stockholders of Decipher that are not our affiliates.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Furthermore, certain of our directors and executive officers have adopted, and other directors and executive officers may in the future adopt, written trading plans that are intended to comply with Rule 10b5-1 under the Securities Exchange Act of 1934, as amended, or Exchange Act, under which they have contracted, or may in the future contract, with a broker to sell shares of our common stock. Sales of substantial amounts of our common stock in the public markets during the lock-up period pursuant to 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This offering is not conditioned upon the closing of the Merger. If the Merger does not close, we will have broad discretion as to the use of proceeds from this offering.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we have filed with the SEC that are incorporated by reference in this prospectus supplement and the accompanying prospectus contain forward-looking statements within the meaning of the Private Securities Litigation Reform Act of 1995. When used in this prospectus supplement, the accompanying prospectus and the documents we have filed with the SEC that are incorporated by reference in this prospectus supplement and the accompanying prospectus, the words “expects,” “anticipates,” “intends,” “estimates,” “plans,” “believes,” “continuing,” “ongoing,” and similar expressions are intended to identify forward-looking statements. These are statements that relate to future events and include, but are not limited to, statements regarding the pending acquisition of Decipher; statements regarding the expected timing for completion of the Merger; statements related to the expected benefits of the Merger, including but not limited to, the acceleration of our revenue and path to profitability, the accretiveness to our gross margin, and the expansion of our total addressable market opportunity; statements regarding our cash position as of December 31, 2020 and our and Decipher’s total revenue and genomic test volume for 2020; statements regarding our and Decipher’s product pipeline and anticipated and expected launch dates; statements regarding the commercial launch of the Decipher Bladder test and its kidney cancer test, the breadth and depth of our product offerings in cancer diagnostic testing, and the ability of Decipher GRID to augment our biorepositories; our ability to secure all required regulatory approvals and prevent any delay in closing the transaction or the possibility of non-consummation of the Merger; our ability to avoid stockholder litigation in connection with the Merger; our ability to retain Decipher employees and to successfully integrate the Decipher business; risks inherent in the achievement of anticipated synergies and the timing thereof;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beliefs with respect to the optimization of our processes for the analysis of RNA samples; our integration of the assets acquired from NanoString; our ability to deploy the nCounter Analysis System successfully and run our tests on this platform worldwide; our beliefs with respect to the optimization of our processes for the analysis of RNA samples; our collaboration with Johnson &amp; Johnson;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with CareDx and MAVIDx;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other regulatory bodies; the impact of new or changing policies, regulation or legislation, or of judicial decisions, on our business; the impact of seasonal fluctuations and economic conditions on our business; our belief that we</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herein.</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20"/>
          </w:cols>
          <w:pgMar w:left="320" w:top="455" w:right="5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from the sale of 6,151,007 shares of our common stock in this offering, at an assumed public offering price of $65.03 per share, which was the last reported sale price of our common stock on The Nasdaq Global Market on February 2, 2020, will be approximately $375.3 million, after deducting the estimated underwriting discounts and commissions and estimated offering expenses we expect to pay. If the underwriters exercise their option to purchase additional shares in full, we estimate that our net proceeds will be approximately $431.7 million, after deducting the estimated underwriting discounts and commissions and estimated offering expenses we expect to pay.</w:t>
      </w:r>
    </w:p>
    <w:p>
      <w:pPr>
        <w:spacing w:after="0" w:line="183"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and cash equivalents, to finance some or all of the aggregate purchase price of $600.0 million for our acquisition of Decipher. We intend to use the remaining net proceeds of this offering, if any, for working capital and other general corporate purposes, which may include acquisitions or investments in complementary businesses, technologies or other assets, although we have no present commitments or agreements to do so (other than with respect to Decipher). This offering is not conditioned upon the closing of the Merger. If the Merger does not close, we will have broad discretion as to the use of proceeds from this offering. As a result, investors will be relying on our judgment regarding the application of the net proceeds of this offering.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Each $1.00 increase (decrease) in the assumed public offering price of $65.03 per share would increase (decrease) the net proceeds to us from this offering by approximately $5.8 million, assuming that the number of shares offered by us, as set forth on the cover page of this preliminary prospectus supplement, remains the same, and after deducting the estimated underwriting discounts and commissions. Each increase (decrease) of 1.0 million shares in the number of shares of common stock offered by us would increase (decrease) the net proceeds to us from this offering by approximately $61.1 million, assuming that the assumed public offering price remains the same, and after deducting the estimated underwriting discounts and commissions.</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00"/>
          </w:cols>
          <w:pgMar w:left="320" w:top="455" w:right="5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September 30, 2020 was approximately $358.8 million, or $6.21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76"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After giving effect to the sale by us of 6,151,007 shares of our common stock at the public offering price of $ per share, and after deducting the estimated underwriting discounts and commissions and estimated offering expenses, and excluding our payment to Deciphers’ stockholders of up to $600.0 million in cash in connection with the Merger as described in the section entitled “Use of Proceeds,” our as adjusted net tangible book value as of</w:t>
      </w:r>
    </w:p>
    <w:p>
      <w:pPr>
        <w:spacing w:after="0" w:line="2" w:lineRule="exact"/>
        <w:rPr>
          <w:sz w:val="20"/>
          <w:szCs w:val="20"/>
          <w:color w:val="auto"/>
        </w:rPr>
      </w:pPr>
    </w:p>
    <w:p>
      <w:pPr>
        <w:ind w:left="120" w:right="120"/>
        <w:spacing w:after="0" w:line="250" w:lineRule="auto"/>
        <w:rPr>
          <w:sz w:val="20"/>
          <w:szCs w:val="20"/>
          <w:color w:val="auto"/>
        </w:rPr>
      </w:pPr>
      <w:r>
        <w:rPr>
          <w:rFonts w:ascii="Times New Roman" w:cs="Times New Roman" w:eastAsia="Times New Roman" w:hAnsi="Times New Roman"/>
          <w:sz w:val="18"/>
          <w:szCs w:val="18"/>
          <w:color w:val="auto"/>
        </w:rPr>
        <w:t>September 30, 2020 would have been approximately $ million, or $ per share of our common stock. This represents an immediate increase in the net tangible book value of $ per share to our existing stockholders and an immediate and substantial dilution in net tangible book value of</w:t>
      </w:r>
    </w:p>
    <w:p>
      <w:pPr>
        <w:spacing w:after="0" w:line="1" w:lineRule="exact"/>
        <w:rPr>
          <w:sz w:val="20"/>
          <w:szCs w:val="20"/>
          <w:color w:val="auto"/>
        </w:rPr>
      </w:pPr>
    </w:p>
    <w:p>
      <w:pPr>
        <w:ind w:left="800" w:hanging="684"/>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to new investors.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7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as adjusted net tangible book value per share attributable to new investors</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922,651 additional shares from us at the public offering price of $ per share, the as adjusted net tangible book value per share after this offering would be $ per share and the dilution to new investors participating in this offering would be $ per share.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calculations above are based on 57,813,833 shares outstanding as of September 30, 2020 and exclude:</w:t>
      </w:r>
    </w:p>
    <w:p>
      <w:pPr>
        <w:spacing w:after="0" w:line="131" w:lineRule="exact"/>
        <w:rPr>
          <w:sz w:val="20"/>
          <w:szCs w:val="20"/>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4,412,050 shares of our common stock issuable upon the exercise of stock options outstanding as of September 30, 2020, with a weighted-average exercise price of $14.68 per share;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of our common stock issuable upon the exercise of stock options granted after September 30, 2020, with a weighted-average exercise price of $47.34 per share;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742,227 shares of common stock issuable upon the settlement of restricted stock units, or RSUs, and 125,000 shares of common stock issuable upon the settlement of performance stock units, or PSUs, in each case, outstanding as of September 30, 2020;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49,350 shares of common stock issuable upon the settlement of RSUs granted after September 30, 2020;</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6,445,672 shares of common stock issuable in connection with our acquisition of Decipher, subject to reduction pursuant to our option, as described under “Prospectus Supplement Summary—Recent Developments—Decipher Biosciences Merger;”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2,936,958 shares of common stock reserved for future issuance under our 2013 Stock Incentive Plan, as amended;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1,522,653 shares of common stock reserved for future issuance under our Amended and Restated Employee Stock Purchase Plan.</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the extent that any outstanding stock options have been or may be exercised, RSUs or PSUs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960"/>
          </w:cols>
          <w:pgMar w:left="320" w:top="455" w:right="6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and do not expect to pay any dividends in the foreseeable future. On November 3, 2017, we entered into a loan and security agreement, or Loan and Security Agreement, with Silicon Valley Bank. The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NON-U.S. HOLDERS OF OUR COMMON STOCK</w:t>
      </w:r>
    </w:p>
    <w:p>
      <w:pPr>
        <w:spacing w:after="0" w:line="20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discuss state, local, U.S. federal gift and estate tax laws, except to the limited extent provided below, or any non-U.S. tax consequences that may be relevant to Non-U.S. Holders in light of their particular circumstances.</w:t>
      </w:r>
    </w:p>
    <w:p>
      <w:pPr>
        <w:spacing w:after="0" w:line="183"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Special rules different from those described below may apply to certain Non-U.S. Holders that are subject to special treatment under the Internal Revenue Code of 1986, as amended, or Code, such as:</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and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as compensation for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(except to the extent specifically set forth below);</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“hedge,” “conversion transaction,” “synthetic security” or integrated investment or other risk reduction strategy;</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property held for investment purposes);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and will not request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83"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For the purposes of this discussion, a “Non-U.S. Holder” is, for U.S. federal income tax purposes, a beneficial owner of common stock other than a U.S. Holder or a partnership for U.S. federal income tax purposes. A “U.S. Holder” means a beneficial owner of our common stock that is for U.S. federal income tax purposes (a) an individual citizen or resident of the United States (as determined under U.S. federal income tax rules), (b) a corporation (or any other entity treated as a corporation) created or organized in or under the laws of the United States, any state thereof or the District of Columbia,</w:t>
      </w:r>
    </w:p>
    <w:p>
      <w:pPr>
        <w:spacing w:after="0" w:line="3" w:lineRule="exact"/>
        <w:rPr>
          <w:sz w:val="20"/>
          <w:szCs w:val="20"/>
          <w:color w:val="auto"/>
        </w:rPr>
      </w:pPr>
    </w:p>
    <w:p>
      <w:pPr>
        <w:ind w:left="120" w:right="20" w:hanging="4"/>
        <w:spacing w:after="0" w:line="253" w:lineRule="auto"/>
        <w:tabs>
          <w:tab w:leader="none" w:pos="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8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“—Gain on Disposition of our Common Stock.”</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you should consult with your tax advisor to determine if you are able to obtain a refund or credit of any excess amounts withheld by timely filing an appropriate claim for a refund with the IRS.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generally imposed at a rate of 30% (or such lower rate as may be specified by an applicable treaty) on the corporate Non-U.S. Holder’s effectively connected earnings and profits, subject to certain adjustments.</w:t>
      </w:r>
    </w:p>
    <w:p>
      <w:pPr>
        <w:spacing w:after="0" w:line="192"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See also the section below entitled “—Foreign Accounts” for additional withholding rules that may apply to dividends paid to foreign financial institutions or non-financial foreign entities.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229" w:lineRule="exact"/>
        <w:rPr>
          <w:sz w:val="20"/>
          <w:szCs w:val="20"/>
          <w:color w:val="auto"/>
        </w:rPr>
      </w:pPr>
    </w:p>
    <w:p>
      <w:pPr>
        <w:ind w:left="120" w:right="240"/>
        <w:spacing w:after="0" w:line="276" w:lineRule="auto"/>
        <w:rPr>
          <w:sz w:val="20"/>
          <w:szCs w:val="20"/>
          <w:color w:val="auto"/>
        </w:rPr>
      </w:pPr>
      <w:r>
        <w:rPr>
          <w:rFonts w:ascii="Times New Roman" w:cs="Times New Roman" w:eastAsia="Times New Roman" w:hAnsi="Times New Roman"/>
          <w:sz w:val="17"/>
          <w:szCs w:val="17"/>
          <w:color w:val="auto"/>
        </w:rPr>
        <w:t>Subject to the discussion below under the sections titled “—Backup Withholding and Information Reporting” and “—Foreign Accounts,” a Non-U.S. Holder generally will not be subject to U.S. federal income tax with respect to gain realized on a sale or other disposition of our common stock unless</w:t>
      </w:r>
    </w:p>
    <w:p>
      <w:pPr>
        <w:spacing w:after="0" w:line="1" w:lineRule="exact"/>
        <w:rPr>
          <w:sz w:val="20"/>
          <w:szCs w:val="20"/>
          <w:color w:val="auto"/>
        </w:rPr>
      </w:pPr>
    </w:p>
    <w:p>
      <w:pPr>
        <w:ind w:left="120" w:right="60" w:hanging="4"/>
        <w:spacing w:after="0" w:line="253" w:lineRule="auto"/>
        <w:tabs>
          <w:tab w:leader="none" w:pos="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the sum of our worldwide real estate assets plus our business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The estates of nonresident alien individuals generally are subject to U.S. federal estate tax on property with a U.S. situs. Because we are a U.S. corporation, our common stock will be U.S. situs property and therefore will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Generally, we or certain financial middlemen must report information to the IRS with respect to any distributions (including any dividends) we make on our common stock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0"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 (iii) 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 Foreign financial institutions located in jurisdictions that have an intergovernmental agreement with the United States governing FATCA may be subject to different rules.</w:t>
      </w:r>
    </w:p>
    <w:p>
      <w:pPr>
        <w:spacing w:after="0" w:line="19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Under applicable Treasury Regulations and IRS guidance, FATCA withholding as described above currently applies to payments of dividends on our common stock. While withholding under FATCA would have applied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also to payments of gross proceeds from the sale or other disposition of common stock, proposed Treasury Regulations eliminate FATCA withholding on payments of gross proceeds. The preamble to the proposed Treasury Regulations specifies that taxpayers are permitted to rely on such proposed regulations pending finalization.</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0920"/>
          </w:cols>
          <w:pgMar w:left="320" w:top="455" w:right="6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and the underwriters named below will enter into an underwriting agreement with respect to the shares of our common stock being offered. Subject to certain conditions, each underwriter has severally agreed to purchase the number of shares of our common stock indicated in the following table. Goldman Sachs &amp; Co. LLC and SVB Leerink LLC are the representatives of the underwriters.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5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BTIG, LLC</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Lake Street Capital Markets, LLC</w:t>
            </w:r>
          </w:p>
        </w:tc>
        <w:tc>
          <w:tcPr>
            <w:tcW w:w="1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6,151,007</w:t>
            </w:r>
          </w:p>
        </w:tc>
      </w:tr>
      <w:tr>
        <w:trPr>
          <w:trHeight w:val="20"/>
        </w:trPr>
        <w:tc>
          <w:tcPr>
            <w:tcW w:w="7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of our common stock being offered, if any are taken, other than the shares covered by the option described below unless and until this option is exercised.</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922,651 shares of our common stock from us. They may exercise that option for 30 days. If any shares of our common stock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922,651 additional shares of our common stock.</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Paid by the Company</w:t>
            </w:r>
          </w:p>
        </w:tc>
        <w:tc>
          <w:tcPr>
            <w:tcW w:w="4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 Exercise</w:t>
            </w:r>
          </w:p>
        </w:tc>
        <w:tc>
          <w:tcPr>
            <w:tcW w:w="5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Full Exercise</w:t>
            </w:r>
          </w:p>
        </w:tc>
      </w:tr>
      <w:tr>
        <w:trPr>
          <w:trHeight w:val="203"/>
        </w:trPr>
        <w:tc>
          <w:tcPr>
            <w:tcW w:w="12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Per Share</w:t>
            </w:r>
          </w:p>
        </w:tc>
        <w:tc>
          <w:tcPr>
            <w:tcW w:w="47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7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6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spacing w:after="0" w:line="17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Shares of our common stock sold by the underwriters to the public will be offered at the public offering price set forth on the cover of this prospectus. Any shares of our common stock sold by the underwriters to securities dealers may be sold at a discount of up to $ per share from the public offering price. The offering of the shares of our common stock by the underwriters is subject to receipt and acceptance and subject to the underwriters’ right to reject any order in whole or in part.</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$730,000. We have also agreed to reimburse the underwriters for certain of their expenses in an amount up to $15,000.</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and our executive officers and directors have agreed with the underwriters, subject to certain exceptions, not to dispose of or hedge any shares of our common stock or securities convertible into or exchangeable for shares of our common stock during the period from the date of this prospectus continuing through the date 60 days after the date of this prospectus, except with the prior written consent of the representatives. This agreement does not apply to any existing employee benefit plans. Except for customary lock-up exceptions, including an exception allowing our directors and officers to make sales under preexisting 10b5-1 plans, there are no existing agreements between the underwriters and any of our stockholders who have executed a lock-up agreement providing consent to the sale of shares prior to the expiration of the lock-up period.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“VCYT.”</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of our common stock or purchasing shares of our common stock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or entities with relationships with the issuer, for which they received or will receive customary fees and expenses.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Economic Area and United Kingdom</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9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this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UK Prospectus Regulation,</w:t>
      </w:r>
    </w:p>
    <w:p>
      <w:pPr>
        <w:spacing w:after="0" w:line="11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Manager to publish a prospectus pursuant to Article 3 under the UK Prospectus Regulation.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0" w:lineRule="auto"/>
        <w:rPr>
          <w:sz w:val="20"/>
          <w:szCs w:val="20"/>
          <w:color w:val="auto"/>
        </w:rPr>
      </w:pPr>
      <w:r>
        <w:rPr>
          <w:rFonts w:ascii="Times New Roman" w:cs="Times New Roman" w:eastAsia="Times New Roman" w:hAnsi="Times New Roman"/>
          <w:sz w:val="17"/>
          <w:szCs w:val="17"/>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3" w:lineRule="exact"/>
        <w:rPr>
          <w:sz w:val="20"/>
          <w:szCs w:val="20"/>
          <w:color w:val="auto"/>
        </w:rPr>
      </w:pPr>
    </w:p>
    <w:p>
      <w:pPr>
        <w:jc w:val="both"/>
        <w:ind w:left="120" w:right="80" w:hanging="4"/>
        <w:spacing w:after="0" w:line="255"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8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9" w:lineRule="exact"/>
        <w:rPr>
          <w:sz w:val="20"/>
          <w:szCs w:val="20"/>
          <w:color w:val="auto"/>
        </w:rPr>
      </w:pPr>
    </w:p>
    <w:p>
      <w:pPr>
        <w:ind w:left="120" w:right="280"/>
        <w:spacing w:after="0" w:line="257" w:lineRule="auto"/>
        <w:rPr>
          <w:sz w:val="20"/>
          <w:szCs w:val="20"/>
          <w:color w:val="auto"/>
        </w:rPr>
      </w:pPr>
      <w:r>
        <w:rPr>
          <w:rFonts w:ascii="Times New Roman" w:cs="Times New Roman" w:eastAsia="Times New Roman" w:hAnsi="Times New Roman"/>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Requirements, Exemptions, and Ongoing Registrant Obligations. Any resale of the shares must be made in accordance with an exemption form, or in a transaction not subject to, the prospectus requirements of applicable securities laws.</w:t>
      </w:r>
    </w:p>
    <w:p>
      <w:pPr>
        <w:spacing w:after="0" w:line="18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0"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w:t>
      </w:r>
    </w:p>
    <w:p>
      <w:pPr>
        <w:spacing w:after="0" w:line="5" w:lineRule="exact"/>
        <w:rPr>
          <w:sz w:val="20"/>
          <w:szCs w:val="20"/>
          <w:color w:val="auto"/>
        </w:rPr>
      </w:pPr>
    </w:p>
    <w:p>
      <w:pPr>
        <w:ind w:left="120" w:right="600"/>
        <w:spacing w:after="0" w:line="255" w:lineRule="auto"/>
        <w:rPr>
          <w:sz w:val="20"/>
          <w:szCs w:val="20"/>
          <w:color w:val="auto"/>
        </w:rPr>
      </w:pPr>
      <w:r>
        <w:rPr>
          <w:rFonts w:ascii="Times New Roman" w:cs="Times New Roman" w:eastAsia="Times New Roman" w:hAnsi="Times New Roman"/>
          <w:sz w:val="18"/>
          <w:szCs w:val="18"/>
          <w:color w:val="auto"/>
        </w:rPr>
        <w:t>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(as defined in Section 4A of the SFA)) whose sole purpose is to hold investments and each beneficiary of the trust is an accredited investor,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beneficiaries’ rights and interest (howsoever described) in that trust shall not be transferable for 6 months after that trust has acquired the shares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 of the SFA except: (1) to an institutional investor under Section 274 of the SFA or to a relevant person (as defined in Section 275(2)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SFA), (2) where such transfer arises from an offer that is made on terms that such rights or interest are acquired at a consideration of not less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S$200,000 (or its equivalent in a foreign currency) for each transaction (whether such amount is to be paid for in cash or by exchange of securities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276(7) of the SFA, or (6) as specified in Regulation 32.</w:t>
      </w:r>
    </w:p>
    <w:p>
      <w:pPr>
        <w:spacing w:after="0" w:line="20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Classification—Solely for the purposes of its obligations pursuant to Sections 309B(1)(a) and 309B(1)(c) of the SFA, we have determined, and hereby notify all relevant persons (as defined in Section 309A of the SFA) that the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1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(“Addressed Investors”); or (ii) the offer is made, distributed or directed to certain qualified investors defined in the First Addendum of the Israeli Securities Law, 5728 – 1968, subject to certain conditions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8"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(1) for its own account; (2) for investment purposes only; and (3)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securities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11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Corporations Act or otherwise or where the offer is pursuant to a disclosure document which complies with Chapter 6D of the Corporations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person acquiring shares must observe such Australian on-sale restrictions.</w:t>
      </w:r>
    </w:p>
    <w:p>
      <w:pPr>
        <w:spacing w:after="0" w:line="20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Dubai International Financial Centre</w:t>
      </w:r>
    </w:p>
    <w:p>
      <w:pPr>
        <w:spacing w:after="0" w:line="11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80"/>
          </w:cols>
          <w:pgMar w:left="320" w:top="455" w:right="4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incorporate by reference the documents listed below and any future filings we make with the SEC under Section 13(a), 13(c), 14, or 15(d) of the Exchange Act prior to the termination of any offering of securities made by this prospectus supplement and accompanying prospectus:</w:t>
      </w:r>
    </w:p>
    <w:p>
      <w:pPr>
        <w:spacing w:after="0" w:line="94" w:lineRule="exact"/>
        <w:rPr>
          <w:sz w:val="20"/>
          <w:szCs w:val="20"/>
          <w:color w:val="auto"/>
        </w:rPr>
      </w:pPr>
    </w:p>
    <w:p>
      <w:pPr>
        <w:ind w:left="1080" w:right="6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2019, filed with the SEC on February 25, 2020, including certain information incorporated by reference therein from our </w:t>
      </w:r>
      <w:hyperlink r:id="rId49">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2020 annual meeting of stockholders filed with the SEC on April 24, 2020;</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2020, June 30, 2020 and September 30, 2020, filed with the SEC on </w:t>
      </w:r>
      <w:hyperlink r:id="rId50">
        <w:r>
          <w:rPr>
            <w:rFonts w:ascii="Times New Roman" w:cs="Times New Roman" w:eastAsia="Times New Roman" w:hAnsi="Times New Roman"/>
            <w:sz w:val="18"/>
            <w:szCs w:val="18"/>
            <w:u w:val="single" w:color="auto"/>
            <w:color w:val="0000EE"/>
          </w:rPr>
          <w:t>May 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July 30,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November 2,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100" w:hanging="424"/>
        <w:spacing w:after="0" w:line="261" w:lineRule="auto"/>
        <w:tabs>
          <w:tab w:leader="none" w:pos="108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 on Form 8-K/A filed with the SEC on </w:t>
      </w:r>
      <w:hyperlink r:id="rId53">
        <w:r>
          <w:rPr>
            <w:rFonts w:ascii="Times New Roman" w:cs="Times New Roman" w:eastAsia="Times New Roman" w:hAnsi="Times New Roman"/>
            <w:sz w:val="18"/>
            <w:szCs w:val="18"/>
            <w:u w:val="single" w:color="auto"/>
            <w:color w:val="0000EE"/>
          </w:rPr>
          <w:t>February 18, 2020</w:t>
        </w:r>
      </w:hyperlink>
      <w:r>
        <w:rPr>
          <w:rFonts w:ascii="Times New Roman" w:cs="Times New Roman" w:eastAsia="Times New Roman" w:hAnsi="Times New Roman"/>
          <w:sz w:val="18"/>
          <w:szCs w:val="18"/>
          <w:color w:val="auto"/>
        </w:rPr>
        <w:t xml:space="preserve">, and our Current Reports on Form 8-K filed with the SEC on </w:t>
      </w:r>
      <w:hyperlink r:id="rId54">
        <w:r>
          <w:rPr>
            <w:rFonts w:ascii="Times New Roman" w:cs="Times New Roman" w:eastAsia="Times New Roman" w:hAnsi="Times New Roman"/>
            <w:sz w:val="18"/>
            <w:szCs w:val="18"/>
            <w:u w:val="single" w:color="auto"/>
            <w:color w:val="0000EE"/>
          </w:rPr>
          <w:t>February 25,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14,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9,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27,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5,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17,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16,</w:t>
        </w:r>
      </w:hyperlink>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January 25, 2021 </w:t>
        </w:r>
      </w:hyperlink>
      <w:hyperlink r:id="rId5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 xml:space="preserve">February 3, 2021 </w:t>
        </w:r>
      </w:hyperlink>
      <w:hyperlink r:id="rId54">
        <w:r>
          <w:rPr>
            <w:rFonts w:ascii="Times New Roman" w:cs="Times New Roman" w:eastAsia="Times New Roman" w:hAnsi="Times New Roman"/>
            <w:sz w:val="18"/>
            <w:szCs w:val="18"/>
            <w:color w:val="000000"/>
          </w:rPr>
          <w:t>(except that any portions thereof which are furnished and not filed shall not be deemed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and</w:t>
      </w:r>
    </w:p>
    <w:p>
      <w:pPr>
        <w:spacing w:after="0" w:line="112"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October 28, 2013 under Section 12 of the Exchange Act, including any amendment or report filed for the purpose of updating such description, including any amendment or report filed for the purposes of updating such description, including </w:t>
      </w:r>
      <w:hyperlink r:id="rId5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2019, filed with the SEC on February 25, 2020.</w:t>
      </w:r>
    </w:p>
    <w:p>
      <w:pPr>
        <w:spacing w:after="0" w:line="180" w:lineRule="exact"/>
        <w:rPr>
          <w:rFonts w:ascii="Times New Roman" w:cs="Times New Roman" w:eastAsia="Times New Roman" w:hAnsi="Times New Roman"/>
          <w:sz w:val="18"/>
          <w:szCs w:val="18"/>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0" w:lineRule="exact"/>
        <w:rPr>
          <w:rFonts w:ascii="Times New Roman" w:cs="Times New Roman" w:eastAsia="Times New Roman" w:hAnsi="Times New Roman"/>
          <w:sz w:val="18"/>
          <w:szCs w:val="18"/>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08"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60"/>
          </w:cols>
          <w:pgMar w:left="320" w:top="455" w:right="5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173990</wp:posOffset>
            </wp:positionV>
            <wp:extent cx="1920240" cy="1388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920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Debt Securities, Warrants,</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7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6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w:t>
      </w:r>
    </w:p>
    <w:p>
      <w:pPr>
        <w:spacing w:after="0" w:line="104" w:lineRule="exact"/>
        <w:rPr>
          <w:sz w:val="20"/>
          <w:szCs w:val="20"/>
          <w:color w:val="auto"/>
        </w:rPr>
      </w:pPr>
    </w:p>
    <w:p>
      <w:pPr>
        <w:ind w:left="120" w:right="120" w:firstLine="44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risks. See the section entitled “</w:t>
      </w:r>
      <w:hyperlink w:anchor="page3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77"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19.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3, 2021.</w:t>
      </w:r>
    </w:p>
    <w:p>
      <w:pPr>
        <w:sectPr>
          <w:pgSz w:w="11900" w:h="16838" w:orient="portrait"/>
          <w:cols w:equalWidth="0" w:num="1">
            <w:col w:w="11060"/>
          </w:cols>
          <w:pgMar w:left="320" w:top="455" w:right="5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87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2340" w:type="dxa"/>
            <w:vAlign w:val="bottom"/>
          </w:tcPr>
          <w:p>
            <w:pPr>
              <w:spacing w:after="0"/>
              <w:rPr>
                <w:sz w:val="20"/>
                <w:szCs w:val="20"/>
                <w:color w:val="auto"/>
              </w:rPr>
            </w:pPr>
          </w:p>
        </w:tc>
      </w:tr>
      <w:tr>
        <w:trPr>
          <w:trHeight w:val="513"/>
        </w:trPr>
        <w:tc>
          <w:tcPr>
            <w:tcW w:w="87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37"/>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36">
              <w:r>
                <w:rPr>
                  <w:rFonts w:ascii="Times New Roman" w:cs="Times New Roman" w:eastAsia="Times New Roman" w:hAnsi="Times New Roman"/>
                  <w:sz w:val="18"/>
                  <w:szCs w:val="18"/>
                  <w:b w:val="1"/>
                  <w:bCs w:val="1"/>
                  <w:u w:val="single" w:color="auto"/>
                  <w:color w:val="0000EE"/>
                </w:rPr>
                <w:t>ABOUT THIS PROSPECTUS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37">
              <w:r>
                <w:rPr>
                  <w:rFonts w:ascii="Times New Roman" w:cs="Times New Roman" w:eastAsia="Times New Roman" w:hAnsi="Times New Roman"/>
                  <w:sz w:val="18"/>
                  <w:szCs w:val="18"/>
                  <w:b w:val="1"/>
                  <w:bCs w:val="1"/>
                  <w:u w:val="single" w:color="auto"/>
                  <w:color w:val="0000EE"/>
                </w:rPr>
                <w:t>PROSPECTUS SUMMARY</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39">
              <w:r>
                <w:rPr>
                  <w:rFonts w:ascii="Times New Roman" w:cs="Times New Roman" w:eastAsia="Times New Roman" w:hAnsi="Times New Roman"/>
                  <w:sz w:val="18"/>
                  <w:szCs w:val="18"/>
                  <w:b w:val="1"/>
                  <w:bCs w:val="1"/>
                  <w:u w:val="single" w:color="auto"/>
                  <w:color w:val="0000EE"/>
                </w:rPr>
                <w:t>RISK FACTORS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39">
              <w:r>
                <w:rPr>
                  <w:rFonts w:ascii="Times New Roman" w:cs="Times New Roman" w:eastAsia="Times New Roman" w:hAnsi="Times New Roman"/>
                  <w:sz w:val="18"/>
                  <w:szCs w:val="18"/>
                  <w:b w:val="1"/>
                  <w:bCs w:val="1"/>
                  <w:u w:val="single" w:color="auto"/>
                  <w:color w:val="0000EE"/>
                </w:rPr>
                <w:t>FORWARD-LOOKING STATEMENTS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40">
              <w:r>
                <w:rPr>
                  <w:rFonts w:ascii="Times New Roman" w:cs="Times New Roman" w:eastAsia="Times New Roman" w:hAnsi="Times New Roman"/>
                  <w:sz w:val="18"/>
                  <w:szCs w:val="18"/>
                  <w:b w:val="1"/>
                  <w:bCs w:val="1"/>
                  <w:u w:val="single" w:color="auto"/>
                  <w:color w:val="0000EE"/>
                </w:rPr>
                <w:t>USE OF PROCEEDS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40">
              <w:r>
                <w:rPr>
                  <w:rFonts w:ascii="Times New Roman" w:cs="Times New Roman" w:eastAsia="Times New Roman" w:hAnsi="Times New Roman"/>
                  <w:sz w:val="18"/>
                  <w:szCs w:val="18"/>
                  <w:b w:val="1"/>
                  <w:bCs w:val="1"/>
                  <w:u w:val="single" w:color="auto"/>
                  <w:color w:val="0000EE"/>
                </w:rPr>
                <w:t>SECURITIES WE MAY OFFER</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41">
              <w:r>
                <w:rPr>
                  <w:rFonts w:ascii="Times New Roman" w:cs="Times New Roman" w:eastAsia="Times New Roman" w:hAnsi="Times New Roman"/>
                  <w:sz w:val="18"/>
                  <w:szCs w:val="18"/>
                  <w:b w:val="1"/>
                  <w:bCs w:val="1"/>
                  <w:u w:val="single" w:color="auto"/>
                  <w:color w:val="0000EE"/>
                </w:rPr>
                <w:t>DESCRIPTION OF COMMON STOCK</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43">
              <w:r>
                <w:rPr>
                  <w:rFonts w:ascii="Times New Roman" w:cs="Times New Roman" w:eastAsia="Times New Roman" w:hAnsi="Times New Roman"/>
                  <w:sz w:val="18"/>
                  <w:szCs w:val="18"/>
                  <w:b w:val="1"/>
                  <w:bCs w:val="1"/>
                  <w:u w:val="single" w:color="auto"/>
                  <w:color w:val="0000EE"/>
                </w:rPr>
                <w:t>DESCRIPTION OF PREFERRED STOCK</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44">
              <w:r>
                <w:rPr>
                  <w:rFonts w:ascii="Times New Roman" w:cs="Times New Roman" w:eastAsia="Times New Roman" w:hAnsi="Times New Roman"/>
                  <w:sz w:val="18"/>
                  <w:szCs w:val="18"/>
                  <w:b w:val="1"/>
                  <w:bCs w:val="1"/>
                  <w:u w:val="single" w:color="auto"/>
                  <w:color w:val="0000EE"/>
                </w:rPr>
                <w:t>DESCRIPTION OF DEBT SECURITIES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2">
              <w:r>
                <w:rPr>
                  <w:rFonts w:ascii="Times New Roman" w:cs="Times New Roman" w:eastAsia="Times New Roman" w:hAnsi="Times New Roman"/>
                  <w:sz w:val="18"/>
                  <w:szCs w:val="18"/>
                  <w:b w:val="1"/>
                  <w:bCs w:val="1"/>
                  <w:u w:val="single" w:color="auto"/>
                  <w:color w:val="0000EE"/>
                </w:rPr>
                <w:t>DESCRIPTION OF WARRANTS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3">
              <w:r>
                <w:rPr>
                  <w:rFonts w:ascii="Times New Roman" w:cs="Times New Roman" w:eastAsia="Times New Roman" w:hAnsi="Times New Roman"/>
                  <w:sz w:val="18"/>
                  <w:szCs w:val="18"/>
                  <w:b w:val="1"/>
                  <w:bCs w:val="1"/>
                  <w:u w:val="single" w:color="auto"/>
                  <w:color w:val="0000EE"/>
                </w:rPr>
                <w:t>DESCRIPTION OF SUBSCRIPTION RIGHTS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4">
              <w:r>
                <w:rPr>
                  <w:rFonts w:ascii="Times New Roman" w:cs="Times New Roman" w:eastAsia="Times New Roman" w:hAnsi="Times New Roman"/>
                  <w:sz w:val="18"/>
                  <w:szCs w:val="18"/>
                  <w:b w:val="1"/>
                  <w:bCs w:val="1"/>
                  <w:u w:val="single" w:color="auto"/>
                  <w:color w:val="0000EE"/>
                </w:rPr>
                <w:t>DESCRIPTION OF UNITS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4">
              <w:r>
                <w:rPr>
                  <w:rFonts w:ascii="Times New Roman" w:cs="Times New Roman" w:eastAsia="Times New Roman" w:hAnsi="Times New Roman"/>
                  <w:sz w:val="18"/>
                  <w:szCs w:val="18"/>
                  <w:b w:val="1"/>
                  <w:bCs w:val="1"/>
                  <w:u w:val="single" w:color="auto"/>
                  <w:color w:val="0000EE"/>
                </w:rPr>
                <w:t>SELLING SECURITYHOLDERS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4">
              <w:r>
                <w:rPr>
                  <w:rFonts w:ascii="Times New Roman" w:cs="Times New Roman" w:eastAsia="Times New Roman" w:hAnsi="Times New Roman"/>
                  <w:sz w:val="18"/>
                  <w:szCs w:val="18"/>
                  <w:b w:val="1"/>
                  <w:bCs w:val="1"/>
                  <w:u w:val="single" w:color="auto"/>
                  <w:color w:val="0000EE"/>
                </w:rPr>
                <w:t>PLAN OF DISTRIBUTION</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6">
              <w:r>
                <w:rPr>
                  <w:rFonts w:ascii="Times New Roman" w:cs="Times New Roman" w:eastAsia="Times New Roman" w:hAnsi="Times New Roman"/>
                  <w:sz w:val="18"/>
                  <w:szCs w:val="18"/>
                  <w:b w:val="1"/>
                  <w:bCs w:val="1"/>
                  <w:u w:val="single" w:color="auto"/>
                  <w:color w:val="0000EE"/>
                </w:rPr>
                <w:t>LEGAL MATTERS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6">
              <w:r>
                <w:rPr>
                  <w:rFonts w:ascii="Times New Roman" w:cs="Times New Roman" w:eastAsia="Times New Roman" w:hAnsi="Times New Roman"/>
                  <w:sz w:val="18"/>
                  <w:szCs w:val="18"/>
                  <w:b w:val="1"/>
                  <w:bCs w:val="1"/>
                  <w:u w:val="single" w:color="auto"/>
                  <w:color w:val="0000EE"/>
                </w:rPr>
                <w:t>EXPERTS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6">
              <w:r>
                <w:rPr>
                  <w:rFonts w:ascii="Times New Roman" w:cs="Times New Roman" w:eastAsia="Times New Roman" w:hAnsi="Times New Roman"/>
                  <w:sz w:val="18"/>
                  <w:szCs w:val="18"/>
                  <w:b w:val="1"/>
                  <w:bCs w:val="1"/>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7">
              <w:r>
                <w:rPr>
                  <w:rFonts w:ascii="Times New Roman" w:cs="Times New Roman" w:eastAsia="Times New Roman" w:hAnsi="Times New Roman"/>
                  <w:sz w:val="18"/>
                  <w:szCs w:val="18"/>
                  <w:b w:val="1"/>
                  <w:bCs w:val="1"/>
                  <w:u w:val="single" w:color="auto"/>
                  <w:color w:val="0000EE"/>
                </w:rPr>
                <w:t>INCORPORATION OF INFORMATION BY REFERENCE</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jc w:val="right"/>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and the accompanying prospectus supplement to “Veracyte,” the “company,” “we,” “us” and “our” refer to Veracyte, Inc.</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Veracyte, Afirma, Percepta, Envisia, Prosigna, Know by Design and the Veracyte, Afirma, Percepta, Envisia and Prosigna logos, among others, are our registered trademarks in the United States and other countries. We also have common law rights and pending trademark applications for LymphMark and More About You.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reduce time to appropriate treatment. In addition to making our genomic tests available in the United States through our central laboratory, our exclusive license to the nCounter Analysis System, which we believe to be a best-in-class diagnostics platform, positions us to deliver our tests to patients worldwide through laboratories and hospitals that can perform the tests locally. We estimate that our current and near-term pipeline products address an estimated $10 billion global market and that our longer-term pipeline products will enable us to address an estimated $50 billion global market.</w:t>
      </w:r>
    </w:p>
    <w:p>
      <w:pPr>
        <w:spacing w:after="0" w:line="189"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We design our tests to answer critical questions in the diagnosis, prognosis and treatment of cancer and other diseases and improve patient outcomes. We deliver clinical and economic utility to patients, physicians and payers, thereby helping to eliminate unnecessary costs burdening the healthcare system. We position our tests to integrate seamlessly into the way physicians currently evaluate patients in order to facilitate adoption.</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develop our genomic tests using advanced scientific methods, such as ribonucleic acid, or RNA, whole-transcriptome sequencing and machine learning, and then optimize the assays and classifiers for the platform on which the test will be performed. Historically, we have utilized RNA sequencing methods performed in our CLIA laboratory in South San Francisco, California. Beginning in 2021, we expect to adapt select tests to be performed on the nCounter Analysis System for international distribution of our tests.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our powerful scientific platform provides multiple vectors to create value for patients, providers and payers, as well as stockholders, and to help advance precision medicine:</w:t>
      </w:r>
    </w:p>
    <w:p>
      <w:pPr>
        <w:spacing w:after="0" w:line="189" w:lineRule="exact"/>
        <w:rPr>
          <w:sz w:val="20"/>
          <w:szCs w:val="20"/>
          <w:color w:val="auto"/>
        </w:rPr>
      </w:pPr>
    </w:p>
    <w:p>
      <w:pPr>
        <w:ind w:left="1080" w:right="2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Biorepositories—When we develop new tests,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21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and Bioinformatics—For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206"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High-Performing Commercial Genomic Tests—With the exception of Prosigna, which competes with a first-to-market test in a highly competitive environment, our genomic tests generally serve large, untapped markets where they are changing the diagnostic and treatment paradigm for patients. The majority of our genomic testing business stems from our CLIA certified laboratory serving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61" w:lineRule="auto"/>
        <w:rPr>
          <w:sz w:val="20"/>
          <w:szCs w:val="20"/>
          <w:color w:val="auto"/>
        </w:rPr>
      </w:pPr>
      <w:r>
        <w:rPr>
          <w:rFonts w:ascii="Times New Roman" w:cs="Times New Roman" w:eastAsia="Times New Roman" w:hAnsi="Times New Roman"/>
          <w:sz w:val="18"/>
          <w:szCs w:val="18"/>
          <w:color w:val="auto"/>
        </w:rPr>
        <w:t>United States market. We believe the nCounter Analysis System affords us the opportunity to adapt our test menu for multiple markets globally, providing flexibility for a global distributed testing model and increased efficiency in our United States-based CLIA lab. Our RNA sequencing platform enables us to offer testing from our CLIA lab for a broad range of gene alterations, which can inform treatment decisions at the time of diagnosis.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offer commercialized genomic tests in four clinical indications that we believe are changing disease diagnosis and patient care. All of our commercial tests are available in the United States and one is available internationally. These include the Afirma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Genomic Sequencing Classifier, or GSC, and the Xpression Atlas, or XA, designed to improve diagnosis of and inform treatment decisions, respectively, for thyroid cancer; the Percepta GSC for lung cancer; the Envisia Genomic Classifier for interstitial lung disease, or ILD, and idiopathic pulmonary fibrosis, or IPF; and the Prosigna Breast Cancer Assay for assessing risk of breast cancer distant recurrence. The Prosigna test is available for use on the nCounter Analysis System internationally and in the United States. Our investigational LymphMark lymphoma subtyping is also intended for use on the nCounter Analysis System and is expected to launch in 2021.</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2020,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prospectus supplement, we will not receive any of the proceeds from any sale of our common stock by selling securityholders.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125,000,000 shares of authorized common stock. As of September 30, 2020, there were 57,813,833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r>
        <w:rPr>
          <w:rFonts w:ascii="Times New Roman" w:cs="Times New Roman" w:eastAsia="Times New Roman" w:hAnsi="Times New Roman"/>
          <w:sz w:val="18"/>
          <w:szCs w:val="18"/>
          <w:color w:val="auto"/>
        </w:rPr>
        <w:t>. Our restated certificate of incorporation and amended and restated bylaws include provisions that:</w:t>
      </w:r>
    </w:p>
    <w:p>
      <w:pPr>
        <w:spacing w:after="0" w:line="133" w:lineRule="exact"/>
        <w:rPr>
          <w:sz w:val="20"/>
          <w:szCs w:val="20"/>
          <w:color w:val="auto"/>
        </w:rPr>
      </w:pPr>
    </w:p>
    <w:p>
      <w:pPr>
        <w:ind w:left="1080" w:right="3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 shares of undesignated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5" w:right="5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Delaware Law</w:t>
      </w:r>
      <w:r>
        <w:rPr>
          <w:rFonts w:ascii="Times New Roman" w:cs="Times New Roman" w:eastAsia="Times New Roman" w:hAnsi="Times New Roman"/>
          <w:sz w:val="18"/>
          <w:szCs w:val="18"/>
          <w:color w:val="auto"/>
        </w:rPr>
        <w:t>. We are subject to the provisions of Section 203 of the General Corporation Law of the State of Delaware regulating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of the corporation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5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2020,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each series and the number of shares that will constitute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shares of the series and the terms and conditions of the voting rights;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and the terms and conditions on which, the shares of the series may be redeemed, if the shares are redeemable;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sinking or purchase fund for the purchase or redemption of shares of the series, if such a fund is provided;</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preferential amount payable upon shares of the series in the event of the liquidation, dissolution or winding up of, or upon the distribution of any of our assets;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the Indenture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is payable;</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dates from which interest, if any, on the debt securities of that series will accrue, and the dates when interest is payable and the maturity;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the extensions;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our other debt;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those debt securities will be issuable, if other than denominations of $1,000 or any integral multiple of that number;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of that series are to be issued in whole or in part in the form of one or more global securities and the depositary for those global securities;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and covenants relating to the debt securities that are in addition to, modify or delete those described in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provisions, if any, including conversion or exchange prices or rates and adjustments thereto;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security for any secured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applicable to any debt securities issued at a discount from their stated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any debt securities.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assets or the incurrence by us of indebtedness. We will describe in the applicable prospectus supplement any material covenants in respect of a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our ability or the ability of any holder to convert or exchange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will be “events of default” under the indenture with respect to any series of debt securities:</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for 30 days after the date payment is due and payable;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sinking fund payments when due and continuance of such default for a period of 30 days;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other covenants for 60 days after notice that performance was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 bankruptcy, insolvency or reorganization relating to us;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applicable officer’s certificate, resolution of our board of directors or the supplemental indenture under which we issue a series of debt securities.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default and continuance of such default;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the affected series have requested that the trustee institute the action;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for the reasonable expenses and liabilities that may be incurred by bringing the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the request and offer of indemnity;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inconsistent direction by the holders of a majority in principal amount of the outstanding debt securities of the affected series.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 discharge or decrease our obligations under the indenture as stated below.</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89" w:lineRule="exact"/>
        <w:rPr>
          <w:sz w:val="20"/>
          <w:szCs w:val="20"/>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and the trustee may enter into supplemental indentures without the consent of the holders of debt securities to, among other things:</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entity of our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for the benefit of the holders of debt securities, or to surrender any rights or power conferred upon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or secure any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forms or terms of debt securities of any series;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or defect in the indenture;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70"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maturity of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premium,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any debt security issued with an original issue discount that is payable upon acceleration;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and any premium or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any debt security when due;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adversely affect the right of a holder to convert or exchange a debt security;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6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premium and any interest on, or principal of, any such debt security held by a nonconsenting holder; or</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respect of a covenant or provision of the indenture that cannot be modified or amended without the consent of the holder of each outstanding debt security of each series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Global Securities and Book Entry System</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registered global security may not be transferred except as a whole:</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for the registered global security to its nominee;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depositary to the depositary or another nominee of the depositary; or</w:t>
      </w:r>
    </w:p>
    <w:p>
      <w:pPr>
        <w:spacing w:after="0" w:line="130" w:lineRule="exact"/>
        <w:rPr>
          <w:rFonts w:ascii="Times New Roman" w:cs="Times New Roman" w:eastAsia="Times New Roman" w:hAnsi="Times New Roman"/>
          <w:sz w:val="18"/>
          <w:szCs w:val="18"/>
          <w:color w:val="auto"/>
        </w:rPr>
      </w:pPr>
    </w:p>
    <w:p>
      <w:pPr>
        <w:ind w:left="5540" w:right="3180" w:hanging="4884"/>
        <w:spacing w:after="0" w:line="454" w:lineRule="auto"/>
        <w:tabs>
          <w:tab w:leader="none" w:pos="10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its nominee to a successor of the depositary or a nominee of the successor. 14</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1" w:lineRule="exact"/>
        <w:rPr>
          <w:sz w:val="20"/>
          <w:szCs w:val="20"/>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registered global security, the depositary for the registered global security will credit, on its book- entry registration and transfer system, the participants’ accounts with the respective principal amounts of the debt securities represented by the registered global security beneficially owned by the participants;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dealers, underwriters, or agents participating in the distribution of the debt securities will designate the accounts to be credited; and</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8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represented by a registered global security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the debt securities in the definitive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securities under the relevant indenture.</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particular issue of warrants will describe the terms of the warrants, including, as applicable, the following:</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terms and number of shares of common stock, preferred stock or debt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offered securities, if any, with which the warrants are issued and the number of the warrants issued with each offered security;</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common stock, preferred stock 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share of common stock, preferred stock or debt securities purchasable upon exercise of the warrants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that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the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11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subscription rights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subscription rights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subscription rights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subscription right to exercise the subscription rights will commence and the date on which the subscription right will expire;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terms, procedures and limitations relating to the distribution, exchange and exercise of the subscription rights.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8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or the selling securityholders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compensation to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 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Fenwick &amp; West LLP, San Francisco, California. Counsel representing any underwriters, dealers or agents will be named in the applicable prospectus supplement.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3"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2019, filed with the SEC on </w:t>
      </w:r>
      <w:hyperlink r:id="rId48">
        <w:r>
          <w:rPr>
            <w:rFonts w:ascii="Times New Roman" w:cs="Times New Roman" w:eastAsia="Times New Roman" w:hAnsi="Times New Roman"/>
            <w:sz w:val="18"/>
            <w:szCs w:val="18"/>
            <w:u w:val="single" w:color="auto"/>
            <w:color w:val="0000EE"/>
          </w:rPr>
          <w:t>February 25, 2020;</w:t>
        </w:r>
      </w:hyperlink>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2019 from our definitive proxy statement on Schedule 14A, which was filed with the SEC on </w:t>
      </w:r>
      <w:hyperlink r:id="rId49">
        <w:r>
          <w:rPr>
            <w:rFonts w:ascii="Times New Roman" w:cs="Times New Roman" w:eastAsia="Times New Roman" w:hAnsi="Times New Roman"/>
            <w:sz w:val="18"/>
            <w:szCs w:val="18"/>
            <w:u w:val="single" w:color="auto"/>
            <w:color w:val="0000EE"/>
          </w:rPr>
          <w:t>April 24, 2020;</w:t>
        </w:r>
      </w:hyperlink>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2020, filed with the SEC on </w:t>
      </w:r>
      <w:hyperlink r:id="rId50">
        <w:r>
          <w:rPr>
            <w:rFonts w:ascii="Times New Roman" w:cs="Times New Roman" w:eastAsia="Times New Roman" w:hAnsi="Times New Roman"/>
            <w:sz w:val="18"/>
            <w:szCs w:val="18"/>
            <w:u w:val="single" w:color="auto"/>
            <w:color w:val="0000EE"/>
          </w:rPr>
          <w:t>May 6, 2020</w:t>
        </w:r>
      </w:hyperlink>
      <w:r>
        <w:rPr>
          <w:rFonts w:ascii="Times New Roman" w:cs="Times New Roman" w:eastAsia="Times New Roman" w:hAnsi="Times New Roman"/>
          <w:sz w:val="18"/>
          <w:szCs w:val="18"/>
          <w:color w:val="auto"/>
        </w:rPr>
        <w:t xml:space="preserve">, the quarter ended June 30, 2020, filed with the SEC on </w:t>
      </w:r>
      <w:hyperlink r:id="rId51">
        <w:r>
          <w:rPr>
            <w:rFonts w:ascii="Times New Roman" w:cs="Times New Roman" w:eastAsia="Times New Roman" w:hAnsi="Times New Roman"/>
            <w:sz w:val="18"/>
            <w:szCs w:val="18"/>
            <w:u w:val="single" w:color="auto"/>
            <w:color w:val="0000EE"/>
          </w:rPr>
          <w:t>July 30,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quarter ended September 30, 2020, filed with the SEC on </w:t>
      </w:r>
      <w:hyperlink r:id="rId52">
        <w:r>
          <w:rPr>
            <w:rFonts w:ascii="Times New Roman" w:cs="Times New Roman" w:eastAsia="Times New Roman" w:hAnsi="Times New Roman"/>
            <w:sz w:val="18"/>
            <w:szCs w:val="18"/>
            <w:u w:val="single" w:color="auto"/>
            <w:color w:val="0000EE"/>
          </w:rPr>
          <w:t>November 2, 2020</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 on Form 8-K/A filed with the SEC on </w:t>
      </w:r>
      <w:hyperlink r:id="rId53">
        <w:r>
          <w:rPr>
            <w:rFonts w:ascii="Times New Roman" w:cs="Times New Roman" w:eastAsia="Times New Roman" w:hAnsi="Times New Roman"/>
            <w:sz w:val="18"/>
            <w:szCs w:val="18"/>
            <w:u w:val="single" w:color="auto"/>
            <w:color w:val="0000EE"/>
          </w:rPr>
          <w:t>February 18, 2020</w:t>
        </w:r>
      </w:hyperlink>
      <w:r>
        <w:rPr>
          <w:rFonts w:ascii="Times New Roman" w:cs="Times New Roman" w:eastAsia="Times New Roman" w:hAnsi="Times New Roman"/>
          <w:sz w:val="18"/>
          <w:szCs w:val="18"/>
          <w:color w:val="auto"/>
        </w:rPr>
        <w:t xml:space="preserve">, and our Current Reports on Form 8-K filed with the SEC on </w:t>
      </w:r>
      <w:hyperlink r:id="rId54">
        <w:r>
          <w:rPr>
            <w:rFonts w:ascii="Times New Roman" w:cs="Times New Roman" w:eastAsia="Times New Roman" w:hAnsi="Times New Roman"/>
            <w:sz w:val="18"/>
            <w:szCs w:val="18"/>
            <w:u w:val="single" w:color="auto"/>
            <w:color w:val="0000EE"/>
          </w:rPr>
          <w:t>February 25,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14,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9,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27,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5,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17,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16,</w:t>
        </w:r>
      </w:hyperlink>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January 25, 2021 </w:t>
        </w:r>
      </w:hyperlink>
      <w:hyperlink r:id="rId5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 xml:space="preserve">February 3, 2021 </w:t>
        </w:r>
      </w:hyperlink>
      <w:hyperlink r:id="rId54">
        <w:r>
          <w:rPr>
            <w:rFonts w:ascii="Times New Roman" w:cs="Times New Roman" w:eastAsia="Times New Roman" w:hAnsi="Times New Roman"/>
            <w:sz w:val="18"/>
            <w:szCs w:val="18"/>
            <w:color w:val="000000"/>
          </w:rPr>
          <w:t>(except that any portions thereof which are furnished and not filed shall not be deemed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and</w:t>
      </w:r>
    </w:p>
    <w:p>
      <w:pPr>
        <w:spacing w:after="0" w:line="85" w:lineRule="exact"/>
        <w:rPr>
          <w:rFonts w:ascii="Times New Roman" w:cs="Times New Roman" w:eastAsia="Times New Roman" w:hAnsi="Times New Roman"/>
          <w:sz w:val="18"/>
          <w:szCs w:val="18"/>
          <w:color w:val="0000EE"/>
        </w:rPr>
      </w:pPr>
    </w:p>
    <w:p>
      <w:pPr>
        <w:ind w:left="1080" w:right="8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October 28, 2013 under Section 12 of the Exchange Act, including any amendment or report filed for the purpose of updating such description, including any amendment or report filed for the purposes of updating such description, including </w:t>
      </w:r>
      <w:hyperlink r:id="rId5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2019, filed with the SEC on February 25, 2020.</w:t>
      </w:r>
    </w:p>
    <w:p>
      <w:pPr>
        <w:spacing w:after="0" w:line="180" w:lineRule="exact"/>
        <w:rPr>
          <w:rFonts w:ascii="Times New Roman" w:cs="Times New Roman" w:eastAsia="Times New Roman" w:hAnsi="Times New Roman"/>
          <w:sz w:val="18"/>
          <w:szCs w:val="18"/>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369570</wp:posOffset>
            </wp:positionV>
            <wp:extent cx="1920240" cy="13887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920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1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SVB Leerink</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William Blair</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BTIG</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Needham &amp; Company</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Lake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611505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671195</wp:posOffset>
            </wp:positionV>
            <wp:extent cx="699516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bullet"/>
      <w:start w:val="1"/>
    </w:lvl>
  </w:abstractNum>
  <w:abstractNum w:abstractNumId="4">
    <w:nsid w:val="79838CB2"/>
    <w:multiLevelType w:val="hybridMultilevel"/>
    <w:lvl w:ilvl="0">
      <w:lvlJc w:val="left"/>
      <w:lvlText w:val="2"/>
      <w:numFmt w:val="bullet"/>
      <w:start w:val="1"/>
    </w:lvl>
  </w:abstractNum>
  <w:abstractNum w:abstractNumId="5">
    <w:nsid w:val="4353D0CD"/>
    <w:multiLevelType w:val="hybridMultilevel"/>
    <w:lvl w:ilvl="0">
      <w:lvlJc w:val="left"/>
      <w:lvlText w:val="3"/>
      <w:numFmt w:val="bullet"/>
      <w:start w:val="1"/>
    </w:lvl>
  </w:abstractNum>
  <w:abstractNum w:abstractNumId="6">
    <w:nsid w:val="B03E0C6"/>
    <w:multiLevelType w:val="hybridMultilevel"/>
    <w:lvl w:ilvl="0">
      <w:lvlJc w:val="left"/>
      <w:lvlText w:val="4"/>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lowerLetter"/>
      <w:start w:val="3"/>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Roman"/>
      <w:start w:val="3"/>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7"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jpe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jpeg"/><Relationship Id="rId92" Type="http://schemas.openxmlformats.org/officeDocument/2006/relationships/image" Target="media/image74.png"/><Relationship Id="rId93" Type="http://schemas.openxmlformats.org/officeDocument/2006/relationships/image" Target="media/image75.png"/><Relationship Id="rId48" Type="http://schemas.openxmlformats.org/officeDocument/2006/relationships/hyperlink" Target="http://www.sec.gov/ix?doc=/Archives/edgar/data/1384101/000138410120000015/vcyt-12312019x10k.htm" TargetMode="External"/><Relationship Id="rId49" Type="http://schemas.openxmlformats.org/officeDocument/2006/relationships/hyperlink" Target="http://www.sec.gov/Archives/edgar/data/1384101/000138410120000052/vcyt-proxy2020xdef14a.htm" TargetMode="External"/><Relationship Id="rId50" Type="http://schemas.openxmlformats.org/officeDocument/2006/relationships/hyperlink" Target="http://www.sec.gov/ix?doc=/Archives/edgar/data/1384101/000138410120000058/vcyt-20200331.htm" TargetMode="External"/><Relationship Id="rId51" Type="http://schemas.openxmlformats.org/officeDocument/2006/relationships/hyperlink" Target="http://www.sec.gov/ix?doc=/Archives/edgar/data/1384101/000143774920016062/vcyt20200630_10q.htm" TargetMode="External"/><Relationship Id="rId52" Type="http://schemas.openxmlformats.org/officeDocument/2006/relationships/hyperlink" Target="http://www.sec.gov/ix?doc=/Archives/edgar/data/1384101/000143774920022261/vcyt20200930_10q.htm" TargetMode="External"/><Relationship Id="rId53" Type="http://schemas.openxmlformats.org/officeDocument/2006/relationships/hyperlink" Target="http://www.sec.gov/Archives/edgar/data/1384101/000138410120000011/vcyt8ka2-18x20.htm" TargetMode="External"/><Relationship Id="rId54" Type="http://schemas.openxmlformats.org/officeDocument/2006/relationships/hyperlink" Target="http://www.sec.gov/ix?doc=/Archives/edgar/data/1384101/000143774920025486/vcyt20201216_8k.htm" TargetMode="External"/><Relationship Id="rId55" Type="http://schemas.openxmlformats.org/officeDocument/2006/relationships/hyperlink" Target="http://www.sec.gov/ix?doc=/Archives/edgar/data/1384101/000143774921001142/vcyt20210124_8k.htm" TargetMode="External"/><Relationship Id="rId56" Type="http://schemas.openxmlformats.org/officeDocument/2006/relationships/hyperlink" Target="http://www.sec.gov/ix?doc=/Archives/edgar/data/1384101/000119312521026509/d110946d8k.htm" TargetMode="External"/><Relationship Id="rId58" Type="http://schemas.openxmlformats.org/officeDocument/2006/relationships/hyperlink" Target="http://www.sec.gov/Archives/edgar/data/1384101/000110465913078343/a13-16266_158a12b.htm" TargetMode="External"/><Relationship Id="rId59" Type="http://schemas.openxmlformats.org/officeDocument/2006/relationships/hyperlink" Target="http://www.sec.gov/Archives/edgar/data/1384101/000138410120000015/vcyt-12312019x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2021-02-03T15:28:00Z</dcterms:created>
  <dcterms:modified xsi:type="dcterms:W3CDTF">2021-02-03T15:28:00Z</dcterms:modified>
</cp:coreProperties>
</file>