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Keith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5"/>
        <w:spacing w:after="0"/>
        <w:rPr>
          <w:sz w:val="20"/>
          <w:szCs w:val="20"/>
          <w:color w:val="auto"/>
        </w:rPr>
      </w:pPr>
      <w:r>
        <w:rPr>
          <w:rFonts w:ascii="Arial" w:cs="Arial" w:eastAsia="Arial" w:hAnsi="Arial"/>
          <w:sz w:val="17"/>
          <w:szCs w:val="17"/>
          <w:color w:val="0000FF"/>
        </w:rPr>
        <w:t>COO / CFO</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11,046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62.3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107,641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11,046 shares of common stock to satisfy the reporting person's tax withholding obligations in connection with the vesting of 25,000 Performance Stock Units vested on February 24, 2021 and does not represent a sale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570 shares of common stock purchased pursuant to the Veracyte, Inc. Employee Stock Purchase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Keith S. Kennedy</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02/26/2021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2021-02-26T16:41:25Z</dcterms:created>
  <dcterms:modified xsi:type="dcterms:W3CDTF">2021-02-26T16:41:25Z</dcterms:modified>
</cp:coreProperties>
</file>