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Kennedy Keith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5"/>
        <w:spacing w:after="0"/>
        <w:rPr>
          <w:sz w:val="20"/>
          <w:szCs w:val="20"/>
          <w:color w:val="auto"/>
        </w:rPr>
      </w:pPr>
      <w:r>
        <w:rPr>
          <w:rFonts w:ascii="Arial" w:cs="Arial" w:eastAsia="Arial" w:hAnsi="Arial"/>
          <w:sz w:val="17"/>
          <w:szCs w:val="17"/>
          <w:color w:val="0000FF"/>
        </w:rPr>
        <w:t>COO / CFO</w:t>
      </w:r>
    </w:p>
    <w:p>
      <w:pPr>
        <w:spacing w:after="0" w:line="321"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10"/>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94080</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03/02/2021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5,783</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62.15</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116,858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-2874010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284, 220, 3,519, 440 and 1,320 shares of common stock to satisfy the reporting person's tax withholding obligations in connection with the vesting of 644, 500, 8,000, 1,000 and 3,000 Restricted Stock Units, respectively, granted on March 2, 2018, February 28, 2019, February 28, 2019, July 1, 2019 and February 28, 2020 respectively, and does not represent a sale by the reporting person.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Keith S. Kennedy</w:t>
            </w: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03/04/2021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3503"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2021-03-04T16:12:00Z</dcterms:created>
  <dcterms:modified xsi:type="dcterms:W3CDTF">2021-03-04T16:12:00Z</dcterms:modified>
</cp:coreProperties>
</file>