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5,370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138,529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1,080, 658, 906, 826 and 1,900 shares of common stock to satisfy the reporting person's tax withholding obligations in connection with the vesting of 2,125, 1,295, 1,784, 1,626 and 3,741 Restricted Stock Units granted on July 19, 2021, March 3, 2022 , August 5, 2022, March 6, 2023 and March 6, 2024, respectively, and does not represent a sale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06/04/2025</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356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2025-06-04T16:09:36Z</dcterms:created>
  <dcterms:modified xsi:type="dcterms:W3CDTF">2025-06-04T16:09:36Z</dcterms:modified>
</cp:coreProperties>
</file>