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13G</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jc w:val="center"/>
        <w:ind w:right="-79"/>
        <w:spacing w:after="0"/>
        <w:rPr>
          <w:sz w:val="20"/>
          <w:szCs w:val="20"/>
          <w:color w:val="auto"/>
        </w:rPr>
      </w:pPr>
      <w:r>
        <w:rPr>
          <w:rFonts w:ascii="Arial" w:cs="Arial" w:eastAsia="Arial" w:hAnsi="Arial"/>
          <w:sz w:val="22"/>
          <w:szCs w:val="22"/>
          <w:b w:val="1"/>
          <w:bCs w:val="1"/>
          <w:color w:val="auto"/>
        </w:rPr>
        <w:t>(Amendment No. n/a )*</w:t>
      </w:r>
    </w:p>
    <w:p>
      <w:pPr>
        <w:spacing w:after="0" w:line="19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45" w:lineRule="exact"/>
        <w:rPr>
          <w:sz w:val="24"/>
          <w:szCs w:val="24"/>
          <w:color w:val="auto"/>
        </w:rPr>
      </w:pPr>
    </w:p>
    <w:p>
      <w:pPr>
        <w:ind w:firstLine="8"/>
        <w:spacing w:after="0"/>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ind w:right="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35"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b w:val="1"/>
                <w:bCs w:val="1"/>
                <w:color w:val="auto"/>
              </w:rPr>
              <w:t>Nikko Asset Management Americas, Inc.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USA</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2,095,684</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b w:val="1"/>
                <w:bCs w:val="1"/>
                <w:color w:val="auto"/>
              </w:rPr>
              <w:t>3,053,251</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3,053,251</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8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6.25%</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IA</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47" w:lineRule="exact"/>
        <w:rPr>
          <w:sz w:val="20"/>
          <w:szCs w:val="20"/>
          <w:color w:val="auto"/>
        </w:rPr>
      </w:pPr>
    </w:p>
    <w:p>
      <w:pPr>
        <w:ind w:left="1500" w:hanging="574"/>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b w:val="1"/>
          <w:bCs w:val="1"/>
          <w:color w:val="auto"/>
        </w:rPr>
        <w:t>Veracyte, Inc.</w:t>
      </w:r>
    </w:p>
    <w:p>
      <w:pPr>
        <w:spacing w:after="0" w:line="229" w:lineRule="exact"/>
        <w:rPr>
          <w:rFonts w:ascii="Arial" w:cs="Arial" w:eastAsia="Arial" w:hAnsi="Arial"/>
          <w:sz w:val="18"/>
          <w:szCs w:val="18"/>
          <w:color w:val="auto"/>
        </w:rPr>
      </w:pPr>
    </w:p>
    <w:p>
      <w:pPr>
        <w:ind w:left="1500" w:hanging="574"/>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b w:val="1"/>
          <w:bCs w:val="1"/>
          <w:color w:val="auto"/>
        </w:rPr>
        <w:t>6000 Shoreline Court, Suite 300, South San Francisco, CA 94080</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46" w:lineRule="exact"/>
        <w:rPr>
          <w:sz w:val="20"/>
          <w:szCs w:val="20"/>
          <w:color w:val="auto"/>
        </w:rPr>
      </w:pPr>
    </w:p>
    <w:p>
      <w:pPr>
        <w:ind w:left="1500" w:hanging="574"/>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b w:val="1"/>
          <w:bCs w:val="1"/>
          <w:color w:val="auto"/>
        </w:rPr>
        <w:t>Nikko Asset Management Americas, Inc.</w:t>
      </w:r>
    </w:p>
    <w:p>
      <w:pPr>
        <w:spacing w:after="0" w:line="229" w:lineRule="exact"/>
        <w:rPr>
          <w:rFonts w:ascii="Arial" w:cs="Arial" w:eastAsia="Arial" w:hAnsi="Arial"/>
          <w:sz w:val="18"/>
          <w:szCs w:val="18"/>
          <w:color w:val="auto"/>
        </w:rPr>
      </w:pPr>
    </w:p>
    <w:p>
      <w:pPr>
        <w:ind w:left="1500" w:hanging="574"/>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1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b w:val="1"/>
          <w:bCs w:val="1"/>
          <w:color w:val="auto"/>
        </w:rPr>
        <w:t>605 Third Avenue, 38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New York, NY 10158</w:t>
      </w:r>
    </w:p>
    <w:p>
      <w:pPr>
        <w:spacing w:after="0" w:line="101" w:lineRule="exact"/>
        <w:rPr>
          <w:rFonts w:ascii="Arial" w:cs="Arial" w:eastAsia="Arial" w:hAnsi="Arial"/>
          <w:sz w:val="18"/>
          <w:szCs w:val="18"/>
          <w:color w:val="auto"/>
        </w:rPr>
      </w:pPr>
    </w:p>
    <w:p>
      <w:pPr>
        <w:ind w:left="1500" w:hanging="574"/>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b w:val="1"/>
          <w:bCs w:val="1"/>
          <w:color w:val="auto"/>
        </w:rPr>
        <w:t>USA</w:t>
      </w:r>
    </w:p>
    <w:p>
      <w:pPr>
        <w:spacing w:after="0" w:line="229" w:lineRule="exact"/>
        <w:rPr>
          <w:rFonts w:ascii="Arial" w:cs="Arial" w:eastAsia="Arial" w:hAnsi="Arial"/>
          <w:sz w:val="18"/>
          <w:szCs w:val="18"/>
          <w:color w:val="auto"/>
        </w:rPr>
      </w:pPr>
    </w:p>
    <w:p>
      <w:pPr>
        <w:ind w:left="1500" w:hanging="574"/>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b w:val="1"/>
          <w:bCs w:val="1"/>
          <w:color w:val="auto"/>
        </w:rPr>
        <w:t>Common stock, par value $0.001 per share</w:t>
      </w:r>
    </w:p>
    <w:p>
      <w:pPr>
        <w:spacing w:after="0" w:line="229" w:lineRule="exact"/>
        <w:rPr>
          <w:rFonts w:ascii="Arial" w:cs="Arial" w:eastAsia="Arial" w:hAnsi="Arial"/>
          <w:sz w:val="18"/>
          <w:szCs w:val="18"/>
          <w:color w:val="auto"/>
        </w:rPr>
      </w:pPr>
    </w:p>
    <w:p>
      <w:pPr>
        <w:ind w:left="1500" w:hanging="574"/>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2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b w:val="1"/>
          <w:bCs w:val="1"/>
          <w:color w:val="auto"/>
        </w:rPr>
        <w:t>92337F107</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4" w:lineRule="exact"/>
        <w:rPr>
          <w:sz w:val="20"/>
          <w:szCs w:val="20"/>
          <w:color w:val="auto"/>
        </w:rPr>
      </w:pPr>
    </w:p>
    <w:p>
      <w:pPr>
        <w:ind w:left="1500" w:hanging="574"/>
        <w:spacing w:after="0" w:line="207" w:lineRule="exact"/>
        <w:tabs>
          <w:tab w:leader="none" w:pos="15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500" w:hanging="574"/>
        <w:spacing w:after="0" w:line="207" w:lineRule="exact"/>
        <w:tabs>
          <w:tab w:leader="none" w:pos="15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500" w:hanging="574"/>
        <w:spacing w:after="0" w:line="207" w:lineRule="exact"/>
        <w:tabs>
          <w:tab w:leader="none" w:pos="15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500" w:hanging="574"/>
        <w:spacing w:after="0" w:line="207" w:lineRule="exact"/>
        <w:tabs>
          <w:tab w:leader="none" w:pos="15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500" w:hanging="574"/>
        <w:spacing w:after="0" w:line="207" w:lineRule="exact"/>
        <w:tabs>
          <w:tab w:leader="none" w:pos="15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500" w:hanging="574"/>
        <w:spacing w:after="0" w:line="207" w:lineRule="exact"/>
        <w:tabs>
          <w:tab w:leader="none" w:pos="15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500" w:hanging="574"/>
        <w:spacing w:after="0" w:line="207" w:lineRule="exact"/>
        <w:tabs>
          <w:tab w:leader="none" w:pos="15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500" w:hanging="574"/>
        <w:spacing w:after="0" w:line="207" w:lineRule="exact"/>
        <w:tabs>
          <w:tab w:leader="none" w:pos="15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2080" w:hanging="1154"/>
        <w:spacing w:after="0" w:line="223" w:lineRule="exact"/>
        <w:tabs>
          <w:tab w:leader="none" w:pos="1513"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03" w:lineRule="exact"/>
        <w:rPr>
          <w:rFonts w:ascii="Arial" w:cs="Arial" w:eastAsia="Arial" w:hAnsi="Arial"/>
          <w:sz w:val="18"/>
          <w:szCs w:val="18"/>
          <w:color w:val="auto"/>
        </w:rPr>
      </w:pPr>
    </w:p>
    <w:p>
      <w:pPr>
        <w:ind w:left="1500" w:hanging="574"/>
        <w:spacing w:after="0" w:line="207" w:lineRule="exact"/>
        <w:tabs>
          <w:tab w:leader="none" w:pos="15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225" w:lineRule="exact"/>
        <w:rPr>
          <w:rFonts w:ascii="Arial" w:cs="Arial" w:eastAsia="Arial" w:hAnsi="Arial"/>
          <w:sz w:val="18"/>
          <w:szCs w:val="18"/>
          <w:color w:val="auto"/>
        </w:rPr>
      </w:pPr>
    </w:p>
    <w:p>
      <w:pPr>
        <w:ind w:left="2080" w:hanging="1154"/>
        <w:spacing w:after="0" w:line="223" w:lineRule="exact"/>
        <w:tabs>
          <w:tab w:leader="none" w:pos="1513"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49" w:lineRule="exact"/>
        <w:rPr>
          <w:sz w:val="20"/>
          <w:szCs w:val="20"/>
          <w:color w:val="auto"/>
        </w:rPr>
      </w:pPr>
    </w:p>
    <w:p>
      <w:pPr>
        <w:ind w:firstLine="810"/>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207" w:lineRule="exact"/>
        <w:rPr>
          <w:sz w:val="20"/>
          <w:szCs w:val="20"/>
          <w:color w:val="auto"/>
        </w:rPr>
      </w:pPr>
    </w:p>
    <w:p>
      <w:pPr>
        <w:ind w:left="1500" w:hanging="574"/>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1"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b w:val="1"/>
          <w:bCs w:val="1"/>
          <w:color w:val="auto"/>
        </w:rPr>
        <w:t>3,053,251</w:t>
      </w:r>
    </w:p>
    <w:p>
      <w:pPr>
        <w:spacing w:after="0" w:line="229" w:lineRule="exact"/>
        <w:rPr>
          <w:rFonts w:ascii="Arial" w:cs="Arial" w:eastAsia="Arial" w:hAnsi="Arial"/>
          <w:sz w:val="18"/>
          <w:szCs w:val="18"/>
          <w:color w:val="auto"/>
        </w:rPr>
      </w:pPr>
    </w:p>
    <w:p>
      <w:pPr>
        <w:ind w:left="1500" w:hanging="574"/>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6.25%</w:t>
      </w:r>
    </w:p>
    <w:p>
      <w:pPr>
        <w:spacing w:after="0" w:line="229" w:lineRule="exact"/>
        <w:rPr>
          <w:sz w:val="20"/>
          <w:szCs w:val="20"/>
          <w:color w:val="auto"/>
        </w:rPr>
      </w:pPr>
    </w:p>
    <w:p>
      <w:pPr>
        <w:ind w:left="1500" w:hanging="574"/>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080" w:hanging="573"/>
        <w:spacing w:after="0"/>
        <w:tabs>
          <w:tab w:leader="none" w:pos="2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1"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9" w:lineRule="exact"/>
        <w:rPr>
          <w:rFonts w:ascii="Arial" w:cs="Arial" w:eastAsia="Arial" w:hAnsi="Arial"/>
          <w:sz w:val="18"/>
          <w:szCs w:val="18"/>
          <w:color w:val="auto"/>
        </w:rPr>
      </w:pPr>
    </w:p>
    <w:p>
      <w:pPr>
        <w:ind w:left="2080" w:hanging="573"/>
        <w:spacing w:after="0"/>
        <w:tabs>
          <w:tab w:leader="none" w:pos="2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1"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b w:val="1"/>
          <w:bCs w:val="1"/>
          <w:color w:val="auto"/>
        </w:rPr>
        <w:t>2,095,684</w:t>
      </w:r>
    </w:p>
    <w:p>
      <w:pPr>
        <w:spacing w:after="0" w:line="229" w:lineRule="exact"/>
        <w:rPr>
          <w:rFonts w:ascii="Arial" w:cs="Arial" w:eastAsia="Arial" w:hAnsi="Arial"/>
          <w:sz w:val="18"/>
          <w:szCs w:val="18"/>
          <w:color w:val="auto"/>
        </w:rPr>
      </w:pPr>
    </w:p>
    <w:p>
      <w:pPr>
        <w:ind w:left="2080" w:hanging="573"/>
        <w:spacing w:after="0"/>
        <w:tabs>
          <w:tab w:leader="none" w:pos="2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1"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9" w:lineRule="exact"/>
        <w:rPr>
          <w:rFonts w:ascii="Arial" w:cs="Arial" w:eastAsia="Arial" w:hAnsi="Arial"/>
          <w:sz w:val="18"/>
          <w:szCs w:val="18"/>
          <w:color w:val="auto"/>
        </w:rPr>
      </w:pPr>
    </w:p>
    <w:p>
      <w:pPr>
        <w:ind w:left="2080" w:hanging="573"/>
        <w:spacing w:after="0"/>
        <w:tabs>
          <w:tab w:leader="none" w:pos="2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1"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b w:val="1"/>
          <w:bCs w:val="1"/>
          <w:color w:val="auto"/>
        </w:rPr>
        <w:t>3,053,251</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right="540" w:firstLine="810"/>
        <w:spacing w:after="0" w:line="278" w:lineRule="exact"/>
        <w:rPr>
          <w:sz w:val="20"/>
          <w:szCs w:val="20"/>
          <w:color w:val="auto"/>
        </w:rPr>
      </w:pPr>
      <w:r>
        <w:rPr>
          <w:rFonts w:ascii="Arial" w:cs="Arial" w:eastAsia="Arial" w:hAnsi="Arial"/>
          <w:sz w:val="22"/>
          <w:szCs w:val="22"/>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2"/>
          <w:szCs w:val="22"/>
          <w:color w:val="auto"/>
        </w:rPr>
        <w:t>☐</w:t>
      </w:r>
      <w:r>
        <w:rPr>
          <w:rFonts w:ascii="Arial" w:cs="Arial" w:eastAsia="Arial" w:hAnsi="Arial"/>
          <w:sz w:val="22"/>
          <w:szCs w:val="22"/>
          <w:color w:val="auto"/>
        </w:rPr>
        <w:t>.</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See Exhibit A.</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4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See Exhibit A.</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3" w:lineRule="exact"/>
        <w:rPr>
          <w:sz w:val="20"/>
          <w:szCs w:val="20"/>
          <w:color w:val="auto"/>
        </w:rPr>
      </w:pPr>
    </w:p>
    <w:p>
      <w:pPr>
        <w:jc w:val="center"/>
        <w:ind w:right="8120"/>
        <w:spacing w:after="0"/>
        <w:rPr>
          <w:sz w:val="20"/>
          <w:szCs w:val="20"/>
          <w:color w:val="auto"/>
        </w:rPr>
      </w:pPr>
      <w:r>
        <w:rPr>
          <w:rFonts w:ascii="Arial" w:cs="Arial" w:eastAsia="Arial" w:hAnsi="Arial"/>
          <w:sz w:val="22"/>
          <w:szCs w:val="22"/>
          <w:b w:val="1"/>
          <w:bCs w:val="1"/>
          <w:color w:val="auto"/>
        </w:rPr>
        <w:t>Not Applicable.</w:t>
      </w:r>
    </w:p>
    <w:p>
      <w:pPr>
        <w:spacing w:after="0" w:line="242" w:lineRule="exact"/>
        <w:rPr>
          <w:sz w:val="20"/>
          <w:szCs w:val="20"/>
          <w:color w:val="auto"/>
        </w:rPr>
      </w:pPr>
    </w:p>
    <w:p>
      <w:pPr>
        <w:jc w:val="center"/>
        <w:ind w:right="8020"/>
        <w:spacing w:after="0"/>
        <w:tabs>
          <w:tab w:leader="none" w:pos="2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121" w:right="479" w:bottom="1440" w:gutter="0" w:footer="0" w:header="0"/>
        </w:sectPr>
      </w:pPr>
    </w:p>
    <w:bookmarkStart w:id="4" w:name="page5"/>
    <w:bookmarkEnd w:id="4"/>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780" w:firstLine="81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Date: February 12, 2020</w:t>
            </w:r>
          </w:p>
        </w:tc>
        <w:tc>
          <w:tcPr>
            <w:tcW w:w="2400" w:type="dxa"/>
            <w:vAlign w:val="bottom"/>
          </w:tcPr>
          <w:p>
            <w:pPr>
              <w:ind w:left="1980"/>
              <w:spacing w:after="0"/>
              <w:rPr>
                <w:sz w:val="20"/>
                <w:szCs w:val="20"/>
                <w:color w:val="auto"/>
              </w:rPr>
            </w:pPr>
            <w:r>
              <w:rPr>
                <w:rFonts w:ascii="Arial" w:cs="Arial" w:eastAsia="Arial" w:hAnsi="Arial"/>
                <w:sz w:val="18"/>
                <w:szCs w:val="18"/>
                <w:color w:val="auto"/>
              </w:rPr>
              <w:t>By:</w:t>
            </w:r>
          </w:p>
        </w:tc>
        <w:tc>
          <w:tcPr>
            <w:tcW w:w="5280" w:type="dxa"/>
            <w:vAlign w:val="bottom"/>
          </w:tcPr>
          <w:p>
            <w:pPr>
              <w:ind w:left="140"/>
              <w:spacing w:after="0"/>
              <w:rPr>
                <w:sz w:val="20"/>
                <w:szCs w:val="20"/>
                <w:color w:val="auto"/>
              </w:rPr>
            </w:pPr>
            <w:r>
              <w:rPr>
                <w:rFonts w:ascii="Arial" w:cs="Arial" w:eastAsia="Arial" w:hAnsi="Arial"/>
                <w:sz w:val="18"/>
                <w:szCs w:val="18"/>
                <w:color w:val="auto"/>
              </w:rPr>
              <w:t>/s/ Gary L. Beckham</w:t>
            </w:r>
          </w:p>
        </w:tc>
      </w:tr>
      <w:tr>
        <w:trPr>
          <w:trHeight w:val="216"/>
        </w:trPr>
        <w:tc>
          <w:tcPr>
            <w:tcW w:w="9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ind w:left="140"/>
              <w:spacing w:after="0"/>
              <w:rPr>
                <w:sz w:val="20"/>
                <w:szCs w:val="20"/>
                <w:color w:val="auto"/>
              </w:rPr>
            </w:pPr>
            <w:r>
              <w:rPr>
                <w:rFonts w:ascii="Arial" w:cs="Arial" w:eastAsia="Arial" w:hAnsi="Arial"/>
                <w:sz w:val="18"/>
                <w:szCs w:val="18"/>
                <w:color w:val="auto"/>
              </w:rPr>
              <w:t>Name: Gary L. Beckham</w:t>
            </w:r>
          </w:p>
        </w:tc>
      </w:tr>
      <w:tr>
        <w:trPr>
          <w:trHeight w:val="230"/>
        </w:trPr>
        <w:tc>
          <w:tcPr>
            <w:tcW w:w="9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ind w:left="140"/>
              <w:spacing w:after="0"/>
              <w:rPr>
                <w:sz w:val="20"/>
                <w:szCs w:val="20"/>
                <w:color w:val="auto"/>
              </w:rPr>
            </w:pPr>
            <w:r>
              <w:rPr>
                <w:rFonts w:ascii="Arial" w:cs="Arial" w:eastAsia="Arial" w:hAnsi="Arial"/>
                <w:sz w:val="18"/>
                <w:szCs w:val="18"/>
                <w:color w:val="auto"/>
              </w:rPr>
              <w:t>Title: Chief Compliance Officer</w:t>
            </w:r>
          </w:p>
        </w:tc>
      </w:tr>
      <w:tr>
        <w:trPr>
          <w:trHeight w:val="459"/>
        </w:trPr>
        <w:tc>
          <w:tcPr>
            <w:tcW w:w="98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10440" w:type="dxa"/>
            <w:vAlign w:val="bottom"/>
            <w:gridSpan w:val="3"/>
          </w:tcPr>
          <w:p>
            <w:pPr>
              <w:ind w:left="160"/>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tc>
      </w:tr>
      <w:tr>
        <w:trPr>
          <w:trHeight w:val="426"/>
        </w:trPr>
        <w:tc>
          <w:tcPr>
            <w:tcW w:w="9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40" w:lineRule="exact"/>
        <w:rPr>
          <w:sz w:val="20"/>
          <w:szCs w:val="20"/>
          <w:color w:val="auto"/>
        </w:rPr>
      </w:pPr>
    </w:p>
    <w:p>
      <w:pPr>
        <w:jc w:val="both"/>
        <w:ind w:firstLine="810"/>
        <w:spacing w:after="0"/>
        <w:rPr>
          <w:sz w:val="20"/>
          <w:szCs w:val="20"/>
          <w:color w:val="auto"/>
        </w:rPr>
      </w:pPr>
      <w:r>
        <w:rPr>
          <w:rFonts w:ascii="Arial" w:cs="Arial" w:eastAsia="Arial" w:hAnsi="Arial"/>
          <w:sz w:val="22"/>
          <w:szCs w:val="22"/>
          <w:color w:val="auto"/>
        </w:rPr>
        <w:t>Pursuant to the instructions in Items 6 and 7 of Schedule 13G, the security being reported on by Nikko Asset Management Americas, Inc., as subsidiary to the parent holding companies listed below, are owned, or may be deemed to be beneficially owned, by its parent holding companies.</w:t>
      </w:r>
    </w:p>
    <w:p>
      <w:pPr>
        <w:spacing w:after="0" w:line="221" w:lineRule="exact"/>
        <w:rPr>
          <w:sz w:val="20"/>
          <w:szCs w:val="20"/>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Sumitomo Mitsui Trust Holdings Inc.</w:t>
      </w:r>
    </w:p>
    <w:p>
      <w:pPr>
        <w:spacing w:after="0" w:line="23" w:lineRule="exact"/>
        <w:rPr>
          <w:sz w:val="20"/>
          <w:szCs w:val="20"/>
          <w:color w:val="auto"/>
        </w:rPr>
      </w:pPr>
    </w:p>
    <w:p>
      <w:pPr>
        <w:ind w:left="1460" w:hanging="318"/>
        <w:spacing w:after="0"/>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parent holding company or control person in accordance with §240.13d-1(b)(1)(ii)(G);</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non-U.S. institution in accordance with §240.13d-1(b)(1)(ii)(J).</w:t>
      </w:r>
    </w:p>
    <w:p>
      <w:pPr>
        <w:spacing w:after="0" w:line="237"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Nikko Asset Management Co., Ltd.</w:t>
      </w:r>
    </w:p>
    <w:p>
      <w:pPr>
        <w:spacing w:after="0" w:line="23" w:lineRule="exact"/>
        <w:rPr>
          <w:rFonts w:ascii="Arial" w:cs="Arial" w:eastAsia="Arial" w:hAnsi="Arial"/>
          <w:sz w:val="18"/>
          <w:szCs w:val="18"/>
          <w:color w:val="auto"/>
        </w:rPr>
      </w:pPr>
    </w:p>
    <w:p>
      <w:pPr>
        <w:ind w:left="1460" w:hanging="318"/>
        <w:spacing w:after="0"/>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 investment adviser in accordance with §240.13d-1(b)(1)(ii)(E);</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non-U.S. institution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lvl w:ilvl="1">
      <w:lvlJc w:val="left"/>
      <w:lvlText w:val="(%2)"/>
      <w:numFmt w:val="lowerRoman"/>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2020-02-12T16:25:50Z</dcterms:created>
  <dcterms:modified xsi:type="dcterms:W3CDTF">2020-02-12T16:25:50Z</dcterms:modified>
</cp:coreProperties>
</file>