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6, 2024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6, 2024, Veracyte, Inc. issued a press release announcing its financial results for the quarter ended September 30, 2024. The full text of the press release is furnished as Exhibit 99.1 to this report.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Veracyte, Inc. dated November 6, 2024.</w:t>
            </w:r>
          </w:p>
        </w:tc>
        <w:tc>
          <w:tcPr>
            <w:tcW w:w="4980" w:type="dxa"/>
            <w:vAlign w:val="bottom"/>
            <w:gridSpan w:val="2"/>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6, 2024</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172085</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Third Quarter 2024 Financial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total revenue to $115.9 million, an increase of 29%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testing revenue to $109.5 million, an increase of 34%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SOUTH SAN FRANCISCO, Calif., November 6, 2024 --- Veracyte, Inc. (Nasdaq: VCYT) today announced financial results for the third quarter ended September 30, 2024.</w:t>
      </w:r>
    </w:p>
    <w:p>
      <w:pPr>
        <w:spacing w:after="0" w:line="15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strong momentum across our testing business continued during the third quarter as we delivered record revenue along with profitability and cash generation,” said Marc Stapley, Veracyte’s chief executive officer. “Looking ahead, we see tremendous opportunities for further market penetration for both Decipher and Afirma, to serve even more patients and their physicians. We also remain excited about our focused portfolio of strategic growth drivers. The Veracyte Diagnostics Platform is generating the data, insights and evidence to drive commercial success and sustained long-term growth.”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Highlights</w:t>
      </w:r>
    </w:p>
    <w:p>
      <w:pPr>
        <w:spacing w:after="0" w:line="104" w:lineRule="exact"/>
        <w:rPr>
          <w:sz w:val="20"/>
          <w:szCs w:val="20"/>
          <w:color w:val="auto"/>
        </w:rPr>
      </w:pPr>
    </w:p>
    <w:p>
      <w:pPr>
        <w:ind w:left="660" w:right="48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third quarter total revenue by 29%, to $115.9 million, and total volume by 20%, to 39,032 tests, compared to the third quarter of 2023.</w:t>
      </w:r>
    </w:p>
    <w:p>
      <w:pPr>
        <w:spacing w:after="0" w:line="45"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testing revenue by 34%, to $109.5 million, and testing volume by 24%, to 36,792 tests, compared to the third quarter of 2023.</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Decipher revenue by 48% and volume by 36%, to approximately 21,250 tests, compared to the third quarter of 2023.</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Afirma revenue by 19% and volume by 12%, to close to 15,100 tests, compared to the third quarter of 2023.</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third quarter net income to $15.2 million and delivered adjusted EBITDA of $27.3 million, or 24% of revenue.</w:t>
      </w:r>
    </w:p>
    <w:p>
      <w:pPr>
        <w:spacing w:after="0" w:line="103" w:lineRule="exact"/>
        <w:rPr>
          <w:rFonts w:ascii="Arial" w:cs="Arial" w:eastAsia="Arial" w:hAnsi="Arial"/>
          <w:sz w:val="18"/>
          <w:szCs w:val="18"/>
          <w:color w:val="auto"/>
        </w:rPr>
      </w:pPr>
    </w:p>
    <w:p>
      <w:pPr>
        <w:ind w:left="660" w:right="46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$30.0 million of cash from operations during the third quarter to end the quarter with $274.1 million of 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104" w:lineRule="exact"/>
        <w:rPr>
          <w:sz w:val="20"/>
          <w:szCs w:val="20"/>
          <w:color w:val="auto"/>
        </w:rPr>
      </w:pPr>
    </w:p>
    <w:p>
      <w:pPr>
        <w:ind w:left="660" w:right="240" w:hanging="328"/>
        <w:spacing w:after="0" w:line="24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clinical evidence for Decipher Prostate with a presentation at the European Society for Medical Oncology (ESMO) 2024 Congress on new data from the STAMPEDE trial, a multi-center, randomized, phase 3 clinical trial showing that the test was prognostic for clinical outcomes and predicted benefit from docetaxel in patients with metastatic prostate cancer.</w:t>
      </w:r>
    </w:p>
    <w:p>
      <w:pPr>
        <w:spacing w:after="0" w:line="68" w:lineRule="exact"/>
        <w:rPr>
          <w:rFonts w:ascii="Arial" w:cs="Arial" w:eastAsia="Arial" w:hAnsi="Arial"/>
          <w:sz w:val="18"/>
          <w:szCs w:val="18"/>
          <w:color w:val="auto"/>
        </w:rPr>
      </w:pPr>
    </w:p>
    <w:p>
      <w:pPr>
        <w:ind w:left="660" w:right="100" w:hanging="328"/>
        <w:spacing w:after="0" w:line="24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Demonstrated Veracyte’s commitment to expanding clinical evidence in populations disproportionately impacted by prostate cancer with data from the VANDAAM study shared at ASTRO 2024, the annual meeting of the American Society for Radiation Oncology, demonstrating that Decipher Prostate accurately predicts aggressive prostate cancer among African-American men with early-stage disease.</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Promoted Keith Gligorich Ph.D. to Senior Vice President of Global Operations and a member of the executive leadership team.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Tom Miller, Ph.D., and Brent Shafer to our Board of Directors.</w:t>
      </w:r>
    </w:p>
    <w:p>
      <w:pPr>
        <w:sectPr>
          <w:pgSz w:w="11900" w:h="16838" w:orient="portrait"/>
          <w:cols w:equalWidth="0" w:num="1">
            <w:col w:w="11240"/>
          </w:cols>
          <w:pgMar w:left="320" w:top="890" w:right="339" w:bottom="1440" w:gutter="0" w:footer="0" w:header="0"/>
        </w:sectPr>
      </w:pPr>
    </w:p>
    <w:bookmarkStart w:id="4" w:name="page5"/>
    <w:bookmarkEnd w:id="4"/>
    <w:p>
      <w:pPr>
        <w:ind w:right="16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2024 Financial Results</w:t>
      </w:r>
    </w:p>
    <w:p>
      <w:pPr>
        <w:spacing w:after="0" w:line="33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Total revenue for the third quarter of 2024 was $115.9 million, an increase of 29% compared to $90.1 million reported in the third quarter of 2023. Testing revenue was $ 109.5 million, an increase of 34% compared to $82.0 million in the third quarter of 2023, driven by the strong performance of our Decipher Prostate and Afirma tests. Product revenue was $3.2 million, a decrease of 21% compared to $4.0 million in the third quarter of 2023. Biopharmaceutical and other revenue was $3.1 million, a decrease of 23% compared to $4.1 million in the third quarter of 2023.</w:t>
      </w:r>
    </w:p>
    <w:p>
      <w:pPr>
        <w:spacing w:after="0" w:line="25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Total gross margin for the third quarter of 2024 was 68%, compared to 64% in the third quarter of 2023. Non-GAAP gross margin was 71%, compared to 70% in the third quarter of 2023.</w:t>
      </w:r>
    </w:p>
    <w:p>
      <w:pPr>
        <w:spacing w:after="0" w:line="23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Operating expenses were $67.0 million for the third quarter of 2024. Non-GAAP operating expenses grew 11% to $57.6 million compared to $51.8 million in the third quarter of 2023.</w:t>
      </w:r>
    </w:p>
    <w:p>
      <w:pPr>
        <w:spacing w:after="0" w:line="22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Net income for the third quarter of 2024 was $15.2 million, an improvement of 151% compared to the third quarter of 2023. Diluted net earnings per common share was $0.19, an improvement of $0.60 compared to the third quarter of 2023. Non-GAAP diluted net earnings per common share was $0.33, an improvement of $0.16 compared to the third quarter of 2023. Net cash provided by operating activities in the first nine months of 2024 was $50.6 million, an improvement of $21.9 million compared to the same period in 2023.</w:t>
      </w:r>
    </w:p>
    <w:p>
      <w:pPr>
        <w:spacing w:after="0" w:line="201"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Adjusted EBITDA for the third quarter of 2024 was $27.3 million, an improvement of 117% compared to the third quarter of 2023, representing 24% of revenue compared to 14% of revenue in the same period of 2023.</w:t>
      </w:r>
    </w:p>
    <w:p>
      <w:pPr>
        <w:spacing w:after="0" w:line="18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Financial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22222"/>
        </w:rPr>
        <w:t>The company is raising full-year 2024 total revenue guidance to $442 million to $445 million, representing year-over-year growth of 22% to</w:t>
      </w:r>
    </w:p>
    <w:p>
      <w:pPr>
        <w:spacing w:after="0" w:line="3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22222"/>
        </w:rPr>
        <w:t>23% and testing revenue growth of approximately 28%. This guidance range represents an increase compared to prior guidance of $432 million to $438 million. In addition, the company now expects cash, cash equivalents and short-term investments at the end of the year to be $280 million to $285 million compared to prior guidance of $260 million to $270 million.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39"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color w:val="0000FF"/>
        </w:rPr>
        <w:t>https://edge.media-server.com/mmc/p/kzh3s376</w:t>
      </w:r>
      <w:r>
        <w:rPr>
          <w:rFonts w:ascii="Arial" w:cs="Arial" w:eastAsia="Arial" w:hAnsi="Arial"/>
          <w:sz w:val="18"/>
          <w:szCs w:val="18"/>
          <w:color w:val="000000"/>
        </w:rPr>
        <w:t>. The webcast should be accessed 10 minutes prior to the conference call start time. A</w:t>
      </w:r>
      <w:r>
        <w:rPr>
          <w:rFonts w:ascii="Arial" w:cs="Arial" w:eastAsia="Arial" w:hAnsi="Arial"/>
          <w:sz w:val="18"/>
          <w:szCs w:val="18"/>
          <w:color w:val="0000FF"/>
        </w:rPr>
        <w:t xml:space="preserve"> </w:t>
      </w:r>
      <w:r>
        <w:rPr>
          <w:rFonts w:ascii="Arial" w:cs="Arial" w:eastAsia="Arial" w:hAnsi="Arial"/>
          <w:sz w:val="18"/>
          <w:szCs w:val="18"/>
          <w:color w:val="000000"/>
        </w:rPr>
        <w:t>replay of the webcast will be available for one year following the conclusion of the live broadcast and will be accessible on the company’s website at https://investor.veracyte.com/events-presentations.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dial-in can be accessed by registering at the following link</w:t>
      </w:r>
      <w:r>
        <w:rPr>
          <w:rFonts w:ascii="Arial" w:cs="Arial" w:eastAsia="Arial" w:hAnsi="Arial"/>
          <w:sz w:val="18"/>
          <w:szCs w:val="18"/>
          <w:color w:val="0000FF"/>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000FF"/>
        </w:rPr>
        <w:t>https://register.vevent.com/register/BI945e651d9e5f40acbfaec616e1b85b4e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3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222222"/>
        </w:rPr>
        <w:t>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w:t>
      </w:r>
    </w:p>
    <w:p>
      <w:pPr>
        <w:sectPr>
          <w:pgSz w:w="11900" w:h="16838" w:orient="portrait"/>
          <w:cols w:equalWidth="0" w:num="1">
            <w:col w:w="11220"/>
          </w:cols>
          <w:pgMar w:left="320" w:top="985" w:right="359" w:bottom="1440" w:gutter="0" w:footer="0" w:header="0"/>
        </w:sectPr>
      </w:pPr>
    </w:p>
    <w:bookmarkStart w:id="5" w:name="page6"/>
    <w:bookmarkEnd w:id="5"/>
    <w:p>
      <w:pPr>
        <w:ind w:right="300"/>
        <w:spacing w:after="0" w:line="241" w:lineRule="auto"/>
        <w:rPr>
          <w:sz w:val="20"/>
          <w:szCs w:val="20"/>
          <w:color w:val="auto"/>
        </w:rPr>
      </w:pPr>
      <w:r>
        <w:rPr>
          <w:rFonts w:ascii="Arial" w:cs="Arial" w:eastAsia="Arial" w:hAnsi="Arial"/>
          <w:sz w:val="18"/>
          <w:szCs w:val="18"/>
          <w:color w:val="222222"/>
        </w:rPr>
        <w:t xml:space="preserve">powerful evidence-generation engine, which ultimately drives durable reimbursement and guideline inclusion for our tests, along with new insights to support continued innovation and pipeline development. </w:t>
      </w:r>
      <w:r>
        <w:rPr>
          <w:rFonts w:ascii="Arial" w:cs="Arial" w:eastAsia="Arial" w:hAnsi="Arial"/>
          <w:sz w:val="18"/>
          <w:szCs w:val="18"/>
          <w:color w:val="000000"/>
        </w:rPr>
        <w:t>For more information, please visit</w:t>
      </w:r>
      <w:r>
        <w:rPr>
          <w:rFonts w:ascii="Arial" w:cs="Arial" w:eastAsia="Arial" w:hAnsi="Arial"/>
          <w:sz w:val="18"/>
          <w:szCs w:val="18"/>
          <w:color w:val="222222"/>
        </w:rPr>
        <w:t xml:space="preserve"> </w:t>
      </w:r>
      <w:r>
        <w:rPr>
          <w:rFonts w:ascii="Arial" w:cs="Arial" w:eastAsia="Arial" w:hAnsi="Arial"/>
          <w:sz w:val="18"/>
          <w:szCs w:val="18"/>
          <w:color w:val="0563C1"/>
        </w:rPr>
        <w:t>www.veracyte.com</w:t>
      </w:r>
      <w:r>
        <w:rPr>
          <w:rFonts w:ascii="Arial" w:cs="Arial" w:eastAsia="Arial" w:hAnsi="Arial"/>
          <w:sz w:val="18"/>
          <w:szCs w:val="18"/>
          <w:color w:val="222222"/>
        </w:rPr>
        <w:t xml:space="preserve"> </w:t>
      </w:r>
      <w:r>
        <w:rPr>
          <w:rFonts w:ascii="Arial" w:cs="Arial" w:eastAsia="Arial" w:hAnsi="Arial"/>
          <w:sz w:val="18"/>
          <w:szCs w:val="18"/>
          <w:color w:val="000000"/>
        </w:rPr>
        <w:t>or follow us on</w:t>
      </w:r>
      <w:r>
        <w:rPr>
          <w:rFonts w:ascii="Arial" w:cs="Arial" w:eastAsia="Arial" w:hAnsi="Arial"/>
          <w:sz w:val="18"/>
          <w:szCs w:val="18"/>
          <w:color w:val="222222"/>
        </w:rPr>
        <w:t xml:space="preserve"> </w:t>
      </w:r>
      <w:r>
        <w:rPr>
          <w:rFonts w:ascii="Arial" w:cs="Arial" w:eastAsia="Arial" w:hAnsi="Arial"/>
          <w:sz w:val="18"/>
          <w:szCs w:val="18"/>
          <w:color w:val="0563C1"/>
        </w:rPr>
        <w:t xml:space="preserve">LinkedIn </w:t>
      </w:r>
      <w:r>
        <w:rPr>
          <w:rFonts w:ascii="Arial" w:cs="Arial" w:eastAsia="Arial" w:hAnsi="Arial"/>
          <w:sz w:val="18"/>
          <w:szCs w:val="18"/>
          <w:color w:val="000000"/>
        </w:rPr>
        <w:t>or</w:t>
      </w:r>
      <w:r>
        <w:rPr>
          <w:rFonts w:ascii="Arial" w:cs="Arial" w:eastAsia="Arial" w:hAnsi="Arial"/>
          <w:sz w:val="18"/>
          <w:szCs w:val="18"/>
          <w:color w:val="0563C1"/>
        </w:rPr>
        <w:t xml:space="preserve"> X (Twitter).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plans, objectives, and expectations (financial and otherwise), including with respect to 2024 financial and operating results; and our intentions with respect to our</w:t>
      </w:r>
    </w:p>
    <w:p>
      <w:pPr>
        <w:ind w:right="100"/>
        <w:spacing w:after="0"/>
        <w:rPr>
          <w:sz w:val="20"/>
          <w:szCs w:val="20"/>
          <w:color w:val="auto"/>
        </w:rPr>
      </w:pPr>
      <w:r>
        <w:rPr>
          <w:rFonts w:ascii="Arial" w:cs="Arial" w:eastAsia="Arial" w:hAnsi="Arial"/>
          <w:sz w:val="17"/>
          <w:szCs w:val="17"/>
          <w:color w:val="auto"/>
        </w:rPr>
        <w:t>tests and products, for use in diagnosing and treating diseases, in and outside of the United States. Forward-looking statements can be identified by words such as: “appears,” “anticipate,” “intend,” “plan,” “expect,” “believe,” “should,” “may,” “will,” “enable,” “positioned,” “offers,”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and our facilities in France; the impact of foreign currency fluctuations, increasing interest rates, inflation, the U.S. election and turmoil in the global banking and finance system; the ongoing conflict in the Middle East and the performance and utility of our tests in the clinical environment. Additional factors that may impact these forward-looking statements can be found under the caption “Risk Factors” in our Annual Report on Form 10-K filed on February 29, 2024, and our Quarterly Report on Form 10-Q filed for the three months ended September 30, 2024, to be filed on November 7, 2024, as well as in</w:t>
      </w:r>
    </w:p>
    <w:p>
      <w:pPr>
        <w:spacing w:after="0" w:line="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other documents that we may file from time to time with the Securities and Exchange Commission. Copies of these documents, when available, may be found in the Investors section of our website at investor.veracyte.com. These forward-looking statements speak only as of</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date hereof and, except as required by law, we specifically disclaim any obligation to update these forward-looking statements or reasons why actual results might differ, whether as a result of new information, future events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Veracyte, the Veracyte logo, Decipher, C2i Genomics, and Afirma are registered trademarks of Veracyte, Inc., and its subsidiaries in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selected countries.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5" w:lineRule="exact"/>
        <w:rPr>
          <w:sz w:val="20"/>
          <w:szCs w:val="20"/>
          <w:color w:val="auto"/>
        </w:rPr>
      </w:pPr>
    </w:p>
    <w:p>
      <w:pPr>
        <w:ind w:right="20"/>
        <w:spacing w:after="0" w:line="210"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adjusted EBITDA and non-GAAP earnings per share (EPS).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0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exclude amortization of acquired intangible assets, acquisition-related expenses relating to our acquisitions of Decipher Biosciences,</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HalioDx and C2i Genomics, impairment charges associated with the nCounter license and other biopharmaceutical services related to HalioDx intangible assets, all stock-based compensation and certain costs related to restructuring from our non-GAAP financial measures.</w:t>
      </w:r>
    </w:p>
    <w:p>
      <w:pPr>
        <w:spacing w:after="0" w:line="1" w:lineRule="exact"/>
        <w:rPr>
          <w:sz w:val="20"/>
          <w:szCs w:val="20"/>
          <w:color w:val="auto"/>
        </w:rPr>
      </w:pPr>
    </w:p>
    <w:p>
      <w:pPr>
        <w:ind w:right="60"/>
        <w:spacing w:after="0" w:line="210" w:lineRule="exact"/>
        <w:rPr>
          <w:sz w:val="20"/>
          <w:szCs w:val="20"/>
          <w:color w:val="auto"/>
        </w:rPr>
      </w:pPr>
      <w:r>
        <w:rPr>
          <w:rFonts w:ascii="Arial" w:cs="Arial" w:eastAsia="Arial" w:hAnsi="Arial"/>
          <w:sz w:val="17"/>
          <w:szCs w:val="17"/>
          <w:color w:val="auto"/>
        </w:rPr>
        <w:t>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w:t>
      </w:r>
      <w:r>
        <w:rPr>
          <w:rFonts w:ascii="MS PGothic" w:cs="MS PGothic" w:eastAsia="MS PGothic" w:hAnsi="MS PGothic"/>
          <w:sz w:val="17"/>
          <w:szCs w:val="17"/>
          <w:color w:val="auto"/>
        </w:rPr>
        <w:t>‐</w:t>
      </w:r>
      <w:r>
        <w:rPr>
          <w:rFonts w:ascii="Arial" w:cs="Arial" w:eastAsia="Arial" w:hAnsi="Arial"/>
          <w:sz w:val="17"/>
          <w:szCs w:val="17"/>
          <w:color w:val="auto"/>
        </w:rPr>
        <w:t>GAAP information and the reconciliation between these presentations, to more fully understand its business.</w:t>
      </w:r>
    </w:p>
    <w:p>
      <w:pPr>
        <w:sectPr>
          <w:pgSz w:w="11900" w:h="16838" w:orient="portrait"/>
          <w:cols w:equalWidth="0" w:num="1">
            <w:col w:w="11220"/>
          </w:cols>
          <w:pgMar w:left="320" w:top="877" w:right="359" w:bottom="1440" w:gutter="0" w:footer="0" w:header="0"/>
        </w:sectPr>
      </w:pPr>
    </w:p>
    <w:bookmarkStart w:id="6" w:name="page7"/>
    <w:bookmarkEnd w:id="6"/>
    <w:p>
      <w:pPr>
        <w:jc w:val="center"/>
        <w:ind w:right="-171"/>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192"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880" w:type="dxa"/>
            <w:vAlign w:val="bottom"/>
            <w:gridSpan w:val="7"/>
          </w:tcPr>
          <w:p>
            <w:pPr>
              <w:ind w:left="80"/>
              <w:spacing w:after="0"/>
              <w:rPr>
                <w:sz w:val="20"/>
                <w:szCs w:val="20"/>
                <w:color w:val="auto"/>
              </w:rPr>
            </w:pPr>
            <w:r>
              <w:rPr>
                <w:rFonts w:ascii="Arial" w:cs="Arial" w:eastAsia="Arial" w:hAnsi="Arial"/>
                <w:sz w:val="18"/>
                <w:szCs w:val="18"/>
                <w:color w:val="auto"/>
              </w:rPr>
              <w:t>Three Months Ended September</w:t>
            </w:r>
          </w:p>
        </w:tc>
        <w:tc>
          <w:tcPr>
            <w:tcW w:w="140" w:type="dxa"/>
            <w:vAlign w:val="bottom"/>
          </w:tcPr>
          <w:p>
            <w:pPr>
              <w:spacing w:after="0"/>
              <w:rPr>
                <w:sz w:val="17"/>
                <w:szCs w:val="17"/>
                <w:color w:val="auto"/>
              </w:rPr>
            </w:pPr>
          </w:p>
        </w:tc>
        <w:tc>
          <w:tcPr>
            <w:tcW w:w="2640" w:type="dxa"/>
            <w:vAlign w:val="bottom"/>
            <w:gridSpan w:val="5"/>
          </w:tcPr>
          <w:p>
            <w:pPr>
              <w:jc w:val="right"/>
              <w:ind w:right="50"/>
              <w:spacing w:after="0"/>
              <w:rPr>
                <w:sz w:val="20"/>
                <w:szCs w:val="20"/>
                <w:color w:val="auto"/>
              </w:rPr>
            </w:pPr>
            <w:r>
              <w:rPr>
                <w:rFonts w:ascii="Arial" w:cs="Arial" w:eastAsia="Arial" w:hAnsi="Arial"/>
                <w:sz w:val="18"/>
                <w:szCs w:val="18"/>
                <w:color w:val="auto"/>
                <w:w w:val="98"/>
              </w:rPr>
              <w:t>Nine Months Ended September</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5"/>
              </w:rPr>
              <w:t>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5"/>
              </w:rPr>
              <w:t>30,</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109,536</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82,012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306,809</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236,157</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327,132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262,852</w:t>
            </w:r>
          </w:p>
        </w:tc>
        <w:tc>
          <w:tcPr>
            <w:tcW w:w="0" w:type="dxa"/>
            <w:vAlign w:val="bottom"/>
          </w:tcPr>
          <w:p>
            <w:pPr>
              <w:spacing w:after="0"/>
              <w:rPr>
                <w:sz w:val="1"/>
                <w:szCs w:val="1"/>
                <w:color w:val="auto"/>
              </w:rPr>
            </w:pPr>
          </w:p>
        </w:tc>
      </w:tr>
      <w:tr>
        <w:trPr>
          <w:trHeight w:val="461"/>
        </w:trPr>
        <w:tc>
          <w:tcPr>
            <w:tcW w:w="5200" w:type="dxa"/>
            <w:vAlign w:val="bottom"/>
          </w:tcPr>
          <w:p>
            <w:pPr>
              <w:spacing w:after="0"/>
              <w:rPr>
                <w:sz w:val="20"/>
                <w:szCs w:val="20"/>
                <w:color w:val="auto"/>
              </w:rPr>
            </w:pPr>
            <w:r>
              <w:rPr>
                <w:rFonts w:ascii="Arial" w:cs="Arial" w:eastAsia="Arial" w:hAnsi="Arial"/>
                <w:sz w:val="18"/>
                <w:szCs w:val="18"/>
                <w:color w:val="auto"/>
              </w:rPr>
              <w:t>Cost of revenue: (1)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82,928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64,808</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 - cost of revenue</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107,741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97,956</w:t>
            </w:r>
          </w:p>
        </w:tc>
        <w:tc>
          <w:tcPr>
            <w:tcW w:w="0" w:type="dxa"/>
            <w:vAlign w:val="bottom"/>
          </w:tcPr>
          <w:p>
            <w:pPr>
              <w:spacing w:after="0"/>
              <w:rPr>
                <w:sz w:val="1"/>
                <w:szCs w:val="1"/>
                <w:color w:val="auto"/>
              </w:rPr>
            </w:pPr>
          </w:p>
        </w:tc>
      </w:tr>
      <w:tr>
        <w:trPr>
          <w:trHeight w:val="223"/>
        </w:trPr>
        <w:tc>
          <w:tcPr>
            <w:tcW w:w="520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79,010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219,391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164,896</w:t>
            </w:r>
          </w:p>
        </w:tc>
        <w:tc>
          <w:tcPr>
            <w:tcW w:w="0" w:type="dxa"/>
            <w:vAlign w:val="bottom"/>
          </w:tcPr>
          <w:p>
            <w:pPr>
              <w:spacing w:after="0"/>
              <w:rPr>
                <w:sz w:val="1"/>
                <w:szCs w:val="1"/>
                <w:color w:val="auto"/>
              </w:rPr>
            </w:pPr>
          </w:p>
        </w:tc>
      </w:tr>
      <w:tr>
        <w:trPr>
          <w:trHeight w:val="204"/>
        </w:trPr>
        <w:tc>
          <w:tcPr>
            <w:tcW w:w="5200" w:type="dxa"/>
            <w:vAlign w:val="bottom"/>
          </w:tcPr>
          <w:p>
            <w:pPr>
              <w:spacing w:after="0" w:line="204" w:lineRule="exact"/>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38,632</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76,230</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83,697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62,434</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36,310</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 - operating expenses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207,424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215,184</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(50,288)</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10,334</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(46,111)</w:t>
            </w:r>
          </w:p>
        </w:tc>
        <w:tc>
          <w:tcPr>
            <w:tcW w:w="0" w:type="dxa"/>
            <w:vAlign w:val="bottom"/>
          </w:tcPr>
          <w:p>
            <w:pPr>
              <w:spacing w:after="0"/>
              <w:rPr>
                <w:sz w:val="1"/>
                <w:szCs w:val="1"/>
                <w:color w:val="auto"/>
              </w:rPr>
            </w:pPr>
          </w:p>
        </w:tc>
      </w:tr>
      <w:tr>
        <w:trPr>
          <w:trHeight w:val="34"/>
        </w:trPr>
        <w:tc>
          <w:tcPr>
            <w:tcW w:w="520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used to compute earnings (loss) per common share: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77,013,831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72,804,770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76,107,302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72,488,601</w:t>
            </w:r>
          </w:p>
        </w:tc>
        <w:tc>
          <w:tcPr>
            <w:tcW w:w="0" w:type="dxa"/>
            <w:vAlign w:val="bottom"/>
          </w:tcPr>
          <w:p>
            <w:pPr>
              <w:spacing w:after="0"/>
              <w:rPr>
                <w:sz w:val="1"/>
                <w:szCs w:val="1"/>
                <w:color w:val="auto"/>
              </w:rPr>
            </w:pPr>
          </w:p>
        </w:tc>
      </w:tr>
      <w:tr>
        <w:trPr>
          <w:trHeight w:val="239"/>
        </w:trPr>
        <w:tc>
          <w:tcPr>
            <w:tcW w:w="5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78,464,654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72,804,770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77,339,897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72,488,601</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8" w:right="100" w:firstLine="8"/>
        <w:spacing w:after="0" w:line="287" w:lineRule="auto"/>
        <w:tabs>
          <w:tab w:leader="none" w:pos="19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ectPr>
          <w:pgSz w:w="11900" w:h="16838" w:orient="portrait"/>
          <w:cols w:equalWidth="0" w:num="1">
            <w:col w:w="11052"/>
          </w:cols>
          <w:pgMar w:left="328" w:top="1268" w:right="5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860" w:type="dxa"/>
            <w:vAlign w:val="bottom"/>
            <w:gridSpan w:val="7"/>
          </w:tcPr>
          <w:p>
            <w:pPr>
              <w:ind w:left="80"/>
              <w:spacing w:after="0"/>
              <w:rPr>
                <w:sz w:val="20"/>
                <w:szCs w:val="20"/>
                <w:color w:val="auto"/>
              </w:rPr>
            </w:pPr>
            <w:r>
              <w:rPr>
                <w:rFonts w:ascii="Arial" w:cs="Arial" w:eastAsia="Arial" w:hAnsi="Arial"/>
                <w:sz w:val="18"/>
                <w:szCs w:val="18"/>
                <w:color w:val="auto"/>
              </w:rPr>
              <w:t>Three Months Ended September</w:t>
            </w:r>
          </w:p>
        </w:tc>
        <w:tc>
          <w:tcPr>
            <w:tcW w:w="120" w:type="dxa"/>
            <w:vAlign w:val="bottom"/>
          </w:tcPr>
          <w:p>
            <w:pPr>
              <w:spacing w:after="0"/>
              <w:rPr>
                <w:sz w:val="17"/>
                <w:szCs w:val="17"/>
                <w:color w:val="auto"/>
              </w:rPr>
            </w:pPr>
          </w:p>
        </w:tc>
        <w:tc>
          <w:tcPr>
            <w:tcW w:w="2640" w:type="dxa"/>
            <w:vAlign w:val="bottom"/>
            <w:gridSpan w:val="5"/>
          </w:tcPr>
          <w:p>
            <w:pPr>
              <w:jc w:val="right"/>
              <w:ind w:right="30"/>
              <w:spacing w:after="0"/>
              <w:rPr>
                <w:sz w:val="20"/>
                <w:szCs w:val="20"/>
                <w:color w:val="auto"/>
              </w:rPr>
            </w:pPr>
            <w:r>
              <w:rPr>
                <w:rFonts w:ascii="Arial" w:cs="Arial" w:eastAsia="Arial" w:hAnsi="Arial"/>
                <w:sz w:val="18"/>
                <w:szCs w:val="18"/>
                <w:color w:val="auto"/>
                <w:w w:val="99"/>
              </w:rPr>
              <w:t>Nine Months Ended September</w:t>
            </w:r>
          </w:p>
        </w:tc>
      </w:tr>
      <w:tr>
        <w:trPr>
          <w:trHeight w:val="250"/>
        </w:trPr>
        <w:tc>
          <w:tcPr>
            <w:tcW w:w="5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87"/>
              </w:rPr>
              <w:t>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87"/>
              </w:rPr>
              <w:t>30,</w:t>
            </w:r>
          </w:p>
        </w:tc>
        <w:tc>
          <w:tcPr>
            <w:tcW w:w="1040" w:type="dxa"/>
            <w:vAlign w:val="bottom"/>
            <w:tcBorders>
              <w:bottom w:val="single" w:sz="8" w:color="auto"/>
            </w:tcBorders>
          </w:tcPr>
          <w:p>
            <w:pPr>
              <w:spacing w:after="0"/>
              <w:rPr>
                <w:sz w:val="21"/>
                <w:szCs w:val="21"/>
                <w:color w:val="auto"/>
              </w:rPr>
            </w:pPr>
          </w:p>
        </w:tc>
      </w:tr>
      <w:tr>
        <w:trPr>
          <w:trHeight w:val="237"/>
        </w:trPr>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3,831</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7,126</w:t>
            </w: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r>
      <w:tr>
        <w:trPr>
          <w:trHeight w:val="223"/>
        </w:trPr>
        <w:tc>
          <w:tcPr>
            <w:tcW w:w="52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w:t>
            </w:r>
          </w:p>
        </w:tc>
      </w:tr>
      <w:tr>
        <w:trPr>
          <w:trHeight w:val="20"/>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60"/>
          </w:cols>
          <w:pgMar w:left="580" w:top="905"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INCOME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6"/>
          </w:tcPr>
          <w:p>
            <w:pPr>
              <w:spacing w:after="0"/>
              <w:rPr>
                <w:sz w:val="20"/>
                <w:szCs w:val="20"/>
                <w:color w:val="auto"/>
              </w:rPr>
            </w:pPr>
            <w:r>
              <w:rPr>
                <w:rFonts w:ascii="Arial" w:cs="Arial" w:eastAsia="Arial" w:hAnsi="Arial"/>
                <w:sz w:val="18"/>
                <w:szCs w:val="18"/>
                <w:color w:val="auto"/>
              </w:rPr>
              <w:t>Three Months Ended September</w:t>
            </w:r>
          </w:p>
        </w:tc>
        <w:tc>
          <w:tcPr>
            <w:tcW w:w="2900" w:type="dxa"/>
            <w:vAlign w:val="bottom"/>
            <w:gridSpan w:val="5"/>
            <w:vMerge w:val="restart"/>
          </w:tcPr>
          <w:p>
            <w:pPr>
              <w:jc w:val="right"/>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5"/>
              </w:rPr>
              <w:t>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8"/>
        </w:trPr>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(29,618)</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19,025</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(46,111)</w:t>
            </w:r>
          </w:p>
        </w:tc>
        <w:tc>
          <w:tcPr>
            <w:tcW w:w="0" w:type="dxa"/>
            <w:vAlign w:val="bottom"/>
          </w:tcPr>
          <w:p>
            <w:pPr>
              <w:spacing w:after="0"/>
              <w:rPr>
                <w:sz w:val="1"/>
                <w:szCs w:val="1"/>
                <w:color w:val="auto"/>
              </w:rPr>
            </w:pPr>
          </w:p>
        </w:tc>
      </w:tr>
      <w:tr>
        <w:trPr>
          <w:trHeight w:val="229"/>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53"/>
        </w:trPr>
        <w:tc>
          <w:tcPr>
            <w:tcW w:w="5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gridSpan w:val="3"/>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24,483</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(48,962)</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31"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September 30,</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274,079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216,454</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40,378</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16,128</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356,854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285,621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10,277</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88,593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762,117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702,984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1,114,906</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43,872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38,427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70,313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61,241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98,979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70,804</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1,176,042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1,044,102</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1,114,906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1"/>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2023 has been derived from the audited financial statements at that date included in the Company's Form 10-K filed with the Securities and Exchange Commission dated February 29, 2024.</w:t>
      </w:r>
    </w:p>
    <w:p>
      <w:pPr>
        <w:sectPr>
          <w:pgSz w:w="11900" w:h="16838" w:orient="portrait"/>
          <w:cols w:equalWidth="0" w:num="1">
            <w:col w:w="10940"/>
          </w:cols>
          <w:pgMar w:left="480" w:top="1025" w:right="4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19,025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(46,111)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20,852</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25,629</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36,310</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28,670</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Acquisition of C2i, net of cash acquired</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39,773</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48,471</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48,337</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203,333</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r>
      <w:tr>
        <w:trPr>
          <w:trHeight w:val="224"/>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274,079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216,454</w:t>
            </w:r>
          </w:p>
        </w:tc>
      </w:tr>
      <w:tr>
        <w:trPr>
          <w:trHeight w:val="235"/>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r>
      <w:tr>
        <w:trPr>
          <w:trHeight w:val="21"/>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0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color w:val="auto"/>
              </w:rPr>
              <w:t>Three Months Ended September</w:t>
            </w:r>
          </w:p>
        </w:tc>
        <w:tc>
          <w:tcPr>
            <w:tcW w:w="2980" w:type="dxa"/>
            <w:vAlign w:val="bottom"/>
            <w:gridSpan w:val="5"/>
            <w:vMerge w:val="restart"/>
          </w:tcPr>
          <w:p>
            <w:pPr>
              <w:jc w:val="right"/>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b w:val="1"/>
                <w:bCs w:val="1"/>
                <w:color w:val="auto"/>
              </w:rPr>
              <w:t>Reconciliation of Non-GAAP Cost of Revenue: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testing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29,029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21,827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82,928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64,808</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1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testing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28,505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21,445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81,451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63,686</w:t>
            </w:r>
          </w:p>
        </w:tc>
        <w:tc>
          <w:tcPr>
            <w:tcW w:w="0" w:type="dxa"/>
            <w:vAlign w:val="bottom"/>
          </w:tcPr>
          <w:p>
            <w:pPr>
              <w:spacing w:after="0"/>
              <w:rPr>
                <w:sz w:val="1"/>
                <w:szCs w:val="1"/>
                <w:color w:val="auto"/>
              </w:rPr>
            </w:pPr>
          </w:p>
        </w:tc>
      </w:tr>
      <w:tr>
        <w:trPr>
          <w:trHeight w:val="461"/>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product revenue</w:t>
            </w:r>
          </w:p>
        </w:tc>
        <w:tc>
          <w:tcPr>
            <w:tcW w:w="14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1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product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461"/>
        </w:trPr>
        <w:tc>
          <w:tcPr>
            <w:tcW w:w="4840" w:type="dxa"/>
            <w:vAlign w:val="bottom"/>
          </w:tcPr>
          <w:p>
            <w:pPr>
              <w:ind w:left="120"/>
              <w:spacing w:after="0"/>
              <w:rPr>
                <w:sz w:val="20"/>
                <w:szCs w:val="20"/>
                <w:color w:val="auto"/>
              </w:rPr>
            </w:pPr>
            <w:r>
              <w:rPr>
                <w:rFonts w:ascii="Arial" w:cs="Arial" w:eastAsia="Arial" w:hAnsi="Arial"/>
                <w:sz w:val="18"/>
                <w:szCs w:val="18"/>
                <w:color w:val="auto"/>
              </w:rPr>
              <w:t>GAAP cost of biopharmaceutical and other revenue</w:t>
            </w:r>
          </w:p>
        </w:tc>
        <w:tc>
          <w:tcPr>
            <w:tcW w:w="14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1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Non-GAAP cost of biopharmaceutical and other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11,469</w:t>
            </w:r>
          </w:p>
        </w:tc>
        <w:tc>
          <w:tcPr>
            <w:tcW w:w="0" w:type="dxa"/>
            <w:vAlign w:val="bottom"/>
          </w:tcPr>
          <w:p>
            <w:pPr>
              <w:spacing w:after="0"/>
              <w:rPr>
                <w:sz w:val="1"/>
                <w:szCs w:val="1"/>
                <w:color w:val="auto"/>
              </w:rPr>
            </w:pPr>
          </w:p>
        </w:tc>
      </w:tr>
      <w:tr>
        <w:trPr>
          <w:trHeight w:val="461"/>
        </w:trPr>
        <w:tc>
          <w:tcPr>
            <w:tcW w:w="4840" w:type="dxa"/>
            <w:vAlign w:val="bottom"/>
          </w:tcPr>
          <w:p>
            <w:pPr>
              <w:spacing w:after="0"/>
              <w:rPr>
                <w:sz w:val="20"/>
                <w:szCs w:val="20"/>
                <w:color w:val="auto"/>
              </w:rPr>
            </w:pPr>
            <w:r>
              <w:rPr>
                <w:rFonts w:ascii="Arial" w:cs="Arial" w:eastAsia="Arial" w:hAnsi="Arial"/>
                <w:sz w:val="18"/>
                <w:szCs w:val="18"/>
                <w:b w:val="1"/>
                <w:bCs w:val="1"/>
                <w:color w:val="auto"/>
              </w:rPr>
              <w:t>Reconciliation of Non-GAAP Gross Margin:</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GAAP 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79,010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57,687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219,391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164,896</w:t>
            </w: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GAAP Gross Margin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1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840" w:type="dxa"/>
            <w:vAlign w:val="bottom"/>
          </w:tcPr>
          <w:p>
            <w:pPr>
              <w:ind w:left="120"/>
              <w:spacing w:after="0"/>
              <w:rPr>
                <w:sz w:val="20"/>
                <w:szCs w:val="20"/>
                <w:color w:val="auto"/>
              </w:rPr>
            </w:pPr>
            <w:r>
              <w:rPr>
                <w:rFonts w:ascii="Arial" w:cs="Arial" w:eastAsia="Arial" w:hAnsi="Arial"/>
                <w:sz w:val="18"/>
                <w:szCs w:val="18"/>
                <w:color w:val="auto"/>
              </w:rPr>
              <w:t>Non-GAAP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82,514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63,000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229,876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180,784</w:t>
            </w:r>
          </w:p>
        </w:tc>
        <w:tc>
          <w:tcPr>
            <w:tcW w:w="0" w:type="dxa"/>
            <w:vAlign w:val="bottom"/>
          </w:tcPr>
          <w:p>
            <w:pPr>
              <w:spacing w:after="0"/>
              <w:rPr>
                <w:sz w:val="1"/>
                <w:szCs w:val="1"/>
                <w:color w:val="auto"/>
              </w:rPr>
            </w:pPr>
          </w:p>
        </w:tc>
      </w:tr>
      <w:tr>
        <w:trPr>
          <w:trHeight w:val="232"/>
        </w:trPr>
        <w:tc>
          <w:tcPr>
            <w:tcW w:w="4840" w:type="dxa"/>
            <w:vAlign w:val="bottom"/>
          </w:tcPr>
          <w:p>
            <w:pPr>
              <w:ind w:left="120"/>
              <w:spacing w:after="0"/>
              <w:rPr>
                <w:sz w:val="20"/>
                <w:szCs w:val="20"/>
                <w:color w:val="auto"/>
              </w:rPr>
            </w:pPr>
            <w:r>
              <w:rPr>
                <w:rFonts w:ascii="Arial" w:cs="Arial" w:eastAsia="Arial" w:hAnsi="Arial"/>
                <w:sz w:val="18"/>
                <w:szCs w:val="18"/>
                <w:color w:val="auto"/>
              </w:rPr>
              <w:t>Non-GAAP Gross Margin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60" w:right="120" w:hanging="161"/>
        <w:spacing w:after="0" w:line="228" w:lineRule="auto"/>
        <w:rPr>
          <w:sz w:val="20"/>
          <w:szCs w:val="20"/>
          <w:color w:val="auto"/>
        </w:rPr>
      </w:pPr>
      <w:r>
        <w:rPr>
          <w:rFonts w:ascii="Arial" w:cs="Arial" w:eastAsia="Arial" w:hAnsi="Arial"/>
          <w:sz w:val="17"/>
          <w:szCs w:val="17"/>
          <w:color w:val="auto"/>
        </w:rPr>
        <w:t>1.Includes transaction-related expenses as well as post-combination compensation expenses. For the nine months ended September 30, 2024, adjustments consist primarily of transaction related expenses associated with the acquisition of C2i Genomics. For the nine months ended September 30, 2023, adjustments consist primarily of post-combination compensation expenses associated with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acquisition of HalioDx.</w:t>
      </w:r>
    </w:p>
    <w:p>
      <w:pPr>
        <w:spacing w:after="0" w:line="14" w:lineRule="exact"/>
        <w:rPr>
          <w:sz w:val="20"/>
          <w:szCs w:val="20"/>
          <w:color w:val="auto"/>
        </w:rPr>
      </w:pPr>
    </w:p>
    <w:p>
      <w:pPr>
        <w:ind w:left="160" w:right="160" w:hanging="161"/>
        <w:spacing w:after="0" w:line="234" w:lineRule="auto"/>
        <w:rPr>
          <w:sz w:val="20"/>
          <w:szCs w:val="20"/>
          <w:color w:val="auto"/>
        </w:rPr>
      </w:pPr>
      <w:r>
        <w:rPr>
          <w:rFonts w:ascii="Arial" w:cs="Arial" w:eastAsia="Arial" w:hAnsi="Arial"/>
          <w:sz w:val="18"/>
          <w:szCs w:val="18"/>
          <w:color w:val="auto"/>
        </w:rPr>
        <w:t>2.For the nine months ended September 30, 2024, adjustments include expense related to restructuring costs associated with portfolio prioritization.</w:t>
      </w:r>
    </w:p>
    <w:p>
      <w:pPr>
        <w:sectPr>
          <w:pgSz w:w="11900" w:h="16838" w:orient="portrait"/>
          <w:cols w:equalWidth="0" w:num="1">
            <w:col w:w="10860"/>
          </w:cols>
          <w:pgMar w:left="340" w:top="1025" w:right="6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860" w:type="dxa"/>
            <w:vAlign w:val="bottom"/>
            <w:gridSpan w:val="6"/>
          </w:tcPr>
          <w:p>
            <w:pPr>
              <w:ind w:left="60"/>
              <w:spacing w:after="0"/>
              <w:rPr>
                <w:sz w:val="20"/>
                <w:szCs w:val="20"/>
                <w:color w:val="auto"/>
              </w:rPr>
            </w:pPr>
            <w:r>
              <w:rPr>
                <w:rFonts w:ascii="Arial" w:cs="Arial" w:eastAsia="Arial" w:hAnsi="Arial"/>
                <w:sz w:val="18"/>
                <w:szCs w:val="18"/>
                <w:color w:val="auto"/>
              </w:rPr>
              <w:t>Three Months Ended September</w:t>
            </w:r>
          </w:p>
        </w:tc>
        <w:tc>
          <w:tcPr>
            <w:tcW w:w="120" w:type="dxa"/>
            <w:vAlign w:val="bottom"/>
          </w:tcPr>
          <w:p>
            <w:pPr>
              <w:spacing w:after="0"/>
              <w:rPr>
                <w:sz w:val="17"/>
                <w:szCs w:val="17"/>
                <w:color w:val="auto"/>
              </w:rPr>
            </w:pPr>
          </w:p>
        </w:tc>
        <w:tc>
          <w:tcPr>
            <w:tcW w:w="2620" w:type="dxa"/>
            <w:vAlign w:val="bottom"/>
            <w:gridSpan w:val="4"/>
          </w:tcPr>
          <w:p>
            <w:pPr>
              <w:jc w:val="right"/>
              <w:ind w:right="30"/>
              <w:spacing w:after="0"/>
              <w:rPr>
                <w:sz w:val="20"/>
                <w:szCs w:val="20"/>
                <w:color w:val="auto"/>
              </w:rPr>
            </w:pPr>
            <w:r>
              <w:rPr>
                <w:rFonts w:ascii="Arial" w:cs="Arial" w:eastAsia="Arial" w:hAnsi="Arial"/>
                <w:sz w:val="18"/>
                <w:szCs w:val="18"/>
                <w:color w:val="auto"/>
                <w:w w:val="98"/>
              </w:rPr>
              <w:t>Nine Months Ended September</w:t>
            </w:r>
          </w:p>
        </w:tc>
      </w:tr>
      <w:tr>
        <w:trPr>
          <w:trHeight w:val="250"/>
        </w:trPr>
        <w:tc>
          <w:tcPr>
            <w:tcW w:w="5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auto"/>
            </w:tcBorders>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r>
      <w:tr>
        <w:trPr>
          <w:trHeight w:val="211"/>
        </w:trPr>
        <w:tc>
          <w:tcPr>
            <w:tcW w:w="5260" w:type="dxa"/>
            <w:vAlign w:val="bottom"/>
          </w:tcPr>
          <w:p>
            <w:pPr>
              <w:spacing w:after="0"/>
              <w:rPr>
                <w:sz w:val="20"/>
                <w:szCs w:val="20"/>
                <w:color w:val="auto"/>
              </w:rPr>
            </w:pPr>
            <w:r>
              <w:rPr>
                <w:rFonts w:ascii="Arial" w:cs="Arial" w:eastAsia="Arial" w:hAnsi="Arial"/>
                <w:sz w:val="18"/>
                <w:szCs w:val="18"/>
                <w:b w:val="1"/>
                <w:bCs w:val="1"/>
                <w:color w:val="auto"/>
              </w:rPr>
              <w:t>Reconciliation of Non-GAAP 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260" w:type="dxa"/>
            <w:vAlign w:val="bottom"/>
          </w:tcPr>
          <w:p>
            <w:pPr>
              <w:ind w:left="120"/>
              <w:spacing w:after="0"/>
              <w:rPr>
                <w:sz w:val="20"/>
                <w:szCs w:val="20"/>
                <w:color w:val="auto"/>
              </w:rPr>
            </w:pPr>
            <w:r>
              <w:rPr>
                <w:rFonts w:ascii="Arial" w:cs="Arial" w:eastAsia="Arial" w:hAnsi="Arial"/>
                <w:sz w:val="18"/>
                <w:szCs w:val="18"/>
                <w:color w:val="auto"/>
              </w:rPr>
              <w:t>GAAP 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38,632</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(3,831)</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research and development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34,801</w:t>
            </w:r>
          </w:p>
        </w:tc>
      </w:tr>
      <w:tr>
        <w:trPr>
          <w:trHeight w:val="461"/>
        </w:trPr>
        <w:tc>
          <w:tcPr>
            <w:tcW w:w="5260" w:type="dxa"/>
            <w:vAlign w:val="bottom"/>
          </w:tcPr>
          <w:p>
            <w:pPr>
              <w:ind w:left="120"/>
              <w:spacing w:after="0"/>
              <w:rPr>
                <w:sz w:val="20"/>
                <w:szCs w:val="20"/>
                <w:color w:val="auto"/>
              </w:rPr>
            </w:pPr>
            <w:r>
              <w:rPr>
                <w:rFonts w:ascii="Arial" w:cs="Arial" w:eastAsia="Arial" w:hAnsi="Arial"/>
                <w:sz w:val="18"/>
                <w:szCs w:val="18"/>
                <w:color w:val="auto"/>
              </w:rPr>
              <w:t>GAAP sales and marketing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22,612</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24,344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70,610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76,230</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(7,126)</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sales and marketing</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67,738</w:t>
            </w:r>
          </w:p>
        </w:tc>
      </w:tr>
      <w:tr>
        <w:trPr>
          <w:trHeight w:val="461"/>
        </w:trPr>
        <w:tc>
          <w:tcPr>
            <w:tcW w:w="5260" w:type="dxa"/>
            <w:vAlign w:val="bottom"/>
          </w:tcPr>
          <w:p>
            <w:pPr>
              <w:ind w:left="120"/>
              <w:spacing w:after="0"/>
              <w:rPr>
                <w:sz w:val="20"/>
                <w:szCs w:val="20"/>
                <w:color w:val="auto"/>
              </w:rPr>
            </w:pPr>
            <w:r>
              <w:rPr>
                <w:rFonts w:ascii="Arial" w:cs="Arial" w:eastAsia="Arial" w:hAnsi="Arial"/>
                <w:sz w:val="18"/>
                <w:szCs w:val="18"/>
                <w:color w:val="auto"/>
              </w:rPr>
              <w:t>GAAP 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25,742</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16,334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83,697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62,434</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(13,539)</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3,165</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general and administrative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52,126</w:t>
            </w:r>
          </w:p>
        </w:tc>
      </w:tr>
      <w:tr>
        <w:trPr>
          <w:trHeight w:val="461"/>
        </w:trPr>
        <w:tc>
          <w:tcPr>
            <w:tcW w:w="5260" w:type="dxa"/>
            <w:vAlign w:val="bottom"/>
          </w:tcPr>
          <w:p>
            <w:pPr>
              <w:ind w:left="120"/>
              <w:spacing w:after="0"/>
              <w:rPr>
                <w:sz w:val="20"/>
                <w:szCs w:val="20"/>
                <w:color w:val="auto"/>
              </w:rPr>
            </w:pPr>
            <w:r>
              <w:rPr>
                <w:rFonts w:ascii="Arial" w:cs="Arial" w:eastAsia="Arial" w:hAnsi="Arial"/>
                <w:sz w:val="18"/>
                <w:szCs w:val="18"/>
                <w:color w:val="auto"/>
              </w:rPr>
              <w:t>GAAP total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66,993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89,426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207,424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215,184</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(24,496)</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1,799</w:t>
            </w:r>
          </w:p>
        </w:tc>
      </w:tr>
      <w:tr>
        <w:trPr>
          <w:trHeight w:val="235"/>
        </w:trPr>
        <w:tc>
          <w:tcPr>
            <w:tcW w:w="52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(36,244)</w:t>
            </w: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Non-GAAP total operating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154,665</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1.Includes transaction-related expenses as well as post-combination compensation expenses. For the three months ended September</w:t>
      </w:r>
    </w:p>
    <w:p>
      <w:pPr>
        <w:ind w:left="160"/>
        <w:spacing w:after="0" w:line="219" w:lineRule="auto"/>
        <w:rPr>
          <w:sz w:val="20"/>
          <w:szCs w:val="20"/>
          <w:color w:val="auto"/>
        </w:rPr>
      </w:pPr>
      <w:r>
        <w:rPr>
          <w:rFonts w:ascii="Arial" w:cs="Arial" w:eastAsia="Arial" w:hAnsi="Arial"/>
          <w:sz w:val="18"/>
          <w:szCs w:val="18"/>
          <w:color w:val="auto"/>
        </w:rPr>
        <w:t>30, 2024, adjustments consist primarily of transaction related expenses associated with the acquisition of C2i Genomics ($0.1 million).</w:t>
      </w:r>
    </w:p>
    <w:p>
      <w:pPr>
        <w:ind w:left="160" w:right="80"/>
        <w:spacing w:after="0" w:line="208" w:lineRule="auto"/>
        <w:rPr>
          <w:sz w:val="20"/>
          <w:szCs w:val="20"/>
          <w:color w:val="auto"/>
        </w:rPr>
      </w:pPr>
      <w:r>
        <w:rPr>
          <w:rFonts w:ascii="Arial" w:cs="Arial" w:eastAsia="Arial" w:hAnsi="Arial"/>
          <w:sz w:val="18"/>
          <w:szCs w:val="18"/>
          <w:color w:val="auto"/>
        </w:rPr>
        <w:t>For the three months ended September 30, 2023, adjustments consist primarily of remeasurement of contingent consideration related to our adoption of a multi-platform IVD strategy and post-combination compensation expenses associated with the acquisition of HalioDx. For the nine months ended September 30, 2024, adjustments consist of transaction related expenses associated with the</w:t>
      </w:r>
    </w:p>
    <w:p>
      <w:pPr>
        <w:spacing w:after="0" w:line="2" w:lineRule="exact"/>
        <w:rPr>
          <w:sz w:val="20"/>
          <w:szCs w:val="20"/>
          <w:color w:val="auto"/>
        </w:rPr>
      </w:pPr>
    </w:p>
    <w:p>
      <w:pPr>
        <w:ind w:left="160" w:right="420"/>
        <w:spacing w:after="0" w:line="221" w:lineRule="auto"/>
        <w:rPr>
          <w:sz w:val="20"/>
          <w:szCs w:val="20"/>
          <w:color w:val="auto"/>
        </w:rPr>
      </w:pPr>
      <w:r>
        <w:rPr>
          <w:rFonts w:ascii="Arial" w:cs="Arial" w:eastAsia="Arial" w:hAnsi="Arial"/>
          <w:sz w:val="18"/>
          <w:szCs w:val="18"/>
          <w:color w:val="auto"/>
        </w:rPr>
        <w:t>acquisition of C2i Genomics. For the nine months ended September 30, 2023, adjustments consist primarily of remeasurement of contingent consideration related to our adoption of a multi-platform IVD strategy and post-combination compensation expenses associated with the acquisition of HalioDx.</w:t>
      </w:r>
    </w:p>
    <w:p>
      <w:pPr>
        <w:spacing w:after="0" w:line="4" w:lineRule="exact"/>
        <w:rPr>
          <w:sz w:val="20"/>
          <w:szCs w:val="20"/>
          <w:color w:val="auto"/>
        </w:rPr>
      </w:pPr>
    </w:p>
    <w:p>
      <w:pPr>
        <w:jc w:val="right"/>
        <w:ind w:right="160"/>
        <w:spacing w:after="0" w:line="221" w:lineRule="auto"/>
        <w:rPr>
          <w:sz w:val="20"/>
          <w:szCs w:val="20"/>
          <w:color w:val="auto"/>
        </w:rPr>
      </w:pPr>
      <w:r>
        <w:rPr>
          <w:rFonts w:ascii="Arial" w:cs="Arial" w:eastAsia="Arial" w:hAnsi="Arial"/>
          <w:sz w:val="18"/>
          <w:szCs w:val="18"/>
          <w:color w:val="auto"/>
        </w:rPr>
        <w:t>2.For the three months ended September 30, 2024, adjustments primarily include expense related to restructuring costs ($0.2 million). For the three months ended September 30, 2023, adjustments include $34.9 million expense related to nCounter license impairment</w:t>
      </w:r>
    </w:p>
    <w:p>
      <w:pPr>
        <w:spacing w:after="0" w:line="1" w:lineRule="exact"/>
        <w:rPr>
          <w:sz w:val="20"/>
          <w:szCs w:val="20"/>
          <w:color w:val="auto"/>
        </w:rPr>
      </w:pPr>
    </w:p>
    <w:p>
      <w:pPr>
        <w:ind w:left="160" w:right="20"/>
        <w:spacing w:after="0" w:line="208" w:lineRule="auto"/>
        <w:rPr>
          <w:sz w:val="20"/>
          <w:szCs w:val="20"/>
          <w:color w:val="auto"/>
        </w:rPr>
      </w:pPr>
      <w:r>
        <w:rPr>
          <w:rFonts w:ascii="Arial" w:cs="Arial" w:eastAsia="Arial" w:hAnsi="Arial"/>
          <w:sz w:val="18"/>
          <w:szCs w:val="18"/>
          <w:color w:val="auto"/>
        </w:rPr>
        <w:t>related to our adoption of a multi-platform IVD strategy. For the nine months ended September 30, 2024, adjustments primarily include expense related to restructuring costs associated with a reduction in our Biopharmaceutical and Other segment ($3.1 million) and expense related to restructuring costs associated with portfolio prioritization including the reduction in Envisia commercial support</w:t>
      </w:r>
    </w:p>
    <w:p>
      <w:pPr>
        <w:spacing w:after="0" w:line="2" w:lineRule="exact"/>
        <w:rPr>
          <w:sz w:val="20"/>
          <w:szCs w:val="20"/>
          <w:color w:val="auto"/>
        </w:rPr>
      </w:pPr>
    </w:p>
    <w:p>
      <w:pPr>
        <w:ind w:left="160" w:right="420"/>
        <w:spacing w:after="0" w:line="229" w:lineRule="auto"/>
        <w:rPr>
          <w:sz w:val="20"/>
          <w:szCs w:val="20"/>
          <w:color w:val="auto"/>
        </w:rPr>
      </w:pPr>
      <w:r>
        <w:rPr>
          <w:rFonts w:ascii="Arial" w:cs="Arial" w:eastAsia="Arial" w:hAnsi="Arial"/>
          <w:sz w:val="18"/>
          <w:szCs w:val="18"/>
          <w:color w:val="auto"/>
        </w:rPr>
        <w:t>($1.6 million). For the nine months ended September 30, 2023, adjustments primarily include $34.9 million expense related to the impairment charge associated with the nCounter license intangible assets and $1.3 million related to other impairment charges.</w:t>
      </w:r>
    </w:p>
    <w:p>
      <w:pPr>
        <w:sectPr>
          <w:pgSz w:w="11900" w:h="16838" w:orient="portrait"/>
          <w:cols w:equalWidth="0" w:num="1">
            <w:col w:w="10860"/>
          </w:cols>
          <w:pgMar w:left="340" w:top="931" w:right="6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880" w:type="dxa"/>
            <w:vAlign w:val="bottom"/>
            <w:gridSpan w:val="6"/>
          </w:tcPr>
          <w:p>
            <w:pPr>
              <w:ind w:left="80"/>
              <w:spacing w:after="0"/>
              <w:rPr>
                <w:sz w:val="20"/>
                <w:szCs w:val="20"/>
                <w:color w:val="auto"/>
              </w:rPr>
            </w:pPr>
            <w:r>
              <w:rPr>
                <w:rFonts w:ascii="Arial" w:cs="Arial" w:eastAsia="Arial" w:hAnsi="Arial"/>
                <w:sz w:val="18"/>
                <w:szCs w:val="18"/>
                <w:color w:val="auto"/>
              </w:rPr>
              <w:t>Three Months Ended September</w:t>
            </w:r>
          </w:p>
        </w:tc>
        <w:tc>
          <w:tcPr>
            <w:tcW w:w="140" w:type="dxa"/>
            <w:vAlign w:val="bottom"/>
          </w:tcPr>
          <w:p>
            <w:pPr>
              <w:spacing w:after="0"/>
              <w:rPr>
                <w:sz w:val="17"/>
                <w:szCs w:val="17"/>
                <w:color w:val="auto"/>
              </w:rPr>
            </w:pPr>
          </w:p>
        </w:tc>
        <w:tc>
          <w:tcPr>
            <w:tcW w:w="2640" w:type="dxa"/>
            <w:vAlign w:val="bottom"/>
            <w:gridSpan w:val="4"/>
          </w:tcPr>
          <w:p>
            <w:pPr>
              <w:jc w:val="right"/>
              <w:ind w:right="30"/>
              <w:spacing w:after="0"/>
              <w:rPr>
                <w:sz w:val="20"/>
                <w:szCs w:val="20"/>
                <w:color w:val="auto"/>
              </w:rPr>
            </w:pPr>
            <w:r>
              <w:rPr>
                <w:rFonts w:ascii="Arial" w:cs="Arial" w:eastAsia="Arial" w:hAnsi="Arial"/>
                <w:sz w:val="18"/>
                <w:szCs w:val="18"/>
                <w:color w:val="auto"/>
                <w:w w:val="99"/>
              </w:rPr>
              <w:t>Nine Months Ended September</w:t>
            </w:r>
          </w:p>
        </w:tc>
      </w:tr>
      <w:tr>
        <w:trPr>
          <w:trHeight w:val="250"/>
        </w:trPr>
        <w:tc>
          <w:tcPr>
            <w:tcW w:w="5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spacing w:after="0"/>
              <w:rPr>
                <w:sz w:val="21"/>
                <w:szCs w:val="21"/>
                <w:color w:val="auto"/>
              </w:rPr>
            </w:pPr>
          </w:p>
        </w:tc>
      </w:tr>
      <w:tr>
        <w:trPr>
          <w:trHeight w:val="237"/>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20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(46,111)</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16,007</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4,845</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25,882</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Other expense (income), net (2)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(4,523)</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36,244</w:t>
            </w:r>
          </w:p>
        </w:tc>
      </w:tr>
      <w:tr>
        <w:trPr>
          <w:trHeight w:val="235"/>
        </w:trPr>
        <w:tc>
          <w:tcPr>
            <w:tcW w:w="520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200" w:type="dxa"/>
            <w:vAlign w:val="bottom"/>
          </w:tcPr>
          <w:p>
            <w:pPr>
              <w:ind w:left="1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30,590</w:t>
            </w:r>
          </w:p>
        </w:tc>
      </w:tr>
      <w:tr>
        <w:trPr>
          <w:trHeight w:val="461"/>
        </w:trPr>
        <w:tc>
          <w:tcPr>
            <w:tcW w:w="5200" w:type="dxa"/>
            <w:vAlign w:val="bottom"/>
          </w:tcPr>
          <w:p>
            <w:pPr>
              <w:spacing w:after="0"/>
              <w:rPr>
                <w:sz w:val="20"/>
                <w:szCs w:val="20"/>
                <w:color w:val="auto"/>
              </w:rPr>
            </w:pPr>
            <w:r>
              <w:rPr>
                <w:rFonts w:ascii="Arial" w:cs="Arial" w:eastAsia="Arial" w:hAnsi="Arial"/>
                <w:sz w:val="18"/>
                <w:szCs w:val="18"/>
                <w:b w:val="1"/>
                <w:bCs w:val="1"/>
                <w:color w:val="auto"/>
              </w:rPr>
              <w:t>Reconciliation of Non-GAAP Net Income (Loss)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520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(46,111)</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16,007</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25,882</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36,244</w:t>
            </w:r>
          </w:p>
        </w:tc>
      </w:tr>
      <w:tr>
        <w:trPr>
          <w:trHeight w:val="235"/>
        </w:trPr>
        <w:tc>
          <w:tcPr>
            <w:tcW w:w="520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r>
      <w:tr>
        <w:trPr>
          <w:trHeight w:val="223"/>
        </w:trPr>
        <w:tc>
          <w:tcPr>
            <w:tcW w:w="5200" w:type="dxa"/>
            <w:vAlign w:val="bottom"/>
          </w:tcPr>
          <w:p>
            <w:pPr>
              <w:ind w:left="120"/>
              <w:spacing w:after="0"/>
              <w:rPr>
                <w:sz w:val="20"/>
                <w:szCs w:val="20"/>
                <w:color w:val="auto"/>
              </w:rPr>
            </w:pPr>
            <w:r>
              <w:rPr>
                <w:rFonts w:ascii="Arial" w:cs="Arial" w:eastAsia="Arial" w:hAnsi="Arial"/>
                <w:sz w:val="18"/>
                <w:szCs w:val="18"/>
                <w:color w:val="auto"/>
              </w:rPr>
              <w:t>Non-GAAP 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28,046</w:t>
            </w:r>
          </w:p>
        </w:tc>
      </w:tr>
      <w:tr>
        <w:trPr>
          <w:trHeight w:val="461"/>
        </w:trPr>
        <w:tc>
          <w:tcPr>
            <w:tcW w:w="5200" w:type="dxa"/>
            <w:vAlign w:val="bottom"/>
          </w:tcPr>
          <w:p>
            <w:pPr>
              <w:spacing w:after="0"/>
              <w:rPr>
                <w:sz w:val="20"/>
                <w:szCs w:val="20"/>
                <w:color w:val="auto"/>
              </w:rPr>
            </w:pPr>
            <w:r>
              <w:rPr>
                <w:rFonts w:ascii="Arial" w:cs="Arial" w:eastAsia="Arial" w:hAnsi="Arial"/>
                <w:sz w:val="18"/>
                <w:szCs w:val="18"/>
                <w:b w:val="1"/>
                <w:bCs w:val="1"/>
                <w:color w:val="auto"/>
              </w:rPr>
              <w:t>Reconciliation of Non-GAAP Earnings per Share</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5200" w:type="dxa"/>
            <w:vAlign w:val="bottom"/>
          </w:tcPr>
          <w:p>
            <w:pPr>
              <w:ind w:left="120"/>
              <w:spacing w:after="0"/>
              <w:rPr>
                <w:sz w:val="20"/>
                <w:szCs w:val="20"/>
                <w:color w:val="auto"/>
              </w:rPr>
            </w:pPr>
            <w:r>
              <w:rPr>
                <w:rFonts w:ascii="Arial" w:cs="Arial" w:eastAsia="Arial" w:hAnsi="Arial"/>
                <w:sz w:val="18"/>
                <w:szCs w:val="18"/>
                <w:color w:val="auto"/>
              </w:rPr>
              <w:t>Diluted earnings per share, GAAP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5"/>
        </w:trPr>
        <w:tc>
          <w:tcPr>
            <w:tcW w:w="5200" w:type="dxa"/>
            <w:vAlign w:val="bottom"/>
          </w:tcPr>
          <w:p>
            <w:pPr>
              <w:ind w:left="220"/>
              <w:spacing w:after="0"/>
              <w:rPr>
                <w:sz w:val="20"/>
                <w:szCs w:val="20"/>
                <w:color w:val="auto"/>
              </w:rPr>
            </w:pPr>
            <w:r>
              <w:rPr>
                <w:rFonts w:ascii="Arial" w:cs="Arial" w:eastAsia="Arial" w:hAnsi="Arial"/>
                <w:sz w:val="18"/>
                <w:szCs w:val="18"/>
                <w:color w:val="auto"/>
              </w:rPr>
              <w:t>Rounding and impact of dilutive shares</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5200" w:type="dxa"/>
            <w:vAlign w:val="bottom"/>
          </w:tcPr>
          <w:p>
            <w:pPr>
              <w:ind w:left="120"/>
              <w:spacing w:after="0"/>
              <w:rPr>
                <w:sz w:val="20"/>
                <w:szCs w:val="20"/>
                <w:color w:val="auto"/>
              </w:rPr>
            </w:pPr>
            <w:r>
              <w:rPr>
                <w:rFonts w:ascii="Arial" w:cs="Arial" w:eastAsia="Arial" w:hAnsi="Arial"/>
                <w:sz w:val="18"/>
                <w:szCs w:val="18"/>
                <w:color w:val="auto"/>
              </w:rPr>
              <w:t>Diluted earnings per share, non-GAAP</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412"/>
        </w:trPr>
        <w:tc>
          <w:tcPr>
            <w:tcW w:w="5200" w:type="dxa"/>
            <w:vAlign w:val="bottom"/>
          </w:tcPr>
          <w:p>
            <w:pPr>
              <w:ind w:left="120"/>
              <w:spacing w:after="0"/>
              <w:rPr>
                <w:sz w:val="20"/>
                <w:szCs w:val="20"/>
                <w:color w:val="auto"/>
              </w:rPr>
            </w:pPr>
            <w:r>
              <w:rPr>
                <w:rFonts w:ascii="Arial" w:cs="Arial" w:eastAsia="Arial" w:hAnsi="Arial"/>
                <w:sz w:val="18"/>
                <w:szCs w:val="18"/>
                <w:color w:val="auto"/>
              </w:rPr>
              <w:t>Weighted average shares outstanding used in computing</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5200" w:type="dxa"/>
            <w:vAlign w:val="bottom"/>
          </w:tcPr>
          <w:p>
            <w:pPr>
              <w:ind w:left="12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Diluted, GAAP</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78,464,654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72,804,770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77,339,897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72,488,601</w:t>
            </w:r>
          </w:p>
        </w:tc>
      </w:tr>
      <w:tr>
        <w:trPr>
          <w:trHeight w:val="235"/>
        </w:trPr>
        <w:tc>
          <w:tcPr>
            <w:tcW w:w="5200" w:type="dxa"/>
            <w:vAlign w:val="bottom"/>
          </w:tcPr>
          <w:p>
            <w:pPr>
              <w:ind w:left="220"/>
              <w:spacing w:after="0"/>
              <w:rPr>
                <w:sz w:val="20"/>
                <w:szCs w:val="20"/>
                <w:color w:val="auto"/>
              </w:rPr>
            </w:pPr>
            <w:r>
              <w:rPr>
                <w:rFonts w:ascii="Arial" w:cs="Arial" w:eastAsia="Arial" w:hAnsi="Arial"/>
                <w:sz w:val="18"/>
                <w:szCs w:val="18"/>
                <w:color w:val="auto"/>
              </w:rPr>
              <w:t>Dilutive effect of equity awards (5)</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1,387,582</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Diluted, non-GAAP</w:t>
            </w: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78,464,654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74,130,913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77,339,897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73,876,183</w:t>
            </w:r>
          </w:p>
        </w:tc>
      </w:tr>
    </w:tbl>
    <w:p>
      <w:pPr>
        <w:sectPr>
          <w:pgSz w:w="11900" w:h="16838" w:orient="portrait"/>
          <w:cols w:equalWidth="0" w:num="1">
            <w:col w:w="10860"/>
          </w:cols>
          <w:pgMar w:left="340" w:top="931" w:right="69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color w:val="auto"/>
        </w:rPr>
        <w:t>1.Includes transaction-related expenses as well as post-combination compensation expenses. For the three months ended September</w:t>
      </w:r>
    </w:p>
    <w:p>
      <w:pPr>
        <w:ind w:left="180"/>
        <w:spacing w:after="0" w:line="219" w:lineRule="auto"/>
        <w:rPr>
          <w:sz w:val="20"/>
          <w:szCs w:val="20"/>
          <w:color w:val="auto"/>
        </w:rPr>
      </w:pPr>
      <w:r>
        <w:rPr>
          <w:rFonts w:ascii="Arial" w:cs="Arial" w:eastAsia="Arial" w:hAnsi="Arial"/>
          <w:sz w:val="18"/>
          <w:szCs w:val="18"/>
          <w:color w:val="auto"/>
        </w:rPr>
        <w:t>30, 2024, adjustments consist primarily of transaction related expenses associated with the acquisition of C2i Genomics ($0.1 million).</w:t>
      </w:r>
    </w:p>
    <w:p>
      <w:pPr>
        <w:ind w:left="180" w:right="60"/>
        <w:spacing w:after="0" w:line="208" w:lineRule="auto"/>
        <w:rPr>
          <w:sz w:val="20"/>
          <w:szCs w:val="20"/>
          <w:color w:val="auto"/>
        </w:rPr>
      </w:pPr>
      <w:r>
        <w:rPr>
          <w:rFonts w:ascii="Arial" w:cs="Arial" w:eastAsia="Arial" w:hAnsi="Arial"/>
          <w:sz w:val="18"/>
          <w:szCs w:val="18"/>
          <w:color w:val="auto"/>
        </w:rPr>
        <w:t>For the three months ended September 30, 2023, adjustments consist primarily of remeasurement of contingent consideration related to our adoption of a multi-platform IVD strategy and post-combination compensation expenses associated with the acquisition of HalioDx. For the nine months ended September 30, 2024, adjustments consist of transaction related expenses associated with the</w:t>
      </w:r>
    </w:p>
    <w:p>
      <w:pPr>
        <w:spacing w:after="0" w:line="2" w:lineRule="exact"/>
        <w:rPr>
          <w:sz w:val="20"/>
          <w:szCs w:val="20"/>
          <w:color w:val="auto"/>
        </w:rPr>
      </w:pPr>
    </w:p>
    <w:p>
      <w:pPr>
        <w:ind w:left="180" w:right="400"/>
        <w:spacing w:after="0" w:line="221" w:lineRule="auto"/>
        <w:rPr>
          <w:sz w:val="20"/>
          <w:szCs w:val="20"/>
          <w:color w:val="auto"/>
        </w:rPr>
      </w:pPr>
      <w:r>
        <w:rPr>
          <w:rFonts w:ascii="Arial" w:cs="Arial" w:eastAsia="Arial" w:hAnsi="Arial"/>
          <w:sz w:val="18"/>
          <w:szCs w:val="18"/>
          <w:color w:val="auto"/>
        </w:rPr>
        <w:t>acquisition of C2i Genomics. For the nine months ended September 30, 2023, adjustments consist primarily of remeasurement of contingent consideration related to our adoption of a multi-platform IVD strategy and post-combination compensation expenses associated with the acquisition of HalioDx.</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2.Includes interest income and income related to research tax credits.</w:t>
      </w:r>
    </w:p>
    <w:p>
      <w:pPr>
        <w:spacing w:after="0" w:line="32" w:lineRule="exact"/>
        <w:rPr>
          <w:sz w:val="20"/>
          <w:szCs w:val="20"/>
          <w:color w:val="auto"/>
        </w:rPr>
      </w:pPr>
    </w:p>
    <w:p>
      <w:pPr>
        <w:ind w:left="180" w:right="560" w:hanging="161"/>
        <w:spacing w:after="0" w:line="229" w:lineRule="auto"/>
        <w:rPr>
          <w:sz w:val="20"/>
          <w:szCs w:val="20"/>
          <w:color w:val="auto"/>
        </w:rPr>
      </w:pPr>
      <w:r>
        <w:rPr>
          <w:rFonts w:ascii="Arial" w:cs="Arial" w:eastAsia="Arial" w:hAnsi="Arial"/>
          <w:sz w:val="17"/>
          <w:szCs w:val="17"/>
          <w:color w:val="auto"/>
        </w:rPr>
        <w:t>3.For the three months ended September 30, 2024, adjustments include the exclusion of unrealized gains associated with foreign exchange impacts on stock-based compensation and intercompany loans ($1.1 million) partially offset by expense related to</w:t>
      </w:r>
    </w:p>
    <w:p>
      <w:pPr>
        <w:ind w:left="180" w:right="40"/>
        <w:spacing w:after="0" w:line="208" w:lineRule="auto"/>
        <w:rPr>
          <w:sz w:val="20"/>
          <w:szCs w:val="20"/>
          <w:color w:val="auto"/>
        </w:rPr>
      </w:pPr>
      <w:r>
        <w:rPr>
          <w:rFonts w:ascii="Arial" w:cs="Arial" w:eastAsia="Arial" w:hAnsi="Arial"/>
          <w:sz w:val="18"/>
          <w:szCs w:val="18"/>
          <w:color w:val="auto"/>
        </w:rPr>
        <w:t>restructuring costs ($0.2 million). For the three months ended September 30, 2023, adjustments include $34.9 million expense related to nCounter license impairment related to our adoption of a multi-platform IVD strategy. For the nine months ended September 30, 2024, adjustments primarily include expense related to restructuring costs associated with a reduction in our Biopharmaceutical and</w:t>
      </w:r>
    </w:p>
    <w:p>
      <w:pPr>
        <w:spacing w:after="0" w:line="2" w:lineRule="exact"/>
        <w:rPr>
          <w:sz w:val="20"/>
          <w:szCs w:val="20"/>
          <w:color w:val="auto"/>
        </w:rPr>
      </w:pPr>
    </w:p>
    <w:p>
      <w:pPr>
        <w:ind w:left="180" w:right="140"/>
        <w:spacing w:after="0" w:line="221" w:lineRule="auto"/>
        <w:rPr>
          <w:sz w:val="20"/>
          <w:szCs w:val="20"/>
          <w:color w:val="auto"/>
        </w:rPr>
      </w:pPr>
      <w:r>
        <w:rPr>
          <w:rFonts w:ascii="Arial" w:cs="Arial" w:eastAsia="Arial" w:hAnsi="Arial"/>
          <w:sz w:val="17"/>
          <w:szCs w:val="17"/>
          <w:color w:val="auto"/>
        </w:rPr>
        <w:t>Other Segment ($3.1 million) and expense related to restructuring costs associated with portfolio prioritization including the reduction in Envisia commercial support ($1.6 million), partially offset by the exclusion of unrealized gains associated with foreign exchange impacts on stock-based compensation and intercompany loans ($ 1.1 million). For the nine months ended September 30, 2023,</w:t>
      </w:r>
    </w:p>
    <w:p>
      <w:pPr>
        <w:ind w:left="180" w:right="120"/>
        <w:spacing w:after="0" w:line="229" w:lineRule="auto"/>
        <w:rPr>
          <w:sz w:val="20"/>
          <w:szCs w:val="20"/>
          <w:color w:val="auto"/>
        </w:rPr>
      </w:pPr>
      <w:r>
        <w:rPr>
          <w:rFonts w:ascii="Arial" w:cs="Arial" w:eastAsia="Arial" w:hAnsi="Arial"/>
          <w:sz w:val="18"/>
          <w:szCs w:val="18"/>
          <w:color w:val="auto"/>
        </w:rPr>
        <w:t>adjustments primarily include $ 34.9 million expense related to the impairment charge associated with the nCounter license intangible assets and $1.3 million related to other impairment charges.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4.Incremental non-GAAP tax expense reflects the tax impact of the non-GAAP adjustments listed.</w:t>
      </w:r>
    </w:p>
    <w:p>
      <w:pPr>
        <w:spacing w:after="0" w:line="23" w:lineRule="exact"/>
        <w:rPr>
          <w:sz w:val="20"/>
          <w:szCs w:val="20"/>
          <w:color w:val="auto"/>
        </w:rPr>
      </w:pPr>
    </w:p>
    <w:p>
      <w:pPr>
        <w:ind w:left="180" w:hanging="161"/>
        <w:spacing w:after="0" w:line="229" w:lineRule="auto"/>
        <w:rPr>
          <w:sz w:val="20"/>
          <w:szCs w:val="20"/>
          <w:color w:val="auto"/>
        </w:rPr>
      </w:pPr>
      <w:r>
        <w:rPr>
          <w:rFonts w:ascii="Arial" w:cs="Arial" w:eastAsia="Arial" w:hAnsi="Arial"/>
          <w:sz w:val="17"/>
          <w:szCs w:val="17"/>
          <w:color w:val="auto"/>
        </w:rPr>
        <w:t>5.In those periods in which GAAP net (loss) income is negative and non-GAAP net (loss) income is positive, non-GAAP diluted weighted average shares outstanding includes potentially dilutive common shares from equity awards as determined using the treasury stock</w:t>
      </w:r>
    </w:p>
    <w:p>
      <w:pPr>
        <w:ind w:left="180"/>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media@veracyte.com</w:t>
      </w:r>
    </w:p>
    <w:p>
      <w:pPr>
        <w:spacing w:after="0"/>
        <w:rPr>
          <w:sz w:val="20"/>
          <w:szCs w:val="20"/>
          <w:color w:val="auto"/>
        </w:rPr>
      </w:pPr>
      <w:r>
        <w:rPr>
          <w:rFonts w:ascii="Arial" w:cs="Arial" w:eastAsia="Arial" w:hAnsi="Arial"/>
          <w:sz w:val="18"/>
          <w:szCs w:val="18"/>
          <w:color w:val="auto"/>
        </w:rPr>
        <w:t>650-380-4413</w:t>
      </w:r>
    </w:p>
    <w:sectPr>
      <w:pgSz w:w="11900" w:h="16838" w:orient="portrait"/>
      <w:cols w:equalWidth="0" w:num="1">
        <w:col w:w="10860"/>
      </w:cols>
      <w:pgMar w:left="320" w:top="91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2024-11-06T15:32:30Z</dcterms:created>
  <dcterms:modified xsi:type="dcterms:W3CDTF">2024-11-06T15:32:30Z</dcterms:modified>
</cp:coreProperties>
</file>