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9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4"/>
              </w:rPr>
              <w:t>Amount</w:t>
            </w:r>
          </w:p>
        </w:tc>
        <w:tc>
          <w:tcPr>
            <w:tcW w:w="1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9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78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89"/>
              </w:rPr>
              <w:t>to be</w:t>
            </w:r>
          </w:p>
        </w:tc>
        <w:tc>
          <w:tcPr>
            <w:tcW w:w="17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7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740" w:type="dxa"/>
            <w:vAlign w:val="bottom"/>
          </w:tcPr>
          <w:p>
            <w:pPr>
              <w:jc w:val="center"/>
              <w:ind w:left="2"/>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8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0"/>
              </w:rPr>
              <w:t xml:space="preserve">Registered </w:t>
            </w:r>
            <w:r>
              <w:rPr>
                <w:rFonts w:ascii="Arial" w:cs="Arial" w:eastAsia="Arial" w:hAnsi="Arial"/>
                <w:sz w:val="12"/>
                <w:szCs w:val="12"/>
                <w:b w:val="1"/>
                <w:bCs w:val="1"/>
                <w:color w:val="auto"/>
                <w:w w:val="90"/>
              </w:rPr>
              <w:t>(1)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Registration Fee </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6,325,000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$23.25</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$147,056,250</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$17,824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hanging="436"/>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7"/>
          <w:szCs w:val="17"/>
          <w:color w:val="auto"/>
        </w:rPr>
        <w:t>Includes 825,000 shares that may be purchased by the underwriters upon exercise of the underwriters’ option to purchase additional shares.</w:t>
      </w:r>
    </w:p>
    <w:p>
      <w:pPr>
        <w:spacing w:after="0" w:line="34" w:lineRule="exact"/>
        <w:rPr>
          <w:rFonts w:ascii="Arial" w:cs="Arial" w:eastAsia="Arial" w:hAnsi="Arial"/>
          <w:sz w:val="14"/>
          <w:szCs w:val="14"/>
          <w:color w:val="auto"/>
        </w:rPr>
      </w:pPr>
    </w:p>
    <w:p>
      <w:pPr>
        <w:ind w:left="640" w:right="60" w:hanging="436"/>
        <w:spacing w:after="0" w:line="252" w:lineRule="auto"/>
        <w:tabs>
          <w:tab w:leader="none" w:pos="640" w:val="left"/>
        </w:tabs>
        <w:numPr>
          <w:ilvl w:val="0"/>
          <w:numId w:val="1"/>
        </w:numPr>
        <w:rPr>
          <w:rFonts w:ascii="Arial" w:cs="Arial" w:eastAsia="Arial" w:hAnsi="Arial"/>
          <w:sz w:val="15"/>
          <w:szCs w:val="15"/>
          <w:color w:val="auto"/>
        </w:rPr>
      </w:pPr>
      <w:r>
        <w:rPr>
          <w:rFonts w:ascii="Arial" w:cs="Arial" w:eastAsia="Arial" w:hAnsi="Arial"/>
          <w:sz w:val="18"/>
          <w:szCs w:val="18"/>
          <w:color w:val="auto"/>
        </w:rPr>
        <w:t>The filing fee is calculated and being paid pursuant to Rule 457(r) under the Securities Act of 1933, as amended, and relates to the Registration Statement on Form S-3ASR (File No. 333-231173) filed by the Registrant on May 2, 2019. Filing fees of $8,224 were previously paid in connection with the registration of unsold securities on the registrant’s registration statement on Form S-3 (Registration No. 333- 224576) initially filed by the registrant on May 1, 2018 (the “Prior Registration Statement”). Pursuant to Rule 457(p) under the Securities Act of 1933, as amended, such amount is being offset against the filing fee due for this offering. Accordingly, the registrant has paid $9,600 in connection with this offering, which represents the difference between the registration fee owed in connection with this offering and the registration fee paid in connection with the Prior Registration Statement.</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333-231173</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Prospectus dated May 2, 2019)</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5,500,000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178435</wp:posOffset>
            </wp:positionV>
            <wp:extent cx="1920875" cy="138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87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Veracyte, Inc.</w:t>
      </w: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offering 5,500,000 shares of our common stock.</w:t>
      </w:r>
    </w:p>
    <w:p>
      <w:pPr>
        <w:spacing w:after="0" w:line="22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May 2, 2019, the last reported sale price of our shares of common stock on The Nasdaq Global Market was $24.17 per share.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a smaller reporting company under the federal securities laws and are subject to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00" w:right="86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 of this prospectus supplement.</w:t>
      </w:r>
    </w:p>
    <w:p>
      <w:pPr>
        <w:spacing w:after="0" w:line="18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rPr>
              <w:t>Per</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Share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23.250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127,875,000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1.395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7,672,500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120,202,500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(Conflict of Interest)” for a description of compensation payable to the underwriters.</w:t>
      </w:r>
    </w:p>
    <w:p>
      <w:pPr>
        <w:spacing w:after="0" w:line="225"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We have granted the underwriters the right to purchase up to 825,000 additional shares of our common stock. The underwriters may exercise this right at any time within 30 days after the date of this prospectus supplement.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or about May 7, 2019.</w:t>
      </w:r>
    </w:p>
    <w:p>
      <w:pPr>
        <w:spacing w:after="0" w:line="329"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7860" w:type="dxa"/>
            <w:vAlign w:val="bottom"/>
            <w:gridSpan w:val="3"/>
          </w:tcPr>
          <w:p>
            <w:pPr>
              <w:jc w:val="center"/>
              <w:ind w:right="3014"/>
              <w:spacing w:after="0"/>
              <w:rPr>
                <w:sz w:val="20"/>
                <w:szCs w:val="20"/>
                <w:color w:val="auto"/>
              </w:rPr>
            </w:pPr>
            <w:r>
              <w:rPr>
                <w:rFonts w:ascii="Arial" w:cs="Arial" w:eastAsia="Arial" w:hAnsi="Arial"/>
                <w:sz w:val="18"/>
                <w:szCs w:val="18"/>
                <w:b w:val="1"/>
                <w:bCs w:val="1"/>
                <w:i w:val="1"/>
                <w:iCs w:val="1"/>
                <w:color w:val="auto"/>
                <w:w w:val="89"/>
              </w:rPr>
              <w:t>Lead Book-Running Managers</w:t>
            </w:r>
          </w:p>
        </w:tc>
      </w:tr>
      <w:tr>
        <w:trPr>
          <w:trHeight w:val="586"/>
        </w:trPr>
        <w:tc>
          <w:tcPr>
            <w:tcW w:w="3160" w:type="dxa"/>
            <w:vAlign w:val="bottom"/>
          </w:tcPr>
          <w:p>
            <w:pPr>
              <w:spacing w:after="0"/>
              <w:rPr>
                <w:sz w:val="20"/>
                <w:szCs w:val="20"/>
                <w:color w:val="auto"/>
              </w:rPr>
            </w:pPr>
            <w:r>
              <w:rPr>
                <w:rFonts w:ascii="Arial" w:cs="Arial" w:eastAsia="Arial" w:hAnsi="Arial"/>
                <w:sz w:val="29"/>
                <w:szCs w:val="29"/>
                <w:b w:val="1"/>
                <w:bCs w:val="1"/>
                <w:color w:val="auto"/>
              </w:rPr>
              <w:t>Morgan Stanley</w:t>
            </w:r>
          </w:p>
        </w:tc>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60" w:type="dxa"/>
            <w:vAlign w:val="bottom"/>
          </w:tcPr>
          <w:p>
            <w:pPr>
              <w:ind w:left="2960"/>
              <w:spacing w:after="0"/>
              <w:rPr>
                <w:sz w:val="20"/>
                <w:szCs w:val="20"/>
                <w:color w:val="auto"/>
              </w:rPr>
            </w:pPr>
            <w:r>
              <w:rPr>
                <w:rFonts w:ascii="Arial" w:cs="Arial" w:eastAsia="Arial" w:hAnsi="Arial"/>
                <w:sz w:val="25"/>
                <w:szCs w:val="25"/>
                <w:b w:val="1"/>
                <w:bCs w:val="1"/>
                <w:color w:val="auto"/>
                <w:w w:val="93"/>
              </w:rPr>
              <w:t>SVB Leerink</w:t>
            </w:r>
          </w:p>
        </w:tc>
      </w:tr>
      <w:tr>
        <w:trPr>
          <w:trHeight w:val="346"/>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26"/>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60" w:type="dxa"/>
            <w:vAlign w:val="bottom"/>
            <w:gridSpan w:val="2"/>
          </w:tcPr>
          <w:p>
            <w:pPr>
              <w:jc w:val="center"/>
              <w:ind w:right="4214"/>
              <w:spacing w:after="0"/>
              <w:rPr>
                <w:sz w:val="20"/>
                <w:szCs w:val="20"/>
                <w:color w:val="auto"/>
              </w:rPr>
            </w:pPr>
            <w:r>
              <w:rPr>
                <w:rFonts w:ascii="Arial" w:cs="Arial" w:eastAsia="Arial" w:hAnsi="Arial"/>
                <w:sz w:val="18"/>
                <w:szCs w:val="18"/>
                <w:b w:val="1"/>
                <w:bCs w:val="1"/>
                <w:i w:val="1"/>
                <w:iCs w:val="1"/>
                <w:color w:val="auto"/>
                <w:w w:val="90"/>
              </w:rPr>
              <w:t>Book-Running Manager</w:t>
            </w:r>
          </w:p>
        </w:tc>
      </w:tr>
      <w:tr>
        <w:trPr>
          <w:trHeight w:val="522"/>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60" w:type="dxa"/>
            <w:vAlign w:val="bottom"/>
            <w:gridSpan w:val="2"/>
          </w:tcPr>
          <w:p>
            <w:pPr>
              <w:jc w:val="center"/>
              <w:ind w:right="4214"/>
              <w:spacing w:after="0"/>
              <w:rPr>
                <w:sz w:val="20"/>
                <w:szCs w:val="20"/>
                <w:color w:val="auto"/>
              </w:rPr>
            </w:pPr>
            <w:r>
              <w:rPr>
                <w:rFonts w:ascii="Arial" w:cs="Arial" w:eastAsia="Arial" w:hAnsi="Arial"/>
                <w:sz w:val="25"/>
                <w:szCs w:val="25"/>
                <w:b w:val="1"/>
                <w:bCs w:val="1"/>
                <w:color w:val="auto"/>
                <w:w w:val="98"/>
              </w:rPr>
              <w:t>William Blair</w:t>
            </w:r>
          </w:p>
        </w:tc>
      </w:tr>
      <w:tr>
        <w:trPr>
          <w:trHeight w:val="356"/>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26"/>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60" w:type="dxa"/>
            <w:vAlign w:val="bottom"/>
            <w:gridSpan w:val="2"/>
          </w:tcPr>
          <w:p>
            <w:pPr>
              <w:jc w:val="center"/>
              <w:ind w:right="4234"/>
              <w:spacing w:after="0"/>
              <w:rPr>
                <w:sz w:val="20"/>
                <w:szCs w:val="20"/>
                <w:color w:val="auto"/>
              </w:rPr>
            </w:pPr>
            <w:r>
              <w:rPr>
                <w:rFonts w:ascii="Arial" w:cs="Arial" w:eastAsia="Arial" w:hAnsi="Arial"/>
                <w:sz w:val="18"/>
                <w:szCs w:val="18"/>
                <w:b w:val="1"/>
                <w:bCs w:val="1"/>
                <w:i w:val="1"/>
                <w:iCs w:val="1"/>
                <w:color w:val="auto"/>
                <w:w w:val="89"/>
              </w:rPr>
              <w:t>Co-Managers</w:t>
            </w:r>
          </w:p>
        </w:tc>
      </w:tr>
    </w:tbl>
    <w:p>
      <w:pPr>
        <w:sectPr>
          <w:pgSz w:w="11900" w:h="16838" w:orient="portrait"/>
          <w:cols w:equalWidth="0" w:num="1">
            <w:col w:w="11220"/>
          </w:cols>
          <w:pgMar w:left="240" w:top="459" w:right="439" w:bottom="0" w:gutter="0" w:footer="0" w:header="0"/>
        </w:sectPr>
      </w:pPr>
    </w:p>
    <w:bookmarkStart w:id="2" w:name="page3"/>
    <w:bookmarkEnd w:id="2"/>
    <w:p>
      <w:pPr>
        <w:spacing w:after="0"/>
        <w:tabs>
          <w:tab w:leader="none" w:pos="8560" w:val="left"/>
        </w:tabs>
        <w:rPr>
          <w:sz w:val="20"/>
          <w:szCs w:val="20"/>
          <w:color w:val="auto"/>
        </w:rPr>
      </w:pPr>
      <w:r>
        <w:rPr>
          <w:rFonts w:ascii="Arial" w:cs="Arial" w:eastAsia="Arial" w:hAnsi="Arial"/>
          <w:sz w:val="19"/>
          <w:szCs w:val="19"/>
          <w:b w:val="1"/>
          <w:bCs w:val="1"/>
          <w:color w:val="auto"/>
        </w:rPr>
        <w:t>BTIG</w:t>
      </w:r>
      <w:r>
        <w:rPr>
          <w:sz w:val="20"/>
          <w:szCs w:val="20"/>
          <w:color w:val="auto"/>
        </w:rPr>
        <w:tab/>
      </w:r>
      <w:r>
        <w:rPr>
          <w:rFonts w:ascii="Arial" w:cs="Arial" w:eastAsia="Arial" w:hAnsi="Arial"/>
          <w:sz w:val="19"/>
          <w:szCs w:val="19"/>
          <w:b w:val="1"/>
          <w:bCs w:val="1"/>
          <w:color w:val="auto"/>
        </w:rPr>
        <w:t>Janney Montgomery Scott</w:t>
      </w:r>
    </w:p>
    <w:p>
      <w:pPr>
        <w:sectPr>
          <w:pgSz w:w="11900" w:h="16838" w:orient="portrait"/>
          <w:cols w:equalWidth="0" w:num="1">
            <w:col w:w="11020"/>
          </w:cols>
          <w:pgMar w:left="440" w:top="126" w:right="439" w:bottom="1440"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supplement is May 2, 2019.</w:t>
      </w:r>
    </w:p>
    <w:p>
      <w:pPr>
        <w:sectPr>
          <w:pgSz w:w="11900" w:h="16838" w:orient="portrait"/>
          <w:cols w:equalWidth="0" w:num="1">
            <w:col w:w="11020"/>
          </w:cols>
          <w:pgMar w:left="440" w:top="126" w:right="4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54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gridSpan w:val="2"/>
          </w:tcPr>
          <w:p>
            <w:pPr>
              <w:ind w:left="1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344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 SUPPLEMENT</w:t>
              </w:r>
            </w:hyperlink>
          </w:p>
        </w:tc>
        <w:tc>
          <w:tcPr>
            <w:tcW w:w="690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200" w:type="dxa"/>
            <w:vAlign w:val="bottom"/>
          </w:tcPr>
          <w:p>
            <w:pPr>
              <w:spacing w:after="0"/>
              <w:rPr>
                <w:sz w:val="17"/>
                <w:szCs w:val="17"/>
                <w:color w:val="auto"/>
              </w:rPr>
            </w:pPr>
          </w:p>
        </w:tc>
        <w:tc>
          <w:tcPr>
            <w:tcW w:w="330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SUPPLEMENT SUMMARY</w:t>
              </w:r>
            </w:hyperlink>
          </w:p>
        </w:tc>
        <w:tc>
          <w:tcPr>
            <w:tcW w:w="704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20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THE OFFERING</w:t>
              </w:r>
            </w:hyperlink>
          </w:p>
        </w:tc>
        <w:tc>
          <w:tcPr>
            <w:tcW w:w="9060" w:type="dxa"/>
            <w:vAlign w:val="bottom"/>
            <w:gridSpan w:val="2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20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RISK FACTORS</w:t>
              </w:r>
            </w:hyperlink>
          </w:p>
        </w:tc>
        <w:tc>
          <w:tcPr>
            <w:tcW w:w="9080" w:type="dxa"/>
            <w:vAlign w:val="bottom"/>
            <w:gridSpan w:val="2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FORWARD-LOOKING STATEMENTS</w:t>
              </w:r>
            </w:hyperlink>
          </w:p>
        </w:tc>
        <w:tc>
          <w:tcPr>
            <w:tcW w:w="740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200" w:type="dxa"/>
            <w:vAlign w:val="bottom"/>
          </w:tcPr>
          <w:p>
            <w:pPr>
              <w:spacing w:after="0"/>
              <w:rPr>
                <w:sz w:val="17"/>
                <w:szCs w:val="17"/>
                <w:color w:val="auto"/>
              </w:rPr>
            </w:pPr>
          </w:p>
        </w:tc>
        <w:tc>
          <w:tcPr>
            <w:tcW w:w="15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DILUTION</w:t>
              </w:r>
            </w:hyperlink>
          </w:p>
        </w:tc>
        <w:tc>
          <w:tcPr>
            <w:tcW w:w="876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DIVIDEND POLICY</w:t>
              </w:r>
            </w:hyperlink>
          </w:p>
        </w:tc>
        <w:tc>
          <w:tcPr>
            <w:tcW w:w="876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w w:val="98"/>
              </w:rPr>
            </w:pPr>
            <w:hyperlink w:anchor="page17">
              <w:r>
                <w:rPr>
                  <w:rFonts w:ascii="Arial" w:cs="Arial" w:eastAsia="Arial" w:hAnsi="Arial"/>
                  <w:sz w:val="18"/>
                  <w:szCs w:val="18"/>
                  <w:color w:val="0000EE"/>
                  <w:w w:val="98"/>
                </w:rPr>
                <w:t>MATERIAL UNITED STATES FEDERAL INCOME TAX CONSEQUENCES FOR NON-U.S. HOLDERS OF OUR COMMON STOCK</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200" w:type="dxa"/>
            <w:vAlign w:val="bottom"/>
          </w:tcPr>
          <w:p>
            <w:pPr>
              <w:spacing w:after="0"/>
              <w:rPr>
                <w:sz w:val="17"/>
                <w:szCs w:val="17"/>
                <w:color w:val="auto"/>
              </w:rPr>
            </w:pPr>
          </w:p>
        </w:tc>
        <w:tc>
          <w:tcPr>
            <w:tcW w:w="100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UNDERWRITING (CONFLICT OF INTEREST)</w:t>
              </w:r>
            </w:hyperlink>
          </w:p>
        </w:tc>
        <w:tc>
          <w:tcPr>
            <w:tcW w:w="2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20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LEGAL MATTERS</w:t>
              </w:r>
            </w:hyperlink>
          </w:p>
        </w:tc>
        <w:tc>
          <w:tcPr>
            <w:tcW w:w="2140" w:type="dxa"/>
            <w:vAlign w:val="bottom"/>
            <w:tcBorders>
              <w:top w:val="single" w:sz="8" w:color="0000EE"/>
            </w:tcBorders>
            <w:gridSpan w:val="16"/>
          </w:tcPr>
          <w:p>
            <w:pPr>
              <w:spacing w:after="0"/>
              <w:rPr>
                <w:sz w:val="17"/>
                <w:szCs w:val="17"/>
                <w:color w:val="auto"/>
              </w:rPr>
            </w:pPr>
          </w:p>
        </w:tc>
        <w:tc>
          <w:tcPr>
            <w:tcW w:w="674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EXPERTS</w:t>
              </w:r>
            </w:hyperlink>
          </w:p>
        </w:tc>
        <w:tc>
          <w:tcPr>
            <w:tcW w:w="9560" w:type="dxa"/>
            <w:vAlign w:val="bottom"/>
            <w:gridSpan w:val="2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WHERE YOU CAN FIND MORE INFORMATION</w:t>
              </w:r>
            </w:hyperlink>
          </w:p>
        </w:tc>
        <w:tc>
          <w:tcPr>
            <w:tcW w:w="65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r>
      <w:tr>
        <w:trPr>
          <w:trHeight w:val="453"/>
        </w:trPr>
        <w:tc>
          <w:tcPr>
            <w:tcW w:w="20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ABOUT THIS PROSPECTUS</w:t>
              </w:r>
            </w:hyperlink>
          </w:p>
        </w:tc>
        <w:tc>
          <w:tcPr>
            <w:tcW w:w="8100" w:type="dxa"/>
            <w:vAlign w:val="bottom"/>
            <w:gridSpan w:val="1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PROSPECTUS SUMMARY</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RISK FACTORS</w:t>
              </w:r>
            </w:hyperlink>
          </w:p>
        </w:tc>
        <w:tc>
          <w:tcPr>
            <w:tcW w:w="820" w:type="dxa"/>
            <w:vAlign w:val="bottom"/>
            <w:tcBorders>
              <w:top w:val="single" w:sz="8" w:color="0000EE"/>
            </w:tcBorders>
            <w:gridSpan w:val="6"/>
          </w:tcPr>
          <w:p>
            <w:pPr>
              <w:spacing w:after="0"/>
              <w:rPr>
                <w:sz w:val="17"/>
                <w:szCs w:val="17"/>
                <w:color w:val="auto"/>
              </w:rPr>
            </w:pPr>
          </w:p>
        </w:tc>
        <w:tc>
          <w:tcPr>
            <w:tcW w:w="8260" w:type="dxa"/>
            <w:vAlign w:val="bottom"/>
            <w:gridSpan w:val="1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FORWARD-LOOKING STATEMENTS</w:t>
              </w:r>
            </w:hyperlink>
          </w:p>
        </w:tc>
        <w:tc>
          <w:tcPr>
            <w:tcW w:w="740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SECURITIES WE MAY OFFER</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DESCRIPTION OF COMMON STOCK</w:t>
              </w:r>
            </w:hyperlink>
          </w:p>
        </w:tc>
        <w:tc>
          <w:tcPr>
            <w:tcW w:w="7380" w:type="dxa"/>
            <w:vAlign w:val="bottom"/>
            <w:gridSpan w:val="1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PREFERRED STOCK</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140" w:type="dxa"/>
            <w:vAlign w:val="bottom"/>
            <w:tcBorders>
              <w:top w:val="single" w:sz="8" w:color="0000EE"/>
            </w:tcBorders>
            <w:gridSpan w:val="18"/>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DESCRIPTION OF DEBT SECURITIES</w:t>
              </w:r>
            </w:hyperlink>
          </w:p>
        </w:tc>
        <w:tc>
          <w:tcPr>
            <w:tcW w:w="7200" w:type="dxa"/>
            <w:vAlign w:val="bottom"/>
            <w:gridSpan w:val="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3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WARRANTS</w:t>
              </w:r>
            </w:hyperlink>
          </w:p>
        </w:tc>
        <w:tc>
          <w:tcPr>
            <w:tcW w:w="7320" w:type="dxa"/>
            <w:vAlign w:val="bottom"/>
            <w:gridSpan w:val="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SUBSCRIPTION RIGHTS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34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UNITS</w:t>
              </w:r>
            </w:hyperlink>
          </w:p>
        </w:tc>
        <w:tc>
          <w:tcPr>
            <w:tcW w:w="688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SELLING SECURITYHOLDERS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PLAN OF DISTRIBUTION</w:t>
              </w:r>
            </w:hyperlink>
          </w:p>
        </w:tc>
        <w:tc>
          <w:tcPr>
            <w:tcW w:w="440" w:type="dxa"/>
            <w:vAlign w:val="bottom"/>
            <w:tcBorders>
              <w:top w:val="single" w:sz="8" w:color="0000EE"/>
            </w:tcBorders>
            <w:gridSpan w:val="5"/>
          </w:tcPr>
          <w:p>
            <w:pPr>
              <w:spacing w:after="0"/>
              <w:rPr>
                <w:sz w:val="17"/>
                <w:szCs w:val="17"/>
                <w:color w:val="auto"/>
              </w:rPr>
            </w:pPr>
          </w:p>
        </w:tc>
        <w:tc>
          <w:tcPr>
            <w:tcW w:w="784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LEGAL MATTERS</w:t>
              </w:r>
            </w:hyperlink>
          </w:p>
        </w:tc>
        <w:tc>
          <w:tcPr>
            <w:tcW w:w="8880" w:type="dxa"/>
            <w:vAlign w:val="bottom"/>
            <w:gridSpan w:val="2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EXPERTS</w:t>
              </w:r>
            </w:hyperlink>
          </w:p>
        </w:tc>
        <w:tc>
          <w:tcPr>
            <w:tcW w:w="9560" w:type="dxa"/>
            <w:vAlign w:val="bottom"/>
            <w:gridSpan w:val="2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WHERE YOU CAN FIND MORE INFORMATION</w:t>
              </w:r>
            </w:hyperlink>
          </w:p>
        </w:tc>
        <w:tc>
          <w:tcPr>
            <w:tcW w:w="65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INCORPORATION OF INFORMATION BY REFERENCE</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400"/>
        <w:spacing w:after="0" w:line="312" w:lineRule="auto"/>
        <w:rPr>
          <w:sz w:val="20"/>
          <w:szCs w:val="20"/>
          <w:color w:val="auto"/>
        </w:rPr>
      </w:pPr>
      <w:r>
        <w:rPr>
          <w:rFonts w:ascii="Arial" w:cs="Arial" w:eastAsia="Arial" w:hAnsi="Arial"/>
          <w:sz w:val="16"/>
          <w:szCs w:val="16"/>
          <w:color w:val="auto"/>
        </w:rPr>
        <w:t>On May 2, 2019, we filed with the Securities and Exchange Commission, or SEC, a registration statement on Form S-3 utilizing a shelf registration process relating to the securities described in this prospectus supplement, which registration statement became automatically effective upon filing. Under this shelf registration process, we may, from time to time, sell common stock and other securities, of which this offering is a part.</w:t>
      </w:r>
    </w:p>
    <w:p>
      <w:pPr>
        <w:spacing w:after="0" w:line="14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73"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87"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7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82"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70" w:lineRule="exact"/>
        <w:rPr>
          <w:sz w:val="20"/>
          <w:szCs w:val="20"/>
          <w:color w:val="auto"/>
        </w:rPr>
      </w:pPr>
    </w:p>
    <w:p>
      <w:pPr>
        <w:ind w:left="200" w:right="380"/>
        <w:spacing w:after="0" w:line="302" w:lineRule="auto"/>
        <w:rPr>
          <w:sz w:val="20"/>
          <w:szCs w:val="20"/>
          <w:color w:val="auto"/>
        </w:rPr>
      </w:pPr>
      <w:r>
        <w:rPr>
          <w:rFonts w:ascii="Arial" w:cs="Arial" w:eastAsia="Arial" w:hAnsi="Arial"/>
          <w:sz w:val="16"/>
          <w:szCs w:val="16"/>
          <w:color w:val="auto"/>
        </w:rPr>
        <w:t>Veracyte, Afirma, Percepta, Envisia, Know by Design, the Veracyte logo and the Afirma logo are our trademarks.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8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6298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spacing w:after="0" w:line="297" w:lineRule="auto"/>
        <w:rPr>
          <w:sz w:val="20"/>
          <w:szCs w:val="20"/>
          <w:color w:val="auto"/>
        </w:rPr>
      </w:pPr>
      <w:r>
        <w:rPr>
          <w:rFonts w:ascii="Arial" w:cs="Arial" w:eastAsia="Arial" w:hAnsi="Arial"/>
          <w:sz w:val="16"/>
          <w:szCs w:val="16"/>
          <w:i w:val="1"/>
          <w:iCs w:val="1"/>
          <w:color w:val="auto"/>
        </w:rPr>
        <w:t>This summary highlights selected information about us and this offering. Because it is a summary, it does not contain all of the information that you should consider before investing. Before you decide to invest in our common stock, you should read carefully and in their entirety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80" w:right="20"/>
        <w:spacing w:after="0" w:line="279" w:lineRule="auto"/>
        <w:rPr>
          <w:sz w:val="20"/>
          <w:szCs w:val="20"/>
          <w:color w:val="auto"/>
        </w:rPr>
      </w:pPr>
      <w:r>
        <w:rPr>
          <w:rFonts w:ascii="Arial" w:cs="Arial" w:eastAsia="Arial" w:hAnsi="Arial"/>
          <w:sz w:val="17"/>
          <w:szCs w:val="17"/>
          <w:color w:val="auto"/>
        </w:rPr>
        <w:t>We are a leading genomic diagnostics company that is creating value through innovation. We were founded in 2008 with a mission to improve diagnostic accuracy. Today, through our innovative scientific platform which utilizes ribonucleic acid, or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71" w:lineRule="exact"/>
        <w:rPr>
          <w:sz w:val="20"/>
          <w:szCs w:val="20"/>
          <w:color w:val="auto"/>
        </w:rPr>
      </w:pPr>
    </w:p>
    <w:p>
      <w:pPr>
        <w:ind w:left="380"/>
        <w:spacing w:after="0" w:line="293" w:lineRule="auto"/>
        <w:rPr>
          <w:sz w:val="20"/>
          <w:szCs w:val="20"/>
          <w:color w:val="auto"/>
        </w:rPr>
      </w:pPr>
      <w:r>
        <w:rPr>
          <w:rFonts w:ascii="Arial" w:cs="Arial" w:eastAsia="Arial" w:hAnsi="Arial"/>
          <w:sz w:val="16"/>
          <w:szCs w:val="16"/>
          <w:color w:val="auto"/>
        </w:rPr>
        <w:t>We have commercialized five leading, first-to-market tests that we believe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use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65" w:lineRule="exact"/>
        <w:rPr>
          <w:sz w:val="20"/>
          <w:szCs w:val="20"/>
          <w:color w:val="auto"/>
        </w:rPr>
      </w:pPr>
    </w:p>
    <w:p>
      <w:pPr>
        <w:ind w:left="380" w:right="80"/>
        <w:spacing w:after="0" w:line="279" w:lineRule="auto"/>
        <w:rPr>
          <w:sz w:val="20"/>
          <w:szCs w:val="20"/>
          <w:color w:val="auto"/>
        </w:rPr>
      </w:pPr>
      <w:r>
        <w:rPr>
          <w:rFonts w:ascii="Arial" w:cs="Arial" w:eastAsia="Arial" w:hAnsi="Arial"/>
          <w:sz w:val="17"/>
          <w:szCs w:val="17"/>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cancer indications, diagnosis can be ambiguous in 15% to 70% of cases.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date, we have commercialized five genomic tests that we believe are changing disease diagnosis:</w:t>
      </w:r>
    </w:p>
    <w:p>
      <w:pPr>
        <w:spacing w:after="0" w:line="131" w:lineRule="exact"/>
        <w:rPr>
          <w:sz w:val="20"/>
          <w:szCs w:val="20"/>
          <w:color w:val="auto"/>
        </w:rPr>
      </w:pPr>
    </w:p>
    <w:p>
      <w:pPr>
        <w:ind w:left="1220" w:hanging="30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Afirma Genomic Sequencing Classifier, or GSC, for thyroid cancer;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Afirma Gene Expression Classifier, which was the Afirma GSC’s predecessor;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Percepta Bronchial Genomic Classifier for lung cancer;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Envisia Genomic Classifier for IPF; and</w:t>
      </w:r>
    </w:p>
    <w:p>
      <w:pPr>
        <w:spacing w:after="0" w:line="130" w:lineRule="exact"/>
        <w:rPr>
          <w:rFonts w:ascii="Arial" w:cs="Arial" w:eastAsia="Arial" w:hAnsi="Arial"/>
          <w:sz w:val="18"/>
          <w:szCs w:val="18"/>
          <w:color w:val="auto"/>
        </w:rPr>
      </w:pPr>
    </w:p>
    <w:p>
      <w:pPr>
        <w:ind w:left="1220" w:right="220" w:hanging="307"/>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Afirma Xpression Atlas, which provides information on the most common and emerging gene alterations associated with thyroid cancer, enabling physicians to confidently tailor surgical and treatment decisions at time of diagnosis.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Collectively, we believe the four tests we are currently offering address a $2 billion global market opportunity.</w:t>
      </w:r>
    </w:p>
    <w:p>
      <w:pPr>
        <w:spacing w:after="0" w:line="225" w:lineRule="exact"/>
        <w:rPr>
          <w:sz w:val="20"/>
          <w:szCs w:val="20"/>
          <w:color w:val="auto"/>
        </w:rPr>
      </w:pPr>
    </w:p>
    <w:p>
      <w:pPr>
        <w:ind w:left="380" w:right="160"/>
        <w:spacing w:after="0" w:line="279" w:lineRule="auto"/>
        <w:rPr>
          <w:sz w:val="20"/>
          <w:szCs w:val="20"/>
          <w:color w:val="auto"/>
        </w:rPr>
      </w:pPr>
      <w:r>
        <w:rPr>
          <w:rFonts w:ascii="Arial" w:cs="Arial" w:eastAsia="Arial" w:hAnsi="Arial"/>
          <w:sz w:val="17"/>
          <w:szCs w:val="17"/>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We continue to build upon our extensive library of clinical evidence.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00"/>
          </w:cols>
          <w:pgMar w:left="24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620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26200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76" w:lineRule="auto"/>
        <w:rPr>
          <w:sz w:val="20"/>
          <w:szCs w:val="20"/>
          <w:color w:val="auto"/>
        </w:rPr>
      </w:pPr>
      <w:r>
        <w:rPr>
          <w:rFonts w:ascii="Arial" w:cs="Arial" w:eastAsia="Arial" w:hAnsi="Arial"/>
          <w:sz w:val="17"/>
          <w:szCs w:val="17"/>
          <w:color w:val="auto"/>
        </w:rPr>
        <w:t>We believe our focus on developing clinically useful tests that change patient care is enabling us to set new standards in genomic test reimbursement. Our Afirma genomic classifier is now covered by every major health plan in the United States, which collectively insure more than 275 million people for use in thyroid cancer diagnosis. We are now contracted as an in-network 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380" w:right="180"/>
        <w:spacing w:after="0" w:line="297" w:lineRule="auto"/>
        <w:rPr>
          <w:sz w:val="20"/>
          <w:szCs w:val="20"/>
          <w:color w:val="auto"/>
        </w:rPr>
      </w:pPr>
      <w:r>
        <w:rPr>
          <w:rFonts w:ascii="Arial" w:cs="Arial" w:eastAsia="Arial" w:hAnsi="Arial"/>
          <w:sz w:val="16"/>
          <w:szCs w:val="16"/>
          <w:color w:val="auto"/>
        </w:rPr>
        <w:t>We were incorporated in the state of Delaware on August 15, 2006 as Calderome, Inc.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supplement or the accompanying prospectus, and you should not consider any information on, or accessible through, our website as part of this prospectus supplement or the accompanying prospectus.</w:t>
      </w:r>
    </w:p>
    <w:p>
      <w:pPr>
        <w:spacing w:after="0" w:line="158" w:lineRule="exact"/>
        <w:rPr>
          <w:sz w:val="20"/>
          <w:szCs w:val="20"/>
          <w:color w:val="auto"/>
        </w:rPr>
      </w:pPr>
    </w:p>
    <w:p>
      <w:pPr>
        <w:ind w:left="380" w:right="60"/>
        <w:spacing w:after="0" w:line="264" w:lineRule="auto"/>
        <w:rPr>
          <w:sz w:val="20"/>
          <w:szCs w:val="20"/>
          <w:color w:val="auto"/>
        </w:rPr>
      </w:pPr>
      <w:r>
        <w:rPr>
          <w:rFonts w:ascii="Arial" w:cs="Arial" w:eastAsia="Arial" w:hAnsi="Arial"/>
          <w:sz w:val="18"/>
          <w:szCs w:val="18"/>
          <w:color w:val="auto"/>
        </w:rPr>
        <w:t>We are a “smaller reporting company” as defined in the Securities Exchange Act of 1934, as amended, or the Exchange Act, and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6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40"/>
          </w:cols>
          <w:pgMar w:left="240" w:top="459" w:right="619" w:bottom="1440" w:gutter="0" w:footer="0" w:header="0"/>
        </w:sect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Veracyte, Inc.</w:t>
      </w:r>
    </w:p>
    <w:p>
      <w:pPr>
        <w:spacing w:after="0" w:line="200"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5,500,000 shares</w:t>
      </w:r>
    </w:p>
    <w:p>
      <w:pPr>
        <w:spacing w:after="0" w:line="211"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89"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47,009,240 shares (or 47,834,240 shares if the underwriters exercise in full their option to purchase additional shares of our common stock).</w:t>
      </w:r>
    </w:p>
    <w:p>
      <w:pPr>
        <w:spacing w:after="0" w:line="197" w:lineRule="exact"/>
        <w:rPr>
          <w:sz w:val="20"/>
          <w:szCs w:val="20"/>
          <w:color w:val="auto"/>
        </w:rPr>
      </w:pPr>
    </w:p>
    <w:p>
      <w:pPr>
        <w:sectPr>
          <w:pgSz w:w="11900" w:h="16838" w:orient="portrait"/>
          <w:cols w:equalWidth="0" w:num="2">
            <w:col w:w="4020" w:space="400"/>
            <w:col w:w="662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We have granted the underwriters a 30-day option to purchase up to an additional 825,000 shares of our common stock.</w:t>
      </w:r>
    </w:p>
    <w:p>
      <w:pPr>
        <w:spacing w:after="0" w:line="197"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40"/>
        <w:spacing w:after="0" w:line="272" w:lineRule="auto"/>
        <w:rPr>
          <w:sz w:val="20"/>
          <w:szCs w:val="20"/>
          <w:color w:val="auto"/>
        </w:rPr>
      </w:pPr>
      <w:r>
        <w:rPr>
          <w:rFonts w:ascii="Arial" w:cs="Arial" w:eastAsia="Arial" w:hAnsi="Arial"/>
          <w:sz w:val="17"/>
          <w:szCs w:val="17"/>
          <w:color w:val="auto"/>
        </w:rPr>
        <w:t>We currently intend to use the net proceeds from this offering for working capital and other general corporate purposes. We also intend to use a portion of the net proceeds we receive from this offering to repay approximately $12.4 million of the term loan outstanding under our loan and security agreement, or Loan and Security Agreement. We may also use a portion of the net proceeds from this offering to acquire or invest in complementary businesses, technologies or other assets, although we have no present commitments or agreements to do so. See the section entitled “Use of Proceeds.”</w:t>
      </w:r>
    </w:p>
    <w:p>
      <w:pPr>
        <w:spacing w:after="0" w:line="200"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See the section entitled “Risk Factors” for a discussion of factors you should consider carefully before deciding to invest in our common stock.</w:t>
      </w:r>
    </w:p>
    <w:p>
      <w:pPr>
        <w:spacing w:after="0" w:line="197"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“VCYT”</w:t>
      </w:r>
    </w:p>
    <w:p>
      <w:pPr>
        <w:spacing w:after="0" w:line="200"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Affiliates of SVB Leerink LLC, an underwriter in this offering, will receive at least 5% of the net proceeds of this offering in connection with the repayment of approximately $12.4 million of the term loan outstanding under our Loan and Security Agreement. Therefore, SVB Leerink LLC is deemed to have a “conflict of interest” under Rule 5121 (“Rule 5121”) of the Financial Industry Regulatory Authority, Inc. (“FINRA”). Accordingly, this offering is being made in compliance with the requirements of Rule 5121. The appointment of a “qualified independent underwriter” is not required in connection with this offering as a “bona fide public market,” as defined in Rule 5121, exists for our common stock. See “Use of Proceeds” and “Underwriting (Conflicts of Interest).”</w:t>
      </w:r>
    </w:p>
    <w:p>
      <w:pPr>
        <w:spacing w:after="0" w:line="195"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ind w:left="380"/>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41,509,240 shares outstanding as of March 31, 2019 and excludes:</w:t>
      </w:r>
    </w:p>
    <w:p>
      <w:pPr>
        <w:spacing w:after="0" w:line="76" w:lineRule="exact"/>
        <w:rPr>
          <w:sz w:val="20"/>
          <w:szCs w:val="20"/>
          <w:color w:val="auto"/>
        </w:rPr>
      </w:pPr>
    </w:p>
    <w:p>
      <w:pPr>
        <w:ind w:left="1220" w:right="140" w:hanging="307"/>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5,847,645 shares of our common stock issuable upon the exercise of stock options outstanding as of March 31, 2019, with a weighted-average exercise price of $9.48 per share;</w:t>
      </w:r>
    </w:p>
    <w:p>
      <w:pPr>
        <w:spacing w:after="0" w:line="75" w:lineRule="exact"/>
        <w:rPr>
          <w:rFonts w:ascii="Arial" w:cs="Arial" w:eastAsia="Arial" w:hAnsi="Arial"/>
          <w:sz w:val="18"/>
          <w:szCs w:val="18"/>
          <w:color w:val="auto"/>
        </w:rPr>
      </w:pPr>
    </w:p>
    <w:p>
      <w:pPr>
        <w:ind w:left="1220" w:right="40" w:hanging="307"/>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110,300 shares of our common stock issuable upon the exercise of stock options granted after March 31, 2019, with a weighted-average exercise price of $24.14 per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40"/>
          </w:cols>
          <w:pgMar w:left="240" w:top="459" w:right="6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264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12649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307"/>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561,304 shares of common stock issuable upon the settlement of restricted stock units, or RSUs, outstanding as of March 31, 2019;</w:t>
      </w:r>
    </w:p>
    <w:p>
      <w:pPr>
        <w:spacing w:after="0" w:line="153" w:lineRule="exact"/>
        <w:rPr>
          <w:rFonts w:ascii="Arial" w:cs="Arial" w:eastAsia="Arial" w:hAnsi="Arial"/>
          <w:sz w:val="16"/>
          <w:szCs w:val="16"/>
          <w:color w:val="auto"/>
        </w:rPr>
      </w:pPr>
    </w:p>
    <w:p>
      <w:pPr>
        <w:ind w:left="1220" w:hanging="307"/>
        <w:spacing w:after="0"/>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2,141,658 shares of common stock reserved for future issuance under our 2013 Stock Incentive Plan, as amended; and</w:t>
      </w:r>
    </w:p>
    <w:p>
      <w:pPr>
        <w:spacing w:after="0" w:line="142" w:lineRule="exact"/>
        <w:rPr>
          <w:rFonts w:ascii="Arial" w:cs="Arial" w:eastAsia="Arial" w:hAnsi="Arial"/>
          <w:sz w:val="17"/>
          <w:szCs w:val="17"/>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229,218 shares of common stock reserved for future issuance under our Employee Stock Purchase Plan.</w:t>
      </w:r>
    </w:p>
    <w:p>
      <w:pPr>
        <w:spacing w:after="0" w:line="225" w:lineRule="exact"/>
        <w:rPr>
          <w:sz w:val="20"/>
          <w:szCs w:val="20"/>
          <w:color w:val="auto"/>
        </w:rPr>
      </w:pPr>
    </w:p>
    <w:p>
      <w:pPr>
        <w:ind w:left="380"/>
        <w:spacing w:after="0" w:line="308" w:lineRule="auto"/>
        <w:rPr>
          <w:sz w:val="20"/>
          <w:szCs w:val="20"/>
          <w:color w:val="auto"/>
        </w:rPr>
      </w:pPr>
      <w:r>
        <w:rPr>
          <w:rFonts w:ascii="Arial" w:cs="Arial" w:eastAsia="Arial" w:hAnsi="Arial"/>
          <w:sz w:val="17"/>
          <w:szCs w:val="17"/>
          <w:color w:val="auto"/>
        </w:rPr>
        <w:t>Except as otherwise indicated, all information in this prospectus supplement assumes no exercise or settlement of the outstanding stock options, RSUs or other equity awards described above and no exercise by the underwriters of their option to purchase additional shares.</w:t>
      </w:r>
    </w:p>
    <w:p>
      <w:pPr>
        <w:spacing w:after="0" w:line="200" w:lineRule="exact"/>
        <w:rPr>
          <w:sz w:val="20"/>
          <w:szCs w:val="20"/>
          <w:color w:val="auto"/>
        </w:rPr>
      </w:pPr>
    </w:p>
    <w:p>
      <w:pPr>
        <w:spacing w:after="0" w:line="3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740"/>
          </w:cols>
          <w:pgMar w:left="240" w:top="459" w:right="9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consider carefully the risks and uncertainties described below and in our Quarterly Report on Form 10-Q for the quarter ended March 31, 2019 incorporated by reference in this prospectus supplement and the accompanying prospectus, any amendment or update thereto reflected in our subsequent filings with the SEC,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6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297" w:lineRule="exact"/>
        <w:rPr>
          <w:sz w:val="20"/>
          <w:szCs w:val="20"/>
          <w:color w:val="auto"/>
        </w:rPr>
      </w:pPr>
    </w:p>
    <w:p>
      <w:pPr>
        <w:ind w:left="200" w:right="360"/>
        <w:spacing w:after="0" w:line="375" w:lineRule="auto"/>
        <w:rPr>
          <w:sz w:val="20"/>
          <w:szCs w:val="20"/>
          <w:color w:val="auto"/>
        </w:rPr>
      </w:pPr>
      <w:r>
        <w:rPr>
          <w:rFonts w:ascii="Arial" w:cs="Arial" w:eastAsia="Arial" w:hAnsi="Arial"/>
          <w:sz w:val="15"/>
          <w:szCs w:val="15"/>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price per share of our common stock being offered may be higher than the net tangible book value per share of our outstanding common stock prior to this offering. Based on the public offering price of $23.25 per share, and our net tangible book value as of March 31, 2019 of approximately $1.71 per share, if you purchase shares of common stock in this offering, you will suffer immediate and substantial dilution of $19.19 per share, representing the difference between the public offering price and the as adjusted net tangible book value per share of our common stock as of March 31, 2019 after giving effect to this offering. See the section entitled “Dilution” below for a more detailed discussion of the dilution you will incur if you purchase common stock in this offering.</w:t>
      </w:r>
    </w:p>
    <w:p>
      <w:pPr>
        <w:spacing w:after="0" w:line="193"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In addition, we have a significant number of stock options to purchase common stock and RSUs outstanding, and may choose to issue additional common stock, or securities convertible into or exchangeable for common stock, in the future. In the event that the outstanding stock options or RSUs are exercised or settled,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sales of shares of our common stock by our existing stockholders could cause our stock price to decline.</w:t>
      </w:r>
    </w:p>
    <w:p>
      <w:pPr>
        <w:spacing w:after="0" w:line="117"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Further, we have a significant number of stock options and RSUs outstanding. As of March 31, 2019, we had 41,509,240 shares of outstanding common stock, of which approximately 424,425 shares and an additional 3,293,710 shares underlying stock options and RSUs are subject to restrictions on transfer under 90-day lock-up arrangements with the underwriters of this offering. These shares will become eligible for public sale at the expiration of the lock-up period, subject to vesting requirements and volume limitations applicable to affiliates. If a substantial number of shares of common stock, including shares of common stock underlying outstanding stock options and RSUs, are sold, or if it is perceived that they will be sold, in the public market, it could have an adverse impact on the market price of our common stock.</w:t>
      </w:r>
    </w:p>
    <w:p>
      <w:pPr>
        <w:spacing w:after="0" w:line="17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Furthermore, certain of our executive officers have adopted, and other directors and executive officers may in the future adopt, written trading plans that are intended to comply with Rule 10b5-1 under the Exchange Act, under which they have contracted, or may in the future contract, with a broker to sell shares of our common stock. Sales of substantial amounts of our common stock in the public markets during the lock-up period pursuant to existing Rule 10b5-1 plans or pursuant to new Rule 10b5-1 plans following the expiration of the lock-up period or otherwise, or the perception that these sales could occur, could cause the market price of our common stock to decline. We are unable to predict the effect that sales may have on the prevailing market price of our common stock.</w:t>
      </w:r>
    </w:p>
    <w:p>
      <w:pPr>
        <w:spacing w:after="0" w:line="30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Affiliates of SVB Leerink LLC, an underwriter in this offering, may receive at least 5% of the net proceeds of this offering and may have an interest in this offering beyond customary underwriting discounts and commissions.</w:t>
      </w:r>
    </w:p>
    <w:p>
      <w:pPr>
        <w:spacing w:after="0" w:line="62"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Affiliates of SVB Leerink LLC, an underwriter in this offering, will receive at least 5% of the net proceeds of this offering in connection with the repayment of approximately $12.4 million of the term loan outstanding under our Loan and Security Agreement. Therefore, SVB Leerink LLC is deemed to have a “conflict of interest” under Rule 5121. Accordingly, this offering is being made in compliance with the requirements of Rule 5121. Although the appointment of a “qualified independent underwriter” is not required in connection with this offering, as a “bona fide public market,” as defined in Rule 5121, exists for our common stock, we cannot assure you that this will adequately address all potential conflicts of interest. In accordance with Rule 5121, SVB Leerink LLC will not confirm sales of securities to any account over which it exercises discretionary authority without the prior written approval of the accountholder. See the section titled “Use of Proceeds” for additional information.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This prospectus supplement, the accompanying prospectus and the documents we have filed with the SEC that are incorporated by reference in this prospectus supplement and the accompanying prospectus contain forward-looking statements that involve risks and uncertainties. These statements relate to future periods, future events or our future operating or financial plans or performance. These statements can often be identified by the use of forward-looking terminology such as “expects,” “believes,” “anticipates,” “estimates,” “plans,” “may,” “could,” “will,” “intends” or the negative of these terms, and other similar expressions and include statements as to the estimated market opportunities for our products, and our intentions with respect to the use of the net proceeds from this offering.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statements are subject to known and unknown risks, uncertainties and assumptions that could cause actual results to differ materially from those projected or otherwise implied by the forward-looking statements, including the following: our expectations regarding our ability to expand commercialization of our Percepta and Envisia Genomic Classifiers, our expectations regarding our strategic collaboration with Johnson &amp; Johnson; the future performance and acceptance of our Afirma, Percepta and Envisia classifiers and our Afirma Xpression Atlas platform; our dependence on a few payers for reimbursements and payments of our tests and a significant portion of our revenue; the complexity, time and expense associated with billing and collecting from payers for our classifiers; our ability to increase usage of and reimbursement for the Afirma, Percepta and Envisia classifiers, as well as any future products we may develop or sell; our dependence on physicians and patients who decide whether to order and use our tests; the fluctuation of our quarterly operating results; our ability to comply with federal and state licensing requirements and other laws and regulations applicable to our business, including potential regulation by the Food and Drug Administration or other regulatory bodies; our dependence on sole suppliers for equipment and other materials used for our tests; our ability to develop and commercialize new products and the timing and speed of commercialization; the amount by which use of our products may be able to reduce invasive procedures and reduce healthcare costs; our ability to attract and retain key personnel; our ability to achieve sales penetration in complex commercial accounts; the occurrence and outcome of clinical studies; the timing and publication of study results; the applicability of clinical results to actual outcomes; the continued application of clinical guidelines to our products and their inclusion in such clinical practice guidelines; our ability to compete; our ability to obtain capital when needed, the expected use of proceeds from this offering and other statements that are not historical facts. Given these risks, uncertainties and assumptions, you should not place undue reliance on these forward-looking statements. We discuss in greater detail, and incorporate by reference into this prospectus supplement and the accompanying prospectus, many of these risks, uncertainties and assumptions see the section titled “Risk Factors.” Additional cautionary statements or discussions of risks, uncertainties and assumptions that could affect our results or the achievement of the expectations described in forward-looking statements are also contained in the documents we incorporate by reference into this prospectus supplement and the accompanying prospectus.</w:t>
      </w:r>
    </w:p>
    <w:p>
      <w:pPr>
        <w:spacing w:after="0" w:line="390"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93" w:lineRule="exact"/>
        <w:rPr>
          <w:sz w:val="20"/>
          <w:szCs w:val="20"/>
          <w:color w:val="auto"/>
        </w:rPr>
      </w:pPr>
    </w:p>
    <w:p>
      <w:pPr>
        <w:ind w:left="200" w:right="160"/>
        <w:spacing w:after="0" w:line="312" w:lineRule="auto"/>
        <w:rPr>
          <w:sz w:val="20"/>
          <w:szCs w:val="20"/>
          <w:color w:val="auto"/>
        </w:rPr>
      </w:pPr>
      <w:r>
        <w:rPr>
          <w:rFonts w:ascii="Arial" w:cs="Arial" w:eastAsia="Arial" w:hAnsi="Arial"/>
          <w:sz w:val="16"/>
          <w:szCs w:val="16"/>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80"/>
          </w:cols>
          <w:pgMar w:left="240" w:top="459" w:right="5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We estimate that the net proceeds from the sale of 5,500,000 shares of our common stock in this offering, at the public offering price of $23.25 per share will be approximately $119.8 million, after deducting the underwriting discounts and commissions and estimated offering expenses we expect to pay. If the underwriters exercise their option to purchase 825,000 additional shares in full, we estimate that our net proceeds will be approximately $137.9 million, after deducting the underwriting discounts and commissions and estimated offering expenses we expect to pay.</w:t>
      </w:r>
    </w:p>
    <w:p>
      <w:pPr>
        <w:spacing w:after="0" w:line="171"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We intend to use the net proceeds from this offering for working capital and other general corporate purposes. As a result, our management will have broad discretion in the way that we use the net proceeds and investors will be relying on our judgment regarding the application of the net proceeds of this offering. We also intend to use a portion of the net proceeds we receive from this offering to repay approximately $12.4 million of the term loan outstanding under our Loan and Security Agreement. We may also use a portion of the net proceeds from this offering to acquire or invest in complementary businesses, technologies or other assets, although we have no present commitments or agreements to do so.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7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term loan outstanding under our Loan and Security Agreement bears interest at a variable rate equal to (i) the thirty-day U.S. London Interbank Offer Rate plus (ii) 4.20%, with a minimum rate of 5.43% per annum. The effective interest rate for the outstanding balance under the Loan and Security Agreement was 9.39% as of March 31, 2019, and the maturity date of the Loan and Security Agreement is October 1, 2022. See the section of our Annual Report on Form 10-K for the year ended December 31, 2018 titled “Management’s Discussion and Analysis of Financial Condition and Results of Operations—Liquidity and Capital Resources—Loan and Security Agreement” for additional information regarding our Loan and Security Agreement.</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24"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Our net tangible book value as of March 31, 2019 was approximately $71.0 million, or $1.71 per share of our common stock. Net tangible book value per share is calculated by subtracting our total liabilities from our total tangible assets, which is total assets less intangible assets, and dividing this amount by the number of shares of our common stock outstanding.</w:t>
      </w:r>
    </w:p>
    <w:p>
      <w:pPr>
        <w:spacing w:after="0" w:line="181" w:lineRule="exact"/>
        <w:rPr>
          <w:sz w:val="20"/>
          <w:szCs w:val="20"/>
          <w:color w:val="auto"/>
        </w:rPr>
      </w:pPr>
    </w:p>
    <w:p>
      <w:pPr>
        <w:jc w:val="both"/>
        <w:ind w:left="200" w:right="100"/>
        <w:spacing w:after="0" w:line="297" w:lineRule="auto"/>
        <w:rPr>
          <w:sz w:val="20"/>
          <w:szCs w:val="20"/>
          <w:color w:val="auto"/>
        </w:rPr>
      </w:pPr>
      <w:r>
        <w:rPr>
          <w:rFonts w:ascii="Arial" w:cs="Arial" w:eastAsia="Arial" w:hAnsi="Arial"/>
          <w:sz w:val="16"/>
          <w:szCs w:val="16"/>
          <w:color w:val="auto"/>
        </w:rPr>
        <w:t>After giving effect to (i) the sale by us of 5,500,000 shares of our common stock at the public offering price of $23.25 per share, and after deducting the underwriting discounts and commissions and estimated offering expenses we expect to pay and (ii) the application of such proceeds as described in the section titled “Use of Proceeds,” our as adjusted net tangible book value as of March 31, 2019 would have been approximately $190.8 million, or $4.06 per share of our common stock. This represents an immediate increase in the net tangible book value of $2.35 per share to our existing stockholders and an immediate and substantial dilution in net tangible book value of $19.19 per share to new investors.</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per share dilution:</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Net tangible book value per share as of March 31, 2019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as adjusted net tangible book value per share attributable to new investors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5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If the underwriters exercise in full their option to purchase up to 825,000 additional shares from us at the public offering price of $23.25 per share, the as adjusted net tangible book value per share after this offering would be $4.37 per share and the dilution to new investors participating in this offering would be $18.88 per share.</w:t>
      </w:r>
    </w:p>
    <w:p>
      <w:pPr>
        <w:spacing w:after="0" w:line="1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calculations above are based on 41,509,240 shares of our common stock outstanding as of March 31, 2019. The number of shares of common stock outstanding as of March 31, 2019 excludes:</w:t>
      </w:r>
    </w:p>
    <w:p>
      <w:pPr>
        <w:spacing w:after="0" w:line="76" w:lineRule="exact"/>
        <w:rPr>
          <w:sz w:val="20"/>
          <w:szCs w:val="20"/>
          <w:color w:val="auto"/>
        </w:rPr>
      </w:pPr>
    </w:p>
    <w:p>
      <w:pPr>
        <w:ind w:left="1060" w:right="48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5,847,645 shares of our common stock issuable upon the exercise of stock options outstanding as of March 31, 2019, with a weighted-average exercise price of $9.48 per share;</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110,300 shares of our common stock issuable upon the exercise of stock options granted after March 31, 2019, with a weighted-average exercise price of $24.14 per share;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561,304 shares of common stock issuable upon the settlement of restricted stock units, or RSUs, outstanding as of March 31, 2019;</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2,141,658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229,218 shares of common stock reserved for future issuance under our Employee Stock Purchase Plan.</w:t>
      </w:r>
    </w:p>
    <w:p>
      <w:pPr>
        <w:spacing w:after="0" w:line="225"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To the extent that any outstanding stock options have been or may be exercised, RSUs are settled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to investors participating in this offering.</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or Medicare Contribution tax and does not discuss state, local, U.S. federal gift and estate tax laws, except to the limited extent provided below, or non-U.S. tax consequences that may be relevant to Non-U.S. Holders in light of their particular circumstances, nor does it address U.S. federal tax consequences other than income taxes.</w:t>
      </w:r>
    </w:p>
    <w:p>
      <w:pPr>
        <w:spacing w:after="0" w:line="173"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 Internal Revenue Code of 1986, as amended, or Code, such as:</w:t>
      </w:r>
    </w:p>
    <w:p>
      <w:pPr>
        <w:spacing w:after="0" w:line="76"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right="7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or entities that are treated as disregarded entities for U.S. federal income tax purposes (regardless of their places of organization or formation); and</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Such Non-U.S. Holders are urged to consult their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of the acquisition, ownership, and disposition of our common stock, or that any such contrary position would not be sustained by a court.</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73"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For the purposes of this discussion, a “Non-U.S. Holder” is, for U.S. federal income tax purposes, a beneficial owner of common stock that is not a U.S. Holder or a partnership for U.S. federal income tax purposes. A “U.S. Holder” means a beneficial owner of our common stock that is for U.S. federal income tax purposes (a) an individual citizen or resident of the United States (as determined under U.S. federal income tax rules),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w:t>
      </w:r>
    </w:p>
    <w:p>
      <w:pPr>
        <w:spacing w:after="0" w:line="2" w:lineRule="exact"/>
        <w:rPr>
          <w:sz w:val="20"/>
          <w:szCs w:val="20"/>
          <w:color w:val="auto"/>
        </w:rPr>
      </w:pPr>
    </w:p>
    <w:p>
      <w:pPr>
        <w:ind w:left="200" w:firstLine="4"/>
        <w:spacing w:after="0" w:line="255"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9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ownership or disposition of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do not expect to declare or make any distributions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 Gain on Disposition of our Common Stock.”</w:t>
      </w:r>
    </w:p>
    <w:p>
      <w:pPr>
        <w:spacing w:after="0" w:line="178"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us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us or our paying agent, either directly or through other intermediaries. If you are eligible for a reduced rate of U.S. federal withholding tax under an income tax treaty,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you should consult with your tax advisor to determine if you are able to obtain a refund or credit of any excess amounts withheld by timely filing an appropriate claim for a refund with the IRS.</w:t>
      </w:r>
    </w:p>
    <w:p>
      <w:pPr>
        <w:spacing w:after="0" w:line="17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79"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See also the section below entitled “— Foreign Accounts” for additional withholding rules that may apply to dividends paid to foreign financial institutions or non-financial foreign entities.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Subject to the discussion below under the sections titled “— Backup Withholding and Information Reporting” and “— Foreign Accounts,” a Non-U.S. Holder generally will not be subject to U.S. federal income tax with respect to gain realized on a sale or other disposition of our common stock unless</w:t>
      </w:r>
    </w:p>
    <w:p>
      <w:pPr>
        <w:ind w:left="200" w:firstLine="4"/>
        <w:spacing w:after="0" w:line="271" w:lineRule="auto"/>
        <w:tabs>
          <w:tab w:leader="none" w:pos="44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179" w:lineRule="exact"/>
        <w:rPr>
          <w:sz w:val="20"/>
          <w:szCs w:val="20"/>
          <w:color w:val="auto"/>
        </w:rPr>
      </w:pPr>
    </w:p>
    <w:p>
      <w:pPr>
        <w:ind w:left="200" w:right="20"/>
        <w:spacing w:after="0" w:line="268" w:lineRule="auto"/>
        <w:rPr>
          <w:sz w:val="20"/>
          <w:szCs w:val="20"/>
          <w:color w:val="auto"/>
        </w:rPr>
      </w:pPr>
      <w:r>
        <w:rPr>
          <w:rFonts w:ascii="Arial" w:cs="Arial" w:eastAsia="Arial" w:hAnsi="Arial"/>
          <w:sz w:val="17"/>
          <w:szCs w:val="17"/>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 be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tax advisors regarding the U.S. federal estate tax consequences of the ownership or disposition of our common stock.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7" w:lineRule="exact"/>
        <w:rPr>
          <w:sz w:val="20"/>
          <w:szCs w:val="20"/>
          <w:color w:val="auto"/>
        </w:rPr>
      </w:pPr>
    </w:p>
    <w:p>
      <w:pPr>
        <w:jc w:val="both"/>
        <w:ind w:left="200" w:right="60"/>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W-8ECI, as applicable, or otherwise establishes an exemption, provided that the applicable withholding agent does not have actual knowledge or reason to know the holder is a U.S. person.</w:t>
      </w:r>
    </w:p>
    <w:p>
      <w:pPr>
        <w:spacing w:after="0" w:line="18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IRS Form W-8BEN-E or IRS Form W-8ECI, as applicable,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tax advisor to determine whether you have overpaid your U.S. federal income tax, and whether you are able to obtain a tax refund or credit of the overpaid amount.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 addition to, and separately from, the withholding rules described above, U.S. federal withholding taxes at a rate of 30% may apply under the law commonly known as the Foreign Account Tax Compliance Act, or FATCA, on certain types of payments, including dividends, made to (A) a “foreign financial institution” (as defined for this purpose) unless such institution (i) is exempt from FATCA withholding pursuant to an applicable intergovernmental agreement between the jurisdiction in which it is located and the United States, (ii) enters into an agreement with the U.S. government to collect and provide to the U.S. tax authorities information regarding U.S. account holders of such institution or (iii) meets other exemptions or (B) a “non-financial foreign entity” (as defined for this purpose), unless such entity (i) is exempt from FATCA withholding pursuant to an applicable intergovernmental agreement between the jurisdiction in which it is located and the United States, (ii) provides the withholding agent with a certification identifying any “substantial U.S. owners” of the entity (as defined for this purpose), (iii) certifies that it does not have any substantial U.S. owners or (iv) meets other exemptions. Foreign financial institutions located in jurisdictions that have an intergovernmental agreement with the United States governing FATCA may be subject to different rules.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Under applicable Treasury Regulations and IRS guidance, FATCA withholding as described above currently applies to payments of dividends on our common stock. Additionally, under the applicable Treasury Regulations and administrative guidance, withholding under FATCA generally also would apply to payments of gross proceeds from the sale or other disposition of common stock on or after January 1, 2019. Under recently proposed regulations, however, no withholding will apply with respect to payments of gross proceeds. The preamble to the proposed regulations specifies that taxpayers are permitted to rely on such proposed regulations pending finalization.</w:t>
      </w:r>
    </w:p>
    <w:p>
      <w:pPr>
        <w:spacing w:after="0" w:line="173"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EACH PROSPECTIVE INVESTOR SHOULD CONSULT ITS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 (CONFLICT OF INTEREST)</w:t>
      </w:r>
    </w:p>
    <w:p>
      <w:pPr>
        <w:spacing w:after="0" w:line="22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Morgan Stanley &amp; Co. LLC and SVB Leerink LLC are acting as representatives, have severally agreed to purchase, and we have agreed to sell to them, severally, the number of shares indicated below:</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6500" w:type="dxa"/>
            <w:vAlign w:val="bottom"/>
            <w:vMerge w:val="continue"/>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SVB Leerink LLC</w:t>
            </w:r>
          </w:p>
        </w:tc>
        <w:tc>
          <w:tcPr>
            <w:tcW w:w="920" w:type="dxa"/>
            <w:vAlign w:val="bottom"/>
          </w:tcPr>
          <w:p>
            <w:pPr>
              <w:jc w:val="right"/>
              <w:spacing w:after="0"/>
              <w:rPr>
                <w:sz w:val="20"/>
                <w:szCs w:val="20"/>
                <w:color w:val="auto"/>
              </w:rPr>
            </w:pPr>
            <w:r>
              <w:rPr>
                <w:rFonts w:ascii="Arial" w:cs="Arial" w:eastAsia="Arial" w:hAnsi="Arial"/>
                <w:sz w:val="18"/>
                <w:szCs w:val="18"/>
                <w:color w:val="auto"/>
              </w:rPr>
              <w:t>2,062,500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BTIG, LLC</w:t>
            </w:r>
          </w:p>
        </w:tc>
        <w:tc>
          <w:tcPr>
            <w:tcW w:w="920" w:type="dxa"/>
            <w:vAlign w:val="bottom"/>
          </w:tcPr>
          <w:p>
            <w:pPr>
              <w:jc w:val="right"/>
              <w:spacing w:after="0"/>
              <w:rPr>
                <w:sz w:val="20"/>
                <w:szCs w:val="20"/>
                <w:color w:val="auto"/>
              </w:rPr>
            </w:pPr>
            <w:r>
              <w:rPr>
                <w:rFonts w:ascii="Arial" w:cs="Arial" w:eastAsia="Arial" w:hAnsi="Arial"/>
                <w:sz w:val="18"/>
                <w:szCs w:val="18"/>
                <w:color w:val="auto"/>
              </w:rPr>
              <w:t>275,000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78"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offering price listed on the cover page of this prospectus supplement and part to certain dealers at a price that represents a concession not in excess of $0.8370 per share under the public offering price. After the initial offering of the shares of common stock, the offering price and other selling terms may from time to time be varied by the representative.</w:t>
      </w:r>
    </w:p>
    <w:p>
      <w:pPr>
        <w:spacing w:after="0" w:line="18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supplement, to purchase up to 825,000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3"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825,000 shares of common stock.</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rPr>
              <w:t>Total</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ind w:right="378"/>
              <w:spacing w:after="0" w:line="119" w:lineRule="exact"/>
              <w:rPr>
                <w:sz w:val="20"/>
                <w:szCs w:val="20"/>
                <w:color w:val="auto"/>
              </w:rPr>
            </w:pPr>
            <w:r>
              <w:rPr>
                <w:rFonts w:ascii="Arial" w:cs="Arial" w:eastAsia="Arial" w:hAnsi="Arial"/>
                <w:sz w:val="13"/>
                <w:szCs w:val="13"/>
                <w:b w:val="1"/>
                <w:bCs w:val="1"/>
                <w:color w:val="auto"/>
              </w:rPr>
              <w:t>No</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Share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78"/>
              <w:spacing w:after="0"/>
              <w:rPr>
                <w:sz w:val="20"/>
                <w:szCs w:val="20"/>
                <w:color w:val="auto"/>
              </w:rPr>
            </w:pPr>
            <w:r>
              <w:rPr>
                <w:rFonts w:ascii="Arial" w:cs="Arial" w:eastAsia="Arial" w:hAnsi="Arial"/>
                <w:sz w:val="14"/>
                <w:szCs w:val="14"/>
                <w:b w:val="1"/>
                <w:bCs w:val="1"/>
                <w:color w:val="auto"/>
              </w:rPr>
              <w:t>Exercise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23.250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127,875,000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147,056,250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1.395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7,672,500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8,823,375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120,202,500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138,232,875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$365,000. We have agreed to reimburse the underwriters for expense relating to clearance of this offering with FINRA up to $15,000.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has been approved for quotation on the Nasdaq Global Market under the trading symbol “VCYT.”</w:t>
      </w:r>
    </w:p>
    <w:p>
      <w:pPr>
        <w:spacing w:after="0" w:line="22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We, and our executive officers and directors, and certain stockholders affiliated with our executive officers and directors, have agreed not to sell or transfer any common stock or securities convertible into or exchangeable or exercisable for common stock, for 90 days after the date of this prospectus supplement without first obtaining the written consent of Morgan Stanley &amp; Co. LLC and SVB Leerink LLC on behalf of the underwriters. Specifically, we and these other persons have agreed, with certain limited exceptions including sales pursuant to existing 10b5-1 trading plans, not to directly or indirectly:</w:t>
      </w:r>
    </w:p>
    <w:p>
      <w:pPr>
        <w:spacing w:after="0" w:line="94"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w:t>
      </w:r>
    </w:p>
    <w:p>
      <w:pPr>
        <w:spacing w:after="0" w:line="130"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any common stock, whether any such swap or transaction is to be settled by delivery of shares of common stock or other securities, in cash or otherwise.</w:t>
      </w:r>
    </w:p>
    <w:p>
      <w:pPr>
        <w:spacing w:after="0" w:line="181" w:lineRule="exact"/>
        <w:rPr>
          <w:sz w:val="20"/>
          <w:szCs w:val="20"/>
          <w:color w:val="auto"/>
        </w:rPr>
      </w:pPr>
    </w:p>
    <w:p>
      <w:pPr>
        <w:jc w:val="both"/>
        <w:ind w:left="200" w:right="220"/>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 Morgan Stanley &amp; Co. LLC and SVB Leerink LLC, in their sole discretion, may release the common stock and other securities subject to the lock-up agreements described above in whole or in part at any time.</w:t>
      </w:r>
    </w:p>
    <w:p>
      <w:pPr>
        <w:spacing w:after="0" w:line="18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87"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3"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Affiliates of SVB Leerink LLC, an underwriter in this offering, will receive at least 5% of the net proceeds of this offering in connection with the repayment of approximately $12.4 million of the term loan outstanding under our Loan and Security Agreement. Therefore, SVB Leerink LLC is deemed to have a “conflict of interest” under FINRA Rule 5121. Accordingly, this offering is being made in compliance with the requirements of Rule 5121. The appointment of a “qualified independent underwriter” is not required in connection with this offering as a “bona fide public market,” as defined in Rule 5121, exists for our common stock. In accordance with Rule 5121, SVB Leerink LLC will not confirm any sales to any account over which it exercises discretionary authority without the specific written approval of the transaction from the account holder. See “Use of Proceeds.”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9"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17"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Any person offering, selling or recommending the shares (each, a distributor) should take into consideration the manufacturers’ target market assessment; however, a distributor subject to MiFID II is responsible for undertaking its own target market assessment in respect of the shares (by either adopting or refining the manufacturers’ target market assessment) and determining appropriate distribution channels.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100" w:hanging="424"/>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17"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Neither this prospectus supplement nor any other offering material relating to the shares described in this prospectus supplement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supplement nor any other offering material relating to the shares has been or will be:</w:t>
      </w:r>
    </w:p>
    <w:p>
      <w:pPr>
        <w:spacing w:after="0" w:line="60"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1060" w:right="4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qualified investors (investisseurs qualifiés) 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1060" w:right="260" w:hanging="316"/>
        <w:spacing w:after="0" w:line="31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investment services providers authorized to engage in portfolio management on behalf of third parties; or 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4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The shares may not be offered or sold in Hong Kong by means of any document other than (1) in circumstances which do not constitute an offer to the public within the meaning of the Companies Ordinance (Cap. 32, Laws of Hong Kong), (2) to “professional investors” within the meaning of the Securities and Futures Ordinance (Cap. 571, Laws of Hong Kong) and any rules made thereunder, or (3)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24"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This prospectus supplement and the accompanying prospectuses have not been registered as a prospectus with the Monetary Authority of Singapore. Accordingly, this prospectus supplement and the accompanying prospectuses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pursuant to Section 275(1),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60" w:right="180" w:hanging="316"/>
        <w:spacing w:after="0" w:line="308"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hanging="316"/>
        <w:spacing w:after="0" w:line="25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2" w:lineRule="exact"/>
        <w:rPr>
          <w:rFonts w:ascii="Arial" w:cs="Arial" w:eastAsia="Arial" w:hAnsi="Arial"/>
          <w:sz w:val="18"/>
          <w:szCs w:val="18"/>
          <w:color w:val="auto"/>
        </w:rPr>
      </w:pPr>
    </w:p>
    <w:p>
      <w:pPr>
        <w:ind w:left="1060" w:right="60" w:hanging="316"/>
        <w:spacing w:after="0" w:line="27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77" w:lineRule="exact"/>
        <w:rPr>
          <w:rFonts w:ascii="Arial" w:cs="Arial" w:eastAsia="Arial" w:hAnsi="Arial"/>
          <w:sz w:val="17"/>
          <w:szCs w:val="17"/>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the common stock has been or will be lodged with the Australian Securities &amp;</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Investments Commission, or ASIC. This document has not been lodged with ASIC and is only directed to certain categories of exempt persons.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Accordingly, if you receive this document in Australia:</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confirm and warrant that you are either:</w:t>
      </w:r>
    </w:p>
    <w:p>
      <w:pPr>
        <w:spacing w:after="0" w:line="131"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30"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30"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86"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validity of the shares of common stock being offered hereby will be passed upon for us by Fenwick &amp; West LLP, San Francisco, California. Certain legal matters in connection with this offering will be passed upon for the underwriters by Latham &amp; Watkins LLP.</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2018, and the effectiveness of our internal control over financial reporting as of December 31, 2018,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have filed a registration statement on Form S-3 with the SEC under the Securities Act.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The SEC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prospectus, and any references to this website or any other website are inactive textual references only.</w:t>
      </w:r>
    </w:p>
    <w:p>
      <w:pPr>
        <w:spacing w:after="0" w:line="178"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73" w:lineRule="exact"/>
        <w:rPr>
          <w:sz w:val="20"/>
          <w:szCs w:val="20"/>
          <w:color w:val="auto"/>
        </w:rPr>
      </w:pPr>
    </w:p>
    <w:p>
      <w:pPr>
        <w:ind w:left="1060" w:right="18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2018, filed with the SEC on February 25, 2019, including certain information incorporated by reference therein from our </w:t>
      </w:r>
      <w:hyperlink r:id="rId45">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2019 annual meeting of stockholders filed with the SEC on April 24, 2019;</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Quarterly Reports on </w:t>
      </w:r>
      <w:hyperlink r:id="rId46">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April 30, 2019;</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47">
        <w:r>
          <w:rPr>
            <w:rFonts w:ascii="Arial" w:cs="Arial" w:eastAsia="Arial" w:hAnsi="Arial"/>
            <w:sz w:val="18"/>
            <w:szCs w:val="18"/>
            <w:u w:val="single" w:color="auto"/>
            <w:color w:val="0000EE"/>
          </w:rPr>
          <w:t>January 3, 2019</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February 26,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9">
        <w:r>
          <w:rPr>
            <w:rFonts w:ascii="Arial" w:cs="Arial" w:eastAsia="Arial" w:hAnsi="Arial"/>
            <w:sz w:val="18"/>
            <w:szCs w:val="18"/>
            <w:u w:val="single" w:color="auto"/>
            <w:color w:val="0000EE"/>
          </w:rPr>
          <w:t>April 26, 2019</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60" w:right="340" w:hanging="316"/>
        <w:spacing w:after="0" w:line="308"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50">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October 28, 2013 under Section 12 of the Exchange Act, including any amendment or report filed for the purpose of updating such description.</w:t>
      </w:r>
    </w:p>
    <w:p>
      <w:pPr>
        <w:spacing w:after="0" w:line="147" w:lineRule="exact"/>
        <w:rPr>
          <w:rFonts w:ascii="Arial" w:cs="Arial" w:eastAsia="Arial" w:hAnsi="Arial"/>
          <w:sz w:val="18"/>
          <w:szCs w:val="18"/>
          <w:color w:val="auto"/>
        </w:rPr>
      </w:pPr>
    </w:p>
    <w:p>
      <w:pPr>
        <w:ind w:left="200" w:right="20"/>
        <w:spacing w:after="0" w:line="277" w:lineRule="auto"/>
        <w:rPr>
          <w:sz w:val="20"/>
          <w:szCs w:val="20"/>
          <w:color w:val="auto"/>
        </w:rPr>
      </w:pPr>
      <w:r>
        <w:rPr>
          <w:rFonts w:ascii="Arial" w:cs="Arial" w:eastAsia="Arial" w:hAnsi="Arial"/>
          <w:sz w:val="18"/>
          <w:szCs w:val="18"/>
          <w:color w:val="auto"/>
        </w:rPr>
        <w:t>We also incorporate by reference all additional documents that we file with the SEC under the terms of Section 13(a), 13(c), 14 or 15(d) of the Exchange Act that are made after the initial filing date of the registration</w:t>
      </w:r>
    </w:p>
    <w:p>
      <w:pPr>
        <w:spacing w:after="0" w:line="10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8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and (650) 243-6300. We will not, however, send exhibits to those documents, unless the exhibits are specifically incorporated by reference in those documents.</w:t>
      </w:r>
    </w:p>
    <w:p>
      <w:pPr>
        <w:spacing w:after="0" w:line="187"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40"/>
          </w:cols>
          <w:pgMar w:left="24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172085</wp:posOffset>
            </wp:positionV>
            <wp:extent cx="1920875" cy="1389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92087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43"/>
          <w:szCs w:val="43"/>
          <w:b w:val="1"/>
          <w:bCs w:val="1"/>
          <w:color w:val="auto"/>
        </w:rPr>
        <w:t>VERACYTE, INC.</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Debt Securities, Warrants,</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157480</wp:posOffset>
            </wp:positionV>
            <wp:extent cx="14662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46"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7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160655</wp:posOffset>
            </wp:positionV>
            <wp:extent cx="14662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7" w:lineRule="exact"/>
        <w:rPr>
          <w:sz w:val="20"/>
          <w:szCs w:val="20"/>
          <w:color w:val="auto"/>
        </w:rPr>
      </w:pPr>
    </w:p>
    <w:p>
      <w:pPr>
        <w:ind w:left="200" w:right="100" w:firstLine="441"/>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risks. See the section entitled “</w:t>
      </w:r>
      <w:hyperlink w:anchor="page36">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4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14.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115570</wp:posOffset>
            </wp:positionV>
            <wp:extent cx="1466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5" w:lineRule="exact"/>
        <w:rPr>
          <w:sz w:val="20"/>
          <w:szCs w:val="20"/>
          <w:color w:val="auto"/>
        </w:rPr>
      </w:pPr>
    </w:p>
    <w:p>
      <w:pPr>
        <w:ind w:left="200" w:right="28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116840</wp:posOffset>
            </wp:positionV>
            <wp:extent cx="1466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date of this prospectus is May 2, 2019.</w:t>
      </w:r>
    </w:p>
    <w:p>
      <w:pPr>
        <w:sectPr>
          <w:pgSz w:w="11900" w:h="16838" w:orient="portrait"/>
          <w:cols w:equalWidth="0" w:num="1">
            <w:col w:w="11140"/>
          </w:cols>
          <w:pgMar w:left="240" w:top="459" w:right="5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8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360" w:type="dxa"/>
            <w:vAlign w:val="bottom"/>
            <w:tcBorders>
              <w:bottom w:val="single" w:sz="8" w:color="0000EE"/>
            </w:tcBorders>
            <w:gridSpan w:val="9"/>
          </w:tcPr>
          <w:p>
            <w:pPr>
              <w:spacing w:after="0"/>
              <w:rPr>
                <w:rFonts w:ascii="Arial" w:cs="Arial" w:eastAsia="Arial" w:hAnsi="Arial"/>
                <w:sz w:val="18"/>
                <w:szCs w:val="18"/>
                <w:b w:val="1"/>
                <w:bCs w:val="1"/>
                <w:color w:val="0000EE"/>
                <w:w w:val="97"/>
              </w:rPr>
            </w:pPr>
            <w:hyperlink w:anchor="page33">
              <w:r>
                <w:rPr>
                  <w:rFonts w:ascii="Arial" w:cs="Arial" w:eastAsia="Arial" w:hAnsi="Arial"/>
                  <w:sz w:val="18"/>
                  <w:szCs w:val="18"/>
                  <w:b w:val="1"/>
                  <w:bCs w:val="1"/>
                  <w:color w:val="0000EE"/>
                  <w:w w:val="97"/>
                </w:rPr>
                <w:t>ABOUT THIS PROSPECTUS</w:t>
              </w:r>
            </w:hyperlink>
          </w:p>
        </w:tc>
        <w:tc>
          <w:tcPr>
            <w:tcW w:w="6280" w:type="dxa"/>
            <w:vAlign w:val="bottom"/>
            <w:gridSpan w:val="11"/>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PROSPECTUS SUMMARY</w:t>
              </w:r>
            </w:hyperlink>
          </w:p>
        </w:tc>
        <w:tc>
          <w:tcPr>
            <w:tcW w:w="644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36">
              <w:r>
                <w:rPr>
                  <w:rFonts w:ascii="Arial" w:cs="Arial" w:eastAsia="Arial" w:hAnsi="Arial"/>
                  <w:sz w:val="18"/>
                  <w:szCs w:val="18"/>
                  <w:b w:val="1"/>
                  <w:bCs w:val="1"/>
                  <w:color w:val="0000EE"/>
                  <w:w w:val="97"/>
                </w:rPr>
                <w:t>RISK FACTORS</w:t>
              </w:r>
            </w:hyperlink>
          </w:p>
        </w:tc>
        <w:tc>
          <w:tcPr>
            <w:tcW w:w="730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31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FORWARD-LOOKING STATEMENTS</w:t>
              </w:r>
            </w:hyperlink>
          </w:p>
        </w:tc>
        <w:tc>
          <w:tcPr>
            <w:tcW w:w="552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37">
              <w:r>
                <w:rPr>
                  <w:rFonts w:ascii="Arial" w:cs="Arial" w:eastAsia="Arial" w:hAnsi="Arial"/>
                  <w:sz w:val="18"/>
                  <w:szCs w:val="18"/>
                  <w:b w:val="1"/>
                  <w:bCs w:val="1"/>
                  <w:color w:val="0000EE"/>
                  <w:w w:val="95"/>
                </w:rPr>
                <w:t>USE OF PROCEEDS</w:t>
              </w:r>
            </w:hyperlink>
          </w:p>
        </w:tc>
        <w:tc>
          <w:tcPr>
            <w:tcW w:w="696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25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SECURITIES WE MAY OFFER</w:t>
              </w:r>
            </w:hyperlink>
          </w:p>
        </w:tc>
        <w:tc>
          <w:tcPr>
            <w:tcW w:w="608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COMMON STOCK</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DESCRIPTION OF PREFERRED STOCK</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DESCRIPTION OF DEBT SECURITIES</w:t>
              </w:r>
            </w:hyperlink>
          </w:p>
        </w:tc>
        <w:tc>
          <w:tcPr>
            <w:tcW w:w="140" w:type="dxa"/>
            <w:vAlign w:val="bottom"/>
            <w:tcBorders>
              <w:top w:val="single" w:sz="8" w:color="0000EE"/>
            </w:tcBorders>
          </w:tcPr>
          <w:p>
            <w:pPr>
              <w:spacing w:after="0"/>
              <w:rPr>
                <w:sz w:val="17"/>
                <w:szCs w:val="17"/>
                <w:color w:val="auto"/>
              </w:rPr>
            </w:pPr>
          </w:p>
        </w:tc>
        <w:tc>
          <w:tcPr>
            <w:tcW w:w="528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DESCRIPTION OF WARRANTS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DESCRIPTION OF SUBSCRIPTION RIGHTS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368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DESCRIPTION OF UNITS</w:t>
              </w:r>
            </w:hyperlink>
          </w:p>
        </w:tc>
        <w:tc>
          <w:tcPr>
            <w:tcW w:w="49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SELLING SECURITYHOLDERS</w:t>
              </w:r>
            </w:hyperlink>
          </w:p>
        </w:tc>
        <w:tc>
          <w:tcPr>
            <w:tcW w:w="59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PLAN OF DISTRIBUTION</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3"/>
          </w:tcPr>
          <w:p>
            <w:pPr>
              <w:spacing w:after="0"/>
              <w:rPr>
                <w:sz w:val="17"/>
                <w:szCs w:val="17"/>
                <w:color w:val="auto"/>
              </w:rPr>
            </w:pPr>
          </w:p>
        </w:tc>
        <w:tc>
          <w:tcPr>
            <w:tcW w:w="648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EXPERTS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2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WHERE YOU CAN FIND MORE INFORMATION</w:t>
              </w:r>
            </w:hyperlink>
          </w:p>
        </w:tc>
        <w:tc>
          <w:tcPr>
            <w:tcW w:w="46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INCORPORATION OF INFORMATION BY REFERENCE</w:t>
              </w:r>
            </w:hyperlink>
          </w:p>
        </w:tc>
        <w:tc>
          <w:tcPr>
            <w:tcW w:w="396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bl>
    <w:p>
      <w:pPr>
        <w:jc w:val="right"/>
        <w:spacing w:after="0" w:line="196"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auto"/>
        </w:rPr>
        <w:t>This prospectus is part of an automatic registration statement on Form S-3 that we filed with the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8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6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We are a leading genomic diagnostics company that is creating value through innovation. We were founded in 2008 with a mission to improve diagnostic accuracy. Today, through our innovative scientific platform which utilizes ribonucleic acid, or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7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have commercialized five leading, first-to-market tests that we believe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use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cancer indications, diagnosis can be ambiguous in 15% to 70% of cases.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date, we have commercialized five genomic tests that we believe are changing disease diagnosis:</w:t>
      </w:r>
    </w:p>
    <w:p>
      <w:pPr>
        <w:spacing w:after="0" w:line="131"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Afirma Genomic Sequencing Classifier, or GSC, for thyroid cancer;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Afirma Gene Expression Classifier, which was the Afirma GSC’s predecessor;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Percepta Bronchial Genomic Classifier for lung cancer;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Envisia Genomic Classifier for IPF; and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Afirma Xpression Atlas, which provides information on the most common and emerging gene alterations associated with thyroid cancer, enabling physicians to confidently tailor surgical and treatment decisions at time of diagnosis.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Collectively, we believe the four tests we are currently offering address a $2 billion global market opportunity.</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We continue to build upon our extensive library of clinical evidence.</w:t>
      </w:r>
    </w:p>
    <w:p>
      <w:pPr>
        <w:spacing w:after="0" w:line="187"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Afirma genomic classifier is now covered by every major health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plan in the United States, which collectively insure more than 275 million people, for use in thyroid cancer diagnosis. We are now contracted as an in-network 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March 31, 2019,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6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9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Unless otherwise indicated in the prospectus supplement, we will not receive any of the proceeds from any sale of our common stock by selling securityholders.</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5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7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have 125,000,000 shares of authorized common stock. As of March 31, 2019, there were 41,509,240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Our restated certificate of incorporation and amended and restated bylaws include provisions that:</w:t>
      </w:r>
    </w:p>
    <w:p>
      <w:pPr>
        <w:spacing w:after="0" w:line="142"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060" w:right="4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24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142" w:lineRule="exact"/>
        <w:rPr>
          <w:rFonts w:ascii="Arial" w:cs="Arial" w:eastAsia="Arial" w:hAnsi="Arial"/>
          <w:sz w:val="17"/>
          <w:szCs w:val="17"/>
          <w:color w:val="auto"/>
        </w:rPr>
      </w:pPr>
    </w:p>
    <w:p>
      <w:pPr>
        <w:ind w:left="1060" w:hanging="316"/>
        <w:spacing w:after="0" w:line="25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060" w:right="640" w:hanging="316"/>
        <w:spacing w:after="0" w:line="308"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31"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60" w:right="10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As of March 31, 2019,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7"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130" w:lineRule="exact"/>
        <w:rPr>
          <w:rFonts w:ascii="Arial" w:cs="Arial" w:eastAsia="Arial" w:hAnsi="Arial"/>
          <w:sz w:val="18"/>
          <w:szCs w:val="18"/>
          <w:color w:val="auto"/>
        </w:rPr>
      </w:pPr>
    </w:p>
    <w:p>
      <w:pPr>
        <w:ind w:left="1060" w:right="320" w:hanging="316"/>
        <w:spacing w:after="0" w:line="34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and conditions of a sinking or purchase fund for the purchase or redemption of shares of the series, if such a fund is provided;</w:t>
      </w:r>
    </w:p>
    <w:p>
      <w:pPr>
        <w:spacing w:after="0" w:line="153" w:lineRule="exact"/>
        <w:rPr>
          <w:rFonts w:ascii="Arial" w:cs="Arial" w:eastAsia="Arial" w:hAnsi="Arial"/>
          <w:sz w:val="16"/>
          <w:szCs w:val="16"/>
          <w:color w:val="auto"/>
        </w:rPr>
      </w:pPr>
    </w:p>
    <w:p>
      <w:pPr>
        <w:ind w:left="1060" w:right="64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240" w:top="459" w:right="5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78"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5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76"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6" w:lineRule="exact"/>
        <w:rPr>
          <w:rFonts w:ascii="Arial" w:cs="Arial" w:eastAsia="Arial" w:hAnsi="Arial"/>
          <w:sz w:val="18"/>
          <w:szCs w:val="18"/>
          <w:color w:val="auto"/>
        </w:rPr>
      </w:pPr>
    </w:p>
    <w:p>
      <w:pPr>
        <w:ind w:left="1060" w:right="40" w:hanging="316"/>
        <w:spacing w:after="0" w:line="342"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20" w:hanging="316"/>
        <w:spacing w:after="0" w:line="342"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29"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subordinate in right and priority of payment to our other debt;</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 if other than denominations of $1,000 or any integral multiple of that number;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75" w:lineRule="exact"/>
        <w:rPr>
          <w:rFonts w:ascii="Arial" w:cs="Arial" w:eastAsia="Arial" w:hAnsi="Arial"/>
          <w:sz w:val="18"/>
          <w:szCs w:val="18"/>
          <w:color w:val="auto"/>
        </w:rPr>
      </w:pPr>
    </w:p>
    <w:p>
      <w:pPr>
        <w:ind w:left="1060" w:right="260" w:hanging="316"/>
        <w:spacing w:after="0" w:line="259"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addition to or change in the covenants and/or the acceleration provisions described in this prospectus or in the indenture;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assets or the incurrence by us of indebtedness. We will describe in the applicable prospectus supplement any material covenants in respect of a series of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200" w:right="620" w:firstLine="441"/>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29"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8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76"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30"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1"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30"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for the reasonable expenses and liabilities that may be incurred by bringing the action;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94" w:lineRule="exact"/>
        <w:rPr>
          <w:sz w:val="20"/>
          <w:szCs w:val="20"/>
          <w:color w:val="auto"/>
        </w:rPr>
      </w:pPr>
    </w:p>
    <w:p>
      <w:pPr>
        <w:jc w:val="both"/>
        <w:ind w:left="1060" w:right="60" w:hanging="316"/>
        <w:spacing w:after="0" w:line="264"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6"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81"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30"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hanging="316"/>
        <w:spacing w:after="0" w:line="264"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8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0"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7"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default in the payment of, any premium and any interest on, or principal of, any such debt security held by a nonconsenting holder; or</w:t>
      </w:r>
    </w:p>
    <w:p>
      <w:pPr>
        <w:spacing w:after="0" w:line="142" w:lineRule="exact"/>
        <w:rPr>
          <w:rFonts w:ascii="Arial" w:cs="Arial" w:eastAsia="Arial" w:hAnsi="Arial"/>
          <w:sz w:val="17"/>
          <w:szCs w:val="17"/>
          <w:color w:val="auto"/>
        </w:rPr>
      </w:pPr>
    </w:p>
    <w:p>
      <w:pPr>
        <w:ind w:left="1060" w:right="4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73"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76"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30" w:lineRule="exact"/>
        <w:rPr>
          <w:rFonts w:ascii="Arial" w:cs="Arial" w:eastAsia="Arial" w:hAnsi="Arial"/>
          <w:sz w:val="18"/>
          <w:szCs w:val="18"/>
          <w:color w:val="auto"/>
        </w:rPr>
      </w:pPr>
    </w:p>
    <w:p>
      <w:pPr>
        <w:ind w:left="5620" w:right="3320" w:hanging="4876"/>
        <w:spacing w:after="0" w:line="449" w:lineRule="auto"/>
        <w:tabs>
          <w:tab w:leader="none" w:pos="10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 14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7" w:lineRule="exact"/>
        <w:rPr>
          <w:sz w:val="20"/>
          <w:szCs w:val="20"/>
          <w:color w:val="auto"/>
        </w:rPr>
      </w:pPr>
    </w:p>
    <w:p>
      <w:pPr>
        <w:ind w:left="1060" w:right="320" w:hanging="316"/>
        <w:spacing w:after="0" w:line="342"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29" w:lineRule="exact"/>
        <w:rPr>
          <w:rFonts w:ascii="Arial" w:cs="Arial" w:eastAsia="Arial" w:hAnsi="Arial"/>
          <w:sz w:val="16"/>
          <w:szCs w:val="16"/>
          <w:color w:val="auto"/>
        </w:rPr>
      </w:pPr>
    </w:p>
    <w:p>
      <w:pPr>
        <w:ind w:left="1060" w:right="240" w:hanging="316"/>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dealers, underwriters, or agents participating in the distribution of the debt securities will designate the accounts to be credited; and</w:t>
      </w:r>
    </w:p>
    <w:p>
      <w:pPr>
        <w:spacing w:after="0" w:line="142" w:lineRule="exact"/>
        <w:rPr>
          <w:rFonts w:ascii="Arial" w:cs="Arial" w:eastAsia="Arial" w:hAnsi="Arial"/>
          <w:sz w:val="17"/>
          <w:szCs w:val="17"/>
          <w:color w:val="auto"/>
        </w:rPr>
      </w:pPr>
    </w:p>
    <w:p>
      <w:pPr>
        <w:ind w:left="1060" w:right="80" w:hanging="316"/>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70"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7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8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200" w:right="220" w:firstLine="441"/>
        <w:spacing w:after="0" w:line="272" w:lineRule="auto"/>
        <w:rPr>
          <w:sz w:val="20"/>
          <w:szCs w:val="20"/>
          <w:color w:val="auto"/>
        </w:rPr>
      </w:pPr>
      <w:r>
        <w:rPr>
          <w:rFonts w:ascii="Arial" w:cs="Arial" w:eastAsia="Arial" w:hAnsi="Arial"/>
          <w:sz w:val="17"/>
          <w:szCs w:val="17"/>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7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93"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76"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153" w:lineRule="exact"/>
        <w:rPr>
          <w:rFonts w:ascii="Arial" w:cs="Arial" w:eastAsia="Arial" w:hAnsi="Arial"/>
          <w:sz w:val="16"/>
          <w:szCs w:val="16"/>
          <w:color w:val="auto"/>
        </w:rPr>
      </w:pPr>
    </w:p>
    <w:p>
      <w:pPr>
        <w:ind w:left="1060" w:right="32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75" w:lineRule="exact"/>
        <w:rPr>
          <w:rFonts w:ascii="Arial" w:cs="Arial" w:eastAsia="Arial" w:hAnsi="Arial"/>
          <w:sz w:val="18"/>
          <w:szCs w:val="18"/>
          <w:color w:val="auto"/>
        </w:rPr>
      </w:pPr>
    </w:p>
    <w:p>
      <w:pPr>
        <w:ind w:left="1060" w:right="74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preferred stock or debt securities will be separately transferable;</w:t>
      </w:r>
    </w:p>
    <w:p>
      <w:pPr>
        <w:spacing w:after="0" w:line="75"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at which each share of common stock, preferred stock or debt securities purchasable upon exercise of the warrants may be purchased;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87"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459"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71" w:lineRule="exact"/>
        <w:rPr>
          <w:sz w:val="20"/>
          <w:szCs w:val="20"/>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or the selling securityholders from the sale;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5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7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The validity of any securities offered by this prospectus will be passed upon for us by Fenwick &amp; West LLP, San Francisco and Mountain View, California. Counsel representing any underwriters, dealers or agents will be named in the applicable prospectus supplement.</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2018, and the effectiveness of our internal control over financial reporting as of December 31, 2018,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9"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February 25, 2019;</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45">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which was filed with the SEC on April 24, 2019;</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6">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April 30, 2019;</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47">
        <w:r>
          <w:rPr>
            <w:rFonts w:ascii="Arial" w:cs="Arial" w:eastAsia="Arial" w:hAnsi="Arial"/>
            <w:sz w:val="18"/>
            <w:szCs w:val="18"/>
            <w:u w:val="single" w:color="auto"/>
            <w:color w:val="0000EE"/>
          </w:rPr>
          <w:t>January 3, 2019</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February 26</w:t>
        </w:r>
      </w:hyperlink>
      <w:r>
        <w:rPr>
          <w:rFonts w:ascii="Arial" w:cs="Arial" w:eastAsia="Arial" w:hAnsi="Arial"/>
          <w:sz w:val="18"/>
          <w:szCs w:val="18"/>
          <w:color w:val="auto"/>
        </w:rPr>
        <w:t xml:space="preserve">, 2019 and </w:t>
      </w:r>
      <w:hyperlink r:id="rId49">
        <w:r>
          <w:rPr>
            <w:rFonts w:ascii="Arial" w:cs="Arial" w:eastAsia="Arial" w:hAnsi="Arial"/>
            <w:sz w:val="18"/>
            <w:szCs w:val="18"/>
            <w:u w:val="single" w:color="auto"/>
            <w:color w:val="0000EE"/>
          </w:rPr>
          <w:t>April 26, 2019</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October 28, 2013, including any amendment or report filed for the purpose of updating such description.</w:t>
      </w:r>
    </w:p>
    <w:p>
      <w:pPr>
        <w:spacing w:after="0" w:line="170" w:lineRule="exact"/>
        <w:rPr>
          <w:rFonts w:ascii="Arial" w:cs="Arial" w:eastAsia="Arial" w:hAnsi="Arial"/>
          <w:sz w:val="18"/>
          <w:szCs w:val="18"/>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66" w:lineRule="exact"/>
        <w:rPr>
          <w:rFonts w:ascii="Arial" w:cs="Arial" w:eastAsia="Arial" w:hAnsi="Arial"/>
          <w:sz w:val="18"/>
          <w:szCs w:val="18"/>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11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282575</wp:posOffset>
            </wp:positionV>
            <wp:extent cx="6997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5,500,000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832485</wp:posOffset>
            </wp:positionV>
            <wp:extent cx="1920875" cy="13893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192087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869950</wp:posOffset>
            </wp:positionV>
            <wp:extent cx="14662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0" w:lineRule="exact"/>
        <w:rPr>
          <w:sz w:val="20"/>
          <w:szCs w:val="20"/>
          <w:color w:val="auto"/>
        </w:rPr>
      </w:pPr>
    </w:p>
    <w:p>
      <w:pPr>
        <w:sectPr>
          <w:pgSz w:w="11900" w:h="16838" w:orient="portrait"/>
          <w:cols w:equalWidth="0" w:num="2">
            <w:col w:w="8900" w:space="720"/>
            <w:col w:w="1600"/>
          </w:cols>
          <w:pgMar w:left="240" w:top="459" w:right="439" w:bottom="1440" w:gutter="0" w:footer="0" w:header="0"/>
          <w:type w:val="continuous"/>
        </w:sectPr>
      </w:pPr>
    </w:p>
    <w:p>
      <w:pPr>
        <w:spacing w:after="0" w:line="52" w:lineRule="exact"/>
        <w:rPr>
          <w:sz w:val="20"/>
          <w:szCs w:val="20"/>
          <w:color w:val="auto"/>
        </w:rPr>
      </w:pPr>
    </w:p>
    <w:p>
      <w:pPr>
        <w:jc w:val="center"/>
        <w:ind w:right="-219"/>
        <w:spacing w:after="0"/>
        <w:rPr>
          <w:sz w:val="20"/>
          <w:szCs w:val="20"/>
          <w:color w:val="auto"/>
        </w:rPr>
      </w:pPr>
      <w:r>
        <w:rPr>
          <w:rFonts w:ascii="Arial" w:cs="Arial" w:eastAsia="Arial" w:hAnsi="Arial"/>
          <w:sz w:val="24"/>
          <w:szCs w:val="24"/>
          <w:b w:val="1"/>
          <w:bCs w:val="1"/>
          <w:color w:val="auto"/>
        </w:rPr>
        <w:t>William Blair</w:t>
      </w:r>
    </w:p>
    <w:p>
      <w:pPr>
        <w:sectPr>
          <w:pgSz w:w="11900" w:h="16838" w:orient="portrait"/>
          <w:cols w:equalWidth="0" w:num="1">
            <w:col w:w="11220"/>
          </w:cols>
          <w:pgMar w:left="240" w:top="459" w:right="439" w:bottom="1440" w:gutter="0" w:footer="0" w:header="0"/>
          <w:type w:val="continuous"/>
        </w:sect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BTIG</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Janney Montgomery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882015</wp:posOffset>
            </wp:positionV>
            <wp:extent cx="14662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060" w:space="720"/>
            <w:col w:w="24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May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529590</wp:posOffset>
            </wp:positionV>
            <wp:extent cx="699770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upperLetter"/>
      <w:start w:val="1"/>
    </w:lvl>
  </w:abstractNum>
  <w:abstractNum w:abstractNumId="11">
    <w:nsid w:val="B03E0C6"/>
    <w:multiLevelType w:val="hybridMultilevel"/>
    <w:lvl w:ilvl="0">
      <w:lvlJc w:val="left"/>
      <w:lvlText w:val="%1."/>
      <w:numFmt w:val="upperLetter"/>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jpe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jpe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44" Type="http://schemas.openxmlformats.org/officeDocument/2006/relationships/hyperlink" Target="http://www.sec.gov/Archives/edgar/data/1384101/000138410119000010/vcyt-12312018x10k.htm" TargetMode="External"/><Relationship Id="rId45" Type="http://schemas.openxmlformats.org/officeDocument/2006/relationships/hyperlink" Target="http://www.sec.gov/Archives/edgar/data/1384101/000138410119000038/vcyt-proxy2019xdef14a.htm" TargetMode="External"/><Relationship Id="rId46" Type="http://schemas.openxmlformats.org/officeDocument/2006/relationships/hyperlink" Target="http://www.sec.gov/Archives/edgar/data/1384101/000138410119000046/vcyt-03312019x10q.htm" TargetMode="External"/><Relationship Id="rId47" Type="http://schemas.openxmlformats.org/officeDocument/2006/relationships/hyperlink" Target="http://www.sec.gov/Archives/edgar/data/1384101/000138410119000002/materialagreement8-k.htm" TargetMode="External"/><Relationship Id="rId48" Type="http://schemas.openxmlformats.org/officeDocument/2006/relationships/hyperlink" Target="http://www.sec.gov/Archives/edgar/data/1384101/000138410119000014/form8-k2x25x19compensation.htm" TargetMode="External"/><Relationship Id="rId49" Type="http://schemas.openxmlformats.org/officeDocument/2006/relationships/hyperlink" Target="http://www.sec.gov/Archives/edgar/data/1384101/000138410119000042/vcyt-0422198xkitem502.htm" TargetMode="External"/><Relationship Id="rId50" Type="http://schemas.openxmlformats.org/officeDocument/2006/relationships/hyperlink" Target="http://www.sec.gov/Archives/edgar/data/1384101/000110465913078343/a13-16266_15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2019-12-21T01:29:49Z</dcterms:created>
  <dcterms:modified xsi:type="dcterms:W3CDTF">2019-12-21T01:29:49Z</dcterms:modified>
</cp:coreProperties>
</file>