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1246505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 March 19, 2021</w:t>
            </w:r>
          </w:p>
        </w:tc>
        <w:tc>
          <w:tcPr>
            <w:tcW w:w="2340" w:type="dxa"/>
            <w:vAlign w:val="bottom"/>
          </w:tcPr>
          <w:p>
            <w:pPr>
              <w:spacing w:after="0"/>
              <w:rPr>
                <w:sz w:val="20"/>
                <w:szCs w:val="20"/>
                <w:color w:val="auto"/>
              </w:rPr>
            </w:pPr>
          </w:p>
        </w:tc>
      </w:tr>
      <w:tr>
        <w:trPr>
          <w:trHeight w:val="445"/>
        </w:trPr>
        <w:tc>
          <w:tcPr>
            <w:tcW w:w="232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40" w:type="dxa"/>
            <w:vAlign w:val="bottom"/>
          </w:tcPr>
          <w:p>
            <w:pPr>
              <w:spacing w:after="0"/>
              <w:rPr>
                <w:sz w:val="24"/>
                <w:szCs w:val="24"/>
                <w:color w:val="auto"/>
              </w:rPr>
            </w:pPr>
          </w:p>
        </w:tc>
      </w:tr>
      <w:tr>
        <w:trPr>
          <w:trHeight w:val="230"/>
        </w:trPr>
        <w:tc>
          <w:tcPr>
            <w:tcW w:w="232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40" w:type="dxa"/>
            <w:vAlign w:val="bottom"/>
          </w:tcPr>
          <w:p>
            <w:pPr>
              <w:spacing w:after="0"/>
              <w:rPr>
                <w:sz w:val="20"/>
                <w:szCs w:val="20"/>
                <w:color w:val="auto"/>
              </w:rPr>
            </w:pPr>
          </w:p>
        </w:tc>
      </w:tr>
      <w:tr>
        <w:trPr>
          <w:trHeight w:val="513"/>
        </w:trPr>
        <w:tc>
          <w:tcPr>
            <w:tcW w:w="2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4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2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 of</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40" w:type="dxa"/>
            <w:vAlign w:val="bottom"/>
          </w:tcPr>
          <w:p>
            <w:pPr>
              <w:jc w:val="center"/>
              <w:ind w:left="1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20" w:type="dxa"/>
            <w:vAlign w:val="bottom"/>
          </w:tcPr>
          <w:p>
            <w:pPr>
              <w:jc w:val="center"/>
              <w:ind w:right="150"/>
              <w:spacing w:after="0"/>
              <w:rPr>
                <w:sz w:val="20"/>
                <w:szCs w:val="20"/>
                <w:color w:val="auto"/>
              </w:rPr>
            </w:pPr>
            <w:r>
              <w:rPr>
                <w:rFonts w:ascii="Arial" w:cs="Arial" w:eastAsia="Arial" w:hAnsi="Arial"/>
                <w:sz w:val="18"/>
                <w:szCs w:val="18"/>
                <w:color w:val="auto"/>
                <w:w w:val="94"/>
              </w:rPr>
              <w:t>incorporation)</w:t>
            </w:r>
          </w:p>
        </w:tc>
        <w:tc>
          <w:tcPr>
            <w:tcW w:w="5120" w:type="dxa"/>
            <w:vAlign w:val="bottom"/>
          </w:tcPr>
          <w:p>
            <w:pPr>
              <w:spacing w:after="0"/>
              <w:rPr>
                <w:sz w:val="20"/>
                <w:szCs w:val="20"/>
                <w:color w:val="auto"/>
              </w:rPr>
            </w:pPr>
          </w:p>
        </w:tc>
        <w:tc>
          <w:tcPr>
            <w:tcW w:w="2340" w:type="dxa"/>
            <w:vAlign w:val="bottom"/>
          </w:tcPr>
          <w:p>
            <w:pPr>
              <w:jc w:val="center"/>
              <w:ind w:left="130"/>
              <w:spacing w:after="0"/>
              <w:rPr>
                <w:sz w:val="20"/>
                <w:szCs w:val="20"/>
                <w:color w:val="auto"/>
              </w:rPr>
            </w:pPr>
            <w:r>
              <w:rPr>
                <w:rFonts w:ascii="Arial" w:cs="Arial" w:eastAsia="Arial" w:hAnsi="Arial"/>
                <w:sz w:val="18"/>
                <w:szCs w:val="18"/>
                <w:color w:val="auto"/>
                <w:w w:val="93"/>
              </w:rPr>
              <w:t>No.)</w:t>
            </w:r>
          </w:p>
        </w:tc>
      </w:tr>
      <w:tr>
        <w:trPr>
          <w:trHeight w:val="526"/>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44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340" w:type="dxa"/>
            <w:vAlign w:val="bottom"/>
          </w:tcPr>
          <w:p>
            <w:pPr>
              <w:jc w:val="center"/>
              <w:ind w:left="170"/>
              <w:spacing w:after="0"/>
              <w:rPr>
                <w:sz w:val="20"/>
                <w:szCs w:val="20"/>
                <w:color w:val="auto"/>
              </w:rPr>
            </w:pPr>
            <w:r>
              <w:rPr>
                <w:rFonts w:ascii="Arial" w:cs="Arial" w:eastAsia="Arial" w:hAnsi="Arial"/>
                <w:sz w:val="18"/>
                <w:szCs w:val="18"/>
                <w:color w:val="auto"/>
                <w:w w:val="94"/>
              </w:rPr>
              <w:t>(Zip Code)</w:t>
            </w:r>
          </w:p>
        </w:tc>
      </w:tr>
    </w:tbl>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96"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March 19, 2021, following recommendation from the Nominating and Corporate Governance Committee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Veracyte, Inc. (the “</w:t>
      </w:r>
      <w:r>
        <w:rPr>
          <w:rFonts w:ascii="Arial" w:cs="Arial" w:eastAsia="Arial" w:hAnsi="Arial"/>
          <w:sz w:val="16"/>
          <w:szCs w:val="16"/>
          <w:b w:val="1"/>
          <w:bCs w:val="1"/>
          <w:color w:val="auto"/>
        </w:rPr>
        <w:t>Company</w:t>
      </w:r>
      <w:r>
        <w:rPr>
          <w:rFonts w:ascii="Arial" w:cs="Arial" w:eastAsia="Arial" w:hAnsi="Arial"/>
          <w:sz w:val="16"/>
          <w:szCs w:val="16"/>
          <w:color w:val="auto"/>
        </w:rPr>
        <w:t>”), the Board appointed Muna Bhanji to serve as a director of the Company, effective March 19, 2021. Ms. Bhanji will serve as a Class II director whose term will expire at the Company’s 2021 annual meeting of stockholders. In connection with her appointment as a director, Ms. Bhanji has been appointed to the Nominating and Corporate Governance Committee and the Regulatory and Compliance Committee of the Board.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arrangement or understanding between Ms. Bhanji and any other persons pursuant to which he was selected as a director. Ms. Bhanji has no direct or indirect material interest in any transaction required to be disclosed pursuant to Item 404(a) of Regulation S-K.</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her appointment to the Board, and in accordance with the Company’s non-employee director compensation program, Ms. Bhanji will receive an annual cash retainer of $40,000 for serving on the Board, a $5,000 annual cash retainer in connection with her service on the Nominating and Corporate Governance Committee of the Board, a $5,000 annual cash retainer in connection with her service on the Regulatory and Compliance Committee of the Board, and annual cash retainers for service on any other committees of the Board to which Ms. Bhanji is appointed, if any. In addition, in accordance with the Company’s 2013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on the effective date of her appointment, Ms. Bhanji will receive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valued at $600,000 on the date of grant. The RSUs will vest and become exercisable as to one-third of the shares on each of the first, second and third annual anniversaries of the date of grant subject to Ms. Bhanji’s continued service as a director on each such date. The RSUs will vest in full upon a change in control of the company (as defined in the Plan). She will also be entitled to an annual RSU grant in future years in accordance with the Plan.</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Ms. Bhanji has entered into the Company’s standard form of indemnity agreement for non-executive directors, which was filed as Exhibit 10.1 to the Company’s Registration Statement on Form S-1 filed with the U.S. Securities and Exchange Commission on October 7, 2013 (File No. 333-191282). The agreement will be effective upon Ms. Bhanji’s appointment to the Board.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22, 2021</w:t>
      </w:r>
    </w:p>
    <w:p>
      <w:pPr>
        <w:spacing w:after="0" w:line="27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26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Keith Kennedy</w:t>
      </w:r>
    </w:p>
    <w:p>
      <w:pPr>
        <w:spacing w:after="0" w:line="63"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2021-03-22T08:23:14Z</dcterms:created>
  <dcterms:modified xsi:type="dcterms:W3CDTF">2021-03-22T08:23:14Z</dcterms:modified>
</cp:coreProperties>
</file>