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May 5,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VERACYTE,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971" w:type="dxa"/>
        <w:jc w:val="left"/>
        <w:tblInd w:w="0" w:type="dxa"/>
        <w:tblLayout w:type="fixed"/>
        <w:tblCellMar>
          <w:top w:w="28" w:type="dxa"/>
          <w:left w:w="28" w:type="dxa"/>
          <w:bottom w:w="28" w:type="dxa"/>
          <w:right w:w="28" w:type="dxa"/>
        </w:tblCellMar>
      </w:tblPr>
      <w:tblGrid>
        <w:gridCol w:w="911"/>
        <w:gridCol w:w="800"/>
        <w:gridCol w:w="808"/>
        <w:gridCol w:w="109"/>
        <w:gridCol w:w="109"/>
        <w:gridCol w:w="109"/>
        <w:gridCol w:w="742"/>
        <w:gridCol w:w="742"/>
        <w:gridCol w:w="750"/>
        <w:gridCol w:w="109"/>
        <w:gridCol w:w="109"/>
        <w:gridCol w:w="109"/>
        <w:gridCol w:w="749"/>
        <w:gridCol w:w="749"/>
        <w:gridCol w:w="1066"/>
      </w:tblGrid>
      <w:tr>
        <w:trPr/>
        <w:tc>
          <w:tcPr>
            <w:tcW w:w="91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001-36156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20-5455398</w:t>
            </w:r>
          </w:p>
        </w:tc>
      </w:tr>
      <w:tr>
        <w:trPr/>
        <w:tc>
          <w:tcPr>
            <w:tcW w:w="2519"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w:t>
            </w:r>
          </w:p>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No.)</w:t>
            </w:r>
          </w:p>
        </w:tc>
      </w:tr>
    </w:tbl>
    <w:tbl>
      <w:tblPr>
        <w:tblW w:w="7017" w:type="dxa"/>
        <w:jc w:val="left"/>
        <w:tblInd w:w="0" w:type="dxa"/>
        <w:tblLayout w:type="fixed"/>
        <w:tblCellMar>
          <w:top w:w="28" w:type="dxa"/>
          <w:left w:w="28" w:type="dxa"/>
          <w:bottom w:w="28" w:type="dxa"/>
          <w:right w:w="28" w:type="dxa"/>
        </w:tblCellMar>
      </w:tblPr>
      <w:tblGrid>
        <w:gridCol w:w="2024"/>
        <w:gridCol w:w="1780"/>
        <w:gridCol w:w="1791"/>
        <w:gridCol w:w="109"/>
        <w:gridCol w:w="109"/>
        <w:gridCol w:w="109"/>
        <w:gridCol w:w="320"/>
        <w:gridCol w:w="320"/>
        <w:gridCol w:w="455"/>
      </w:tblGrid>
      <w:tr>
        <w:trPr/>
        <w:tc>
          <w:tcPr>
            <w:tcW w:w="2024"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6000 Shoreline Court, Suite 300, South San Francisco, California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94080</w:t>
            </w:r>
          </w:p>
        </w:tc>
      </w:tr>
      <w:tr>
        <w:trPr/>
        <w:tc>
          <w:tcPr>
            <w:tcW w:w="55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(650) 243-6300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bl>
      <w:tblPr>
        <w:tblW w:w="10205" w:type="dxa"/>
        <w:jc w:val="center"/>
        <w:tblInd w:w="0" w:type="dxa"/>
        <w:tblLayout w:type="fixed"/>
        <w:tblCellMar>
          <w:top w:w="28" w:type="dxa"/>
          <w:left w:w="28" w:type="dxa"/>
          <w:bottom w:w="28" w:type="dxa"/>
          <w:right w:w="28" w:type="dxa"/>
        </w:tblCellMar>
      </w:tblPr>
      <w:tblGrid>
        <w:gridCol w:w="1494"/>
        <w:gridCol w:w="1312"/>
        <w:gridCol w:w="1312"/>
        <w:gridCol w:w="2085"/>
        <w:gridCol w:w="1646"/>
        <w:gridCol w:w="2356"/>
      </w:tblGrid>
      <w:tr>
        <w:trPr/>
        <w:tc>
          <w:tcPr>
            <w:tcW w:w="1494"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w:t>
            </w:r>
          </w:p>
        </w:tc>
        <w:tc>
          <w:tcPr>
            <w:tcW w:w="6087"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93" w:type="dxa"/>
        <w:jc w:val="left"/>
        <w:tblInd w:w="0" w:type="dxa"/>
        <w:tblLayout w:type="fixed"/>
        <w:tblCellMar>
          <w:top w:w="28" w:type="dxa"/>
          <w:left w:w="28" w:type="dxa"/>
          <w:bottom w:w="28" w:type="dxa"/>
          <w:right w:w="28" w:type="dxa"/>
        </w:tblCellMar>
      </w:tblPr>
      <w:tblGrid>
        <w:gridCol w:w="1303"/>
        <w:gridCol w:w="1142"/>
        <w:gridCol w:w="1155"/>
        <w:gridCol w:w="109"/>
        <w:gridCol w:w="109"/>
        <w:gridCol w:w="109"/>
        <w:gridCol w:w="584"/>
        <w:gridCol w:w="584"/>
        <w:gridCol w:w="586"/>
        <w:gridCol w:w="109"/>
        <w:gridCol w:w="109"/>
        <w:gridCol w:w="109"/>
        <w:gridCol w:w="1137"/>
        <w:gridCol w:w="1137"/>
        <w:gridCol w:w="1611"/>
      </w:tblGrid>
      <w:tr>
        <w:trPr/>
        <w:tc>
          <w:tcPr>
            <w:tcW w:w="1303"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VCYT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ind w:left="0" w:right="0" w:firstLine="6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3300"/>
        <w:gridCol w:w="2848"/>
        <w:gridCol w:w="4057"/>
      </w:tblGrid>
      <w:tr>
        <w:trPr/>
        <w:tc>
          <w:tcPr>
            <w:tcW w:w="3300"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or Rule 12b-2 of the Securities Exchange Act of 1934.</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May 5, 2026, Veracyte, Inc. issued a press release announcing its financial results for the quarter ended March 31, 2026. The full text of the press release is furnished as Exhibit 99.1 to this report.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035" w:type="dxa"/>
        <w:jc w:val="left"/>
        <w:tblInd w:w="0" w:type="dxa"/>
        <w:tblLayout w:type="fixed"/>
        <w:tblCellMar>
          <w:top w:w="28" w:type="dxa"/>
          <w:left w:w="28" w:type="dxa"/>
          <w:bottom w:w="28" w:type="dxa"/>
          <w:right w:w="28" w:type="dxa"/>
        </w:tblCellMar>
      </w:tblPr>
      <w:tblGrid>
        <w:gridCol w:w="385"/>
        <w:gridCol w:w="338"/>
        <w:gridCol w:w="341"/>
        <w:gridCol w:w="109"/>
        <w:gridCol w:w="109"/>
        <w:gridCol w:w="109"/>
        <w:gridCol w:w="1944"/>
        <w:gridCol w:w="1944"/>
        <w:gridCol w:w="2756"/>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1944" w:type="dxa"/>
            <w:tcBorders/>
            <w:vAlign w:val="center"/>
          </w:tcPr>
          <w:p>
            <w:pPr>
              <w:pStyle w:val="TableContents"/>
              <w:bidi w:val="0"/>
              <w:spacing w:before="0" w:after="283"/>
              <w:jc w:val="left"/>
              <w:rPr>
                <w:sz w:val="4"/>
                <w:szCs w:val="4"/>
              </w:rPr>
            </w:pPr>
            <w:r>
              <w:rPr>
                <w:sz w:val="4"/>
                <w:szCs w:val="4"/>
              </w:rPr>
            </w:r>
          </w:p>
        </w:tc>
        <w:tc>
          <w:tcPr>
            <w:tcW w:w="2756" w:type="dxa"/>
            <w:tcBorders/>
            <w:vAlign w:val="center"/>
          </w:tcPr>
          <w:p>
            <w:pPr>
              <w:pStyle w:val="TableContents"/>
              <w:bidi w:val="0"/>
              <w:spacing w:before="0" w:after="28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33"/>
              <w:jc w:val="left"/>
              <w:rPr>
                <w:sz w:val="4"/>
                <w:szCs w:val="4"/>
              </w:rPr>
            </w:pPr>
            <w:r>
              <w:rPr>
                <w:sz w:val="4"/>
                <w:szCs w:val="4"/>
              </w:rPr>
            </w:r>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cyt-05x05x20268xkearnings.htm">
              <w:r>
                <w:rPr>
                  <w:rStyle w:val="InternetLink"/>
                  <w:rFonts w:ascii="Times New Roman;serif" w:hAnsi="Times New Roman;serif"/>
                  <w:b w:val="false"/>
                  <w:color w:val="000080"/>
                  <w:sz w:val="20"/>
                  <w:u w:val="single"/>
                </w:rPr>
                <w:t xml:space="preserve">Press release issued by Veracyte, Inc. dated </w:t>
              </w:r>
            </w:hyperlink>
            <w:hyperlink w:anchor="vcyt-05x05x20268xkearnings.htm">
              <w:r>
                <w:rPr>
                  <w:rStyle w:val="InternetLink"/>
                  <w:rFonts w:ascii="Times New Roman;serif" w:hAnsi="Times New Roman;serif"/>
                  <w:b w:val="false"/>
                  <w:color w:val="000080"/>
                  <w:sz w:val="20"/>
                  <w:u w:val="single"/>
                </w:rPr>
                <w:t>May</w:t>
              </w:r>
            </w:hyperlink>
            <w:hyperlink w:anchor="vcyt-05x05x20268xkearnings.htm">
              <w:r>
                <w:rPr>
                  <w:rStyle w:val="InternetLink"/>
                  <w:rFonts w:ascii="Times New Roman;serif" w:hAnsi="Times New Roman;serif"/>
                  <w:b w:val="false"/>
                  <w:color w:val="000080"/>
                  <w:sz w:val="20"/>
                  <w:u w:val="single"/>
                </w:rPr>
                <w:t xml:space="preserve"> </w:t>
              </w:r>
            </w:hyperlink>
            <w:hyperlink w:anchor="vcyt-05x05x20268xkearnings.htm">
              <w:r>
                <w:rPr>
                  <w:rStyle w:val="InternetLink"/>
                  <w:rFonts w:ascii="Times New Roman;serif" w:hAnsi="Times New Roman;serif"/>
                  <w:b w:val="false"/>
                  <w:color w:val="000080"/>
                  <w:sz w:val="20"/>
                  <w:u w:val="single"/>
                </w:rPr>
                <w:t>5, 2026.</w:t>
              </w:r>
            </w:hyperlink>
          </w:p>
        </w:tc>
      </w:tr>
      <w:tr>
        <w:trPr/>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056" w:type="dxa"/>
        <w:jc w:val="left"/>
        <w:tblInd w:w="0" w:type="dxa"/>
        <w:tblLayout w:type="fixed"/>
        <w:tblCellMar>
          <w:top w:w="28" w:type="dxa"/>
          <w:left w:w="28" w:type="dxa"/>
          <w:bottom w:w="28" w:type="dxa"/>
          <w:right w:w="28" w:type="dxa"/>
        </w:tblCellMar>
      </w:tblPr>
      <w:tblGrid>
        <w:gridCol w:w="260"/>
        <w:gridCol w:w="229"/>
        <w:gridCol w:w="231"/>
        <w:gridCol w:w="379"/>
        <w:gridCol w:w="379"/>
        <w:gridCol w:w="381"/>
        <w:gridCol w:w="266"/>
        <w:gridCol w:w="266"/>
        <w:gridCol w:w="266"/>
        <w:gridCol w:w="699"/>
        <w:gridCol w:w="699"/>
        <w:gridCol w:w="1001"/>
      </w:tblGrid>
      <w:tr>
        <w:trPr/>
        <w:tc>
          <w:tcPr>
            <w:tcW w:w="26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3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7" w:type="dxa"/>
            <w:gridSpan w:val="6"/>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VERACYTE, INC.</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Rebecca Chambers</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lineRule="auto" w:line="276" w:before="0" w:after="0"/>
              <w:ind w:left="0" w:right="0" w:firstLine="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cMar>
              <w:top w:w="0" w:type="dxa"/>
              <w:left w:w="0" w:type="dxa"/>
              <w:bottom w:w="0" w:type="dxa"/>
              <w:right w:w="0" w:type="dxa"/>
            </w:tcMar>
            <w:vAlign w:val="center"/>
          </w:tcPr>
          <w:p>
            <w:pPr>
              <w:pStyle w:val="TableContents"/>
              <w:bidi w:val="0"/>
              <w:spacing w:before="0" w:after="283"/>
              <w:ind w:left="0" w:right="0" w:firstLine="60"/>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Exhibit 99.1</w:t>
      </w:r>
    </w:p>
    <w:p>
      <w:pPr>
        <w:pStyle w:val="TextBody"/>
        <w:bidi w:val="0"/>
        <w:spacing w:before="0" w:after="0"/>
        <w:jc w:val="center"/>
        <w:rPr/>
      </w:pPr>
      <w:r>
        <w:rPr/>
      </w:r>
    </w:p>
    <w:p>
      <w:pPr>
        <w:pStyle w:val="TextBody"/>
        <w:bidi w:val="0"/>
        <w:spacing w:before="0" w:after="0"/>
        <w:jc w:val="center"/>
        <w:rPr/>
      </w:pPr>
      <w:r>
        <w:rPr/>
        <w:drawing>
          <wp:inline distT="0" distB="0" distL="0" distR="0">
            <wp:extent cx="2476500" cy="5429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76500" cy="5429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Veracyte Announces First Quarter 2026 Financial Results</w:t>
      </w:r>
    </w:p>
    <w:p>
      <w:pPr>
        <w:pStyle w:val="TextBody"/>
        <w:bidi w:val="0"/>
        <w:spacing w:before="0" w:after="0"/>
        <w:jc w:val="left"/>
        <w:rPr/>
      </w:pPr>
      <w:r>
        <w:rPr/>
      </w:r>
    </w:p>
    <w:p>
      <w:pPr>
        <w:pStyle w:val="TextBody"/>
        <w:bidi w:val="0"/>
        <w:spacing w:lineRule="auto" w:line="276" w:before="0" w:after="0"/>
        <w:jc w:val="center"/>
        <w:rPr/>
      </w:pPr>
      <w:r>
        <w:rPr>
          <w:rFonts w:ascii="Arial;sans-serif" w:hAnsi="Arial;sans-serif"/>
          <w:b w:val="false"/>
          <w:i/>
          <w:color w:val="000000"/>
          <w:sz w:val="20"/>
        </w:rPr>
        <w:t>Grew total revenue to $139.1 million and testing revenue to $135.1 million, representing increases of 21% and 26%</w:t>
      </w:r>
      <w:r>
        <w:rPr>
          <w:color w:val="000000"/>
        </w:rPr>
        <w:t xml:space="preserve"> </w:t>
      </w:r>
      <w:r>
        <w:rPr>
          <w:rFonts w:ascii="Arial;sans-serif" w:hAnsi="Arial;sans-serif"/>
          <w:b w:val="false"/>
          <w:i/>
          <w:color w:val="000000"/>
          <w:sz w:val="20"/>
        </w:rPr>
        <w:t>year-over-year, respectively</w:t>
      </w:r>
    </w:p>
    <w:p>
      <w:pPr>
        <w:pStyle w:val="TextBody"/>
        <w:bidi w:val="0"/>
        <w:spacing w:lineRule="auto" w:line="276" w:before="0" w:after="0"/>
        <w:jc w:val="center"/>
        <w:rPr>
          <w:rFonts w:ascii="Arial;sans-serif" w:hAnsi="Arial;sans-serif"/>
          <w:b w:val="false"/>
          <w:i/>
          <w:color w:val="000000"/>
          <w:sz w:val="20"/>
        </w:rPr>
      </w:pPr>
      <w:r>
        <w:rPr>
          <w:rFonts w:ascii="Arial;sans-serif" w:hAnsi="Arial;sans-serif"/>
          <w:b w:val="false"/>
          <w:i/>
          <w:color w:val="000000"/>
          <w:sz w:val="20"/>
        </w:rPr>
        <w:t>Conference call and webcast today at 4:30 p.m. ET</w: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SOUTH SAN FRANCISCO, Calif., May 5, 2026 --- Veracyte, Inc. (Nasdaq: VCYT), a leading cancer diagnostics company, today announced financial results for the first quarter ended March 31, 2026.</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Arial;sans-serif" w:hAnsi="Arial;sans-serif"/>
          <w:b w:val="false"/>
          <w:color w:val="000000"/>
          <w:sz w:val="20"/>
        </w:rPr>
        <w:t xml:space="preserve">We had a strong start to the year, with Decipher and Afirma volume growth surpassing expectations and exceeding our profitability targets,” said Marc Stapley, Veracyte’s CEO. “Our growing clinical evidence continues to set us apart, and this quarter strengthened it even further. We believe we are approaching an inflection point with the upcoming launches of Prosigna LDT and TrueMRD, two of the most significant new products in our history, creating meaningful opportunities for market expansion in Breast, Bladder and other cancers, alongside continued growth in our Prostate and Thyroid businesses.” </w:t>
      </w:r>
    </w:p>
    <w:p>
      <w:pPr>
        <w:pStyle w:val="TextBody"/>
        <w:bidi w:val="0"/>
        <w:spacing w:before="0" w:after="0"/>
        <w:jc w:val="left"/>
        <w:rPr/>
      </w:pPr>
      <w:r>
        <w:rPr/>
      </w: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 xml:space="preserve">Key Financial Highlights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the three-month period ended March 31, 2026, as compared to the same period in 2025:</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revenue by 21% to $139.1 million and testing revenue by 26% to $135.1 million, driven by Decipher growth of 30% to $86.5 million and Afirma growth of 21% to $46.4 million.</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Increased total volume by 17% to 47,615 tests and testing volume by 19% to 45,248 tests, driven by Decipher growth of 24% to approximately 28,000 tests and Afirma growth of 12% to approximately 17,200 tests.</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Recorded GAAP net income of $28.7 million, or 20.6% of revenue, and delivered adjusted EBITDA of $42.8 million, or 30.8% of revenue.</w:t>
      </w:r>
    </w:p>
    <w:p>
      <w:pPr>
        <w:pStyle w:val="TextBody"/>
        <w:bidi w:val="0"/>
        <w:spacing w:lineRule="auto" w:line="268" w:before="120" w:after="283"/>
        <w:ind w:left="0" w:right="0" w:hanging="360"/>
        <w:jc w:val="left"/>
        <w:rPr/>
      </w:pPr>
      <w:r>
        <w:rPr>
          <w:color w:val="000000"/>
        </w:rPr>
        <w:t>•</w:t>
      </w:r>
      <w:r>
        <w:rPr>
          <w:rFonts w:ascii="Arial;sans-serif" w:hAnsi="Arial;sans-serif"/>
          <w:b w:val="false"/>
          <w:color w:val="000000"/>
          <w:sz w:val="20"/>
        </w:rPr>
        <w:t>Generated $35.2 million of cash from operations to end the quarter with $439.1 million of cash, cash equivalents, and short-term investments as of March 31, 2026.</w:t>
      </w:r>
    </w:p>
    <w:p>
      <w:pPr>
        <w:pStyle w:val="TextBody"/>
        <w:bidi w:val="0"/>
        <w:spacing w:lineRule="auto" w:line="268" w:before="120" w:after="283"/>
        <w:jc w:val="both"/>
        <w:rPr>
          <w:rFonts w:ascii="Arial;sans-serif" w:hAnsi="Arial;sans-serif"/>
          <w:b/>
          <w:color w:val="000000"/>
          <w:sz w:val="20"/>
        </w:rPr>
      </w:pPr>
      <w:r>
        <w:rPr>
          <w:rFonts w:ascii="Arial;sans-serif" w:hAnsi="Arial;sans-serif"/>
          <w:b/>
          <w:color w:val="000000"/>
          <w:sz w:val="20"/>
        </w:rPr>
        <w:t>Key Business Highlights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Advanced the evidence pipeline for Decipher with enrollment completed for GUIDANCE and G-MAJOR phase III trials.</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 xml:space="preserve">Announced data published in </w:t>
      </w:r>
      <w:r>
        <w:rPr>
          <w:rFonts w:ascii="Arial;sans-serif" w:hAnsi="Arial;sans-serif"/>
          <w:b w:val="false"/>
          <w:i/>
          <w:color w:val="000000"/>
          <w:sz w:val="20"/>
        </w:rPr>
        <w:t>European Urology Oncology</w:t>
      </w:r>
      <w:r>
        <w:rPr>
          <w:color w:val="000000"/>
        </w:rPr>
        <w:t xml:space="preserve"> </w:t>
      </w:r>
      <w:r>
        <w:rPr>
          <w:rFonts w:ascii="Arial;sans-serif" w:hAnsi="Arial;sans-serif"/>
          <w:b w:val="false"/>
          <w:color w:val="000000"/>
          <w:sz w:val="20"/>
        </w:rPr>
        <w:t>showing Decipher’s ability to stratify risk among patients undergoing active surveillance.</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Announced more than 15 studies featuring Decipher Prostate and Decipher Bladder will be presented at the AUA Annual Meeting next week, including the expanding impact of Decipher Prostate in studies using real-world data.</w:t>
      </w:r>
    </w:p>
    <w:p>
      <w:pPr>
        <w:pStyle w:val="TextBody"/>
        <w:bidi w:val="0"/>
        <w:spacing w:lineRule="auto" w:line="268" w:before="0" w:after="0"/>
        <w:ind w:left="0" w:right="0" w:hanging="360"/>
        <w:jc w:val="left"/>
        <w:rPr/>
      </w:pPr>
      <w:r>
        <w:rPr>
          <w:color w:val="000000"/>
        </w:rPr>
        <w:t>•</w:t>
      </w:r>
      <w:r>
        <w:rPr>
          <w:rFonts w:ascii="Arial;sans-serif" w:hAnsi="Arial;sans-serif"/>
          <w:b w:val="false"/>
          <w:color w:val="000000"/>
          <w:sz w:val="20"/>
        </w:rPr>
        <w:t>Strengthened the leadership team with the appointments of Kevin Haas as Chief Development and Technology Officer and Tracy Ward as Chief Human Resources Officer.</w:t>
      </w:r>
    </w:p>
    <w:p>
      <w:pPr>
        <w:pStyle w:val="TextBody"/>
        <w:bidi w:val="0"/>
        <w:spacing w:lineRule="auto" w:line="268" w:before="120" w:after="283"/>
        <w:jc w:val="left"/>
        <w:rPr>
          <w:rFonts w:ascii="Arial;sans-serif" w:hAnsi="Arial;sans-serif"/>
          <w:b w:val="false"/>
          <w:color w:val="000000"/>
          <w:sz w:val="20"/>
        </w:rPr>
      </w:pPr>
      <w:r>
        <w:rPr>
          <w:rFonts w:ascii="Arial;sans-serif" w:hAnsi="Arial;sans-serif"/>
          <w:b w:val="false"/>
          <w:color w:val="000000"/>
          <w:sz w:val="20"/>
        </w:rPr>
        <w:t xml:space="preserve">A reconciliation of GAAP to non-GAAP financial measures has been provided in the tables included in this press release. An explanation of these measures is also included below under the heading "Note Regarding Use of Non-GAAP Financial Measures." </w:t>
      </w:r>
    </w:p>
    <w:p>
      <w:pPr>
        <w:pStyle w:val="TextBody"/>
        <w:bidi w:val="0"/>
        <w:spacing w:before="0" w:after="0"/>
        <w:jc w:val="left"/>
        <w:rPr/>
      </w:pPr>
      <w:r>
        <w:rPr/>
      </w:r>
    </w:p>
    <w:p>
      <w:pPr>
        <w:pStyle w:val="TextBody"/>
        <w:bidi w:val="0"/>
        <w:spacing w:lineRule="auto" w:line="276" w:before="0" w:after="60"/>
        <w:jc w:val="left"/>
        <w:rPr>
          <w:rFonts w:ascii="Arial;sans-serif" w:hAnsi="Arial;sans-serif"/>
          <w:b/>
          <w:color w:val="000000"/>
          <w:sz w:val="20"/>
        </w:rPr>
      </w:pPr>
      <w:r>
        <w:rPr>
          <w:rFonts w:ascii="Arial;sans-serif" w:hAnsi="Arial;sans-serif"/>
          <w:b/>
          <w:color w:val="000000"/>
          <w:sz w:val="20"/>
        </w:rPr>
        <w:t>First Quarter 2026 Financial Results </w:t>
      </w:r>
    </w:p>
    <w:p>
      <w:pPr>
        <w:pStyle w:val="TextBody"/>
        <w:bidi w:val="0"/>
        <w:spacing w:before="0" w:after="6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 xml:space="preserve">Total revenue for the first quarter of 2026 was $139.1 million, an increase of 21% compared to $114.5 million reported in the first quarter of 2025. Testing revenue was $135.1 million, an increase of 26% compared to $107.3 million in the first quarter of 2025, driven by growth in our Decipher Prostate and Afirma tests. Product revenue was $3.7 million, an increase of 3% compared to $3.6 million in the first quarter of 2025. Biopharmaceutical and other revenue was $0.3 million, an expected decrease compared to $3.6 million in the first quarter of 2025 given the restructuring and liquidation proceedings of Veracyte SAS.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Total gross margin for the first quarter of 2026 was 73%, compared to 69% in the first quarter of 2025. Non-GAAP gross margin was 76%, compared to 72% in the first quarter of 2025.</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Operating expenses were $78.5 million for the first quarter of 2026 compared to $76.6 million in the first quarter of 2025. Non-GAAP operating expenses grew 7% to $64.6 million compared to $60.5 million in the first quarter of 2025.</w:t>
      </w:r>
    </w:p>
    <w:p>
      <w:pPr>
        <w:pStyle w:val="TextBody"/>
        <w:bidi w:val="0"/>
        <w:spacing w:before="0" w:after="6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Net income for the first quarter of 2026 was $28.7 million, an improvement of 307% compared to the first quarter of 2025. Diluted net earnings per common share was $0.35, an improvement of $0.26 compared to the first quarter of 2025. Non-GAAP diluted net earnings per common share was $0.52, an increase of $0.21 compared to the first quarter of 2025. Net cash provided by operating activities in the first three months of 2026 was $35.2 million, an improvement of $29.9 million compared to the same period in 2025.</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Adjusted EBITDA for the first quarter of 2026 was $42.8 million, an improvement of 73% compared to the first quarter of 2025, representing 30.8% of revenue compared to 21.6% of revenue in the same period in 2025.</w: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2026 Financial Outlook</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is raising 2026 total revenue guidance to $582 million to $592 million, or 13% to 14% growth, from prior guidance of $570 to $582 million, or 10% to 13% growth. The company is also raising testing revenue guidance to $570 million to $580 million, or 16% to 18% growth, excluding the contribution from new tests.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Additionally, the company is raising guidance for adjusted EBITDA margin to greater than 26%, from approximately 25% prior.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company is unable to provide a quantitative reconciliation of expected adjusted EBITDA margin to the most directly comparable forward-looking GAAP measure without unreasonable effort, because of the inherent difficulty in accurately forecasting the occurrence and financial impact of the various adjusting items necessary for such reconciliations that have not yet occurred, that are dependent on various factors, are out of the company’s control, or that cannot be reasonably predicted. Such adjustments include, but are not limited to, acquisition-related expenses, and other adjustments. Any associated estimate of these items and their impact on GAAP performance for the guidance period could vary materially. For more information on the non-GAAP financial measures, please refer to the section titled “Note Regarding Use of Non-GAAP Financial Measures” at the end of this press release.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Conference Call and Webcast Details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Veracyte will host a conference call and webcast today at 4:30 p.m. Eastern Time to discuss the company's financial results and provide a general business update. The conference call will be webcast live from the company’s website and will be available via the following link: https://edge.media-server.com/mmc/p/293q6w6a. 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conference call dial-in can be accessed by registering via the following link: https://register-conf.media-server.com/register/BIe7dfa54183624bef85d5dea0e7c81024.</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About Veracyte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222222"/>
          <w:sz w:val="20"/>
        </w:rPr>
        <w:t xml:space="preserve">Veracyte (Nasdaq: VCYT) is a global diagnostics company whose vision is to transform cancer care for patients all over the world. We empower clinicians with the high-value insights they need to guide and assure patients at pivotal moments in the race to diagnose and treat cancer. Our Veracyte Diagnostics Platform delivers high-performing cancer tests that are fueled by broad genomic and clinical data, deep bioinformatic and AI capabilities, and a powerful evidence-generation engine, which ultimately drives durable reimbursement and guideline inclusion for our tests, along with new insights to support continued innovation and pipeline development. </w:t>
      </w:r>
      <w:r>
        <w:rPr>
          <w:rFonts w:ascii="Arial;sans-serif" w:hAnsi="Arial;sans-serif"/>
          <w:b w:val="false"/>
          <w:color w:val="000000"/>
          <w:sz w:val="20"/>
          <w:shd w:fill="FFFFFF" w:val="clear"/>
        </w:rPr>
        <w:t xml:space="preserve">For more information, please visit </w:t>
      </w:r>
      <w:r>
        <w:rPr>
          <w:rFonts w:ascii="Arial;sans-serif" w:hAnsi="Arial;sans-serif"/>
          <w:b w:val="false"/>
          <w:color w:val="0563C1"/>
          <w:sz w:val="20"/>
          <w:shd w:fill="FFFFFF" w:val="clear"/>
        </w:rPr>
        <w:t xml:space="preserve">www.veracyte.com </w:t>
      </w:r>
      <w:r>
        <w:rPr>
          <w:rFonts w:ascii="Arial;sans-serif" w:hAnsi="Arial;sans-serif"/>
          <w:b w:val="false"/>
          <w:color w:val="000000"/>
          <w:sz w:val="20"/>
          <w:shd w:fill="FFFFFF" w:val="clear"/>
        </w:rPr>
        <w:t xml:space="preserve">or follow us on </w:t>
      </w:r>
      <w:r>
        <w:rPr>
          <w:rFonts w:ascii="Arial;sans-serif" w:hAnsi="Arial;sans-serif"/>
          <w:b w:val="false"/>
          <w:color w:val="0563C1"/>
          <w:sz w:val="20"/>
          <w:shd w:fill="FFFFFF" w:val="clear"/>
        </w:rPr>
        <w:t xml:space="preserve">LinkedIn </w:t>
      </w:r>
      <w:r>
        <w:rPr>
          <w:rFonts w:ascii="Arial;sans-serif" w:hAnsi="Arial;sans-serif"/>
          <w:b w:val="false"/>
          <w:color w:val="000000"/>
          <w:sz w:val="20"/>
          <w:shd w:fill="FFFFFF" w:val="clear"/>
        </w:rPr>
        <w:t xml:space="preserve">or </w:t>
      </w:r>
      <w:r>
        <w:rPr>
          <w:rFonts w:ascii="Arial;sans-serif" w:hAnsi="Arial;sans-serif"/>
          <w:b w:val="false"/>
          <w:color w:val="0563C1"/>
          <w:sz w:val="20"/>
          <w:shd w:fill="FFFFFF" w:val="clear"/>
        </w:rPr>
        <w:t>X (Twitter).</w:t>
      </w:r>
    </w:p>
    <w:p>
      <w:pPr>
        <w:pStyle w:val="TextBody"/>
        <w:bidi w:val="0"/>
        <w:spacing w:lineRule="auto" w:line="268" w:before="0" w:after="0"/>
        <w:jc w:val="left"/>
        <w:rPr>
          <w:color w:val="000000"/>
          <w:shd w:fill="FFFFFF" w:val="clear"/>
        </w:rPr>
      </w:pPr>
      <w:r>
        <w:rPr>
          <w:color w:val="000000"/>
          <w:shd w:fill="FFFFFF" w:val="clear"/>
        </w:rPr>
        <w:t> </w:t>
      </w:r>
    </w:p>
    <w:p>
      <w:pPr>
        <w:pStyle w:val="TextBody"/>
        <w:bidi w:val="0"/>
        <w:spacing w:before="0" w:after="0"/>
        <w:jc w:val="left"/>
        <w:rPr/>
      </w:pPr>
      <w:r>
        <w:rPr/>
      </w:r>
    </w:p>
    <w:p>
      <w:pPr>
        <w:pStyle w:val="TextBody"/>
        <w:bidi w:val="0"/>
        <w:spacing w:lineRule="auto" w:line="288"/>
        <w:jc w:val="left"/>
        <w:rPr>
          <w:rFonts w:ascii="Arial;sans-serif" w:hAnsi="Arial;sans-serif"/>
          <w:b/>
          <w:color w:val="000000"/>
          <w:sz w:val="20"/>
        </w:rPr>
      </w:pPr>
      <w:r>
        <w:rPr>
          <w:rFonts w:ascii="Arial;sans-serif" w:hAnsi="Arial;sans-serif"/>
          <w:b/>
          <w:color w:val="000000"/>
          <w:sz w:val="20"/>
        </w:rPr>
        <w:t xml:space="preserve">Cautionary Note Regarding Forward-Looking Statements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This press release contains forward-looking statements, including, but not limited to our statements related to our plans, objectives, and expectations (financial and otherwise), including with respect to our 2026 financial and operating results; and our intentions with respect to our tests and products, including upcoming product launches. Forward-looking statements can be identified by words such as: “appears,” “anticipate,” “intend,” “plan,” “expect,” “believe,” “should,” “may,” “could,” “would,” “will,” “enable,” “positioned,” “offers,” “designed,” “ultimately,” “strategic,” “outlook,” “guidance,” and similar references to future periods. Actual results may differ materially from those projected or suggested in any forward-looking statements. These statements involve risks and uncertainties, which could cause actual results to differ materially from our predictions, and include, but are not limited to: our ability to launch, commercialize and receive reimbursement for our products; our ability to execute on our business strategies relating to the C2i Genomics acquisition, integration of the business and the realization of expected benefits and synergies; our ability to demonstrate the validity and utility of our genomic tests and biopharma and other offerings; our ability to continue executing on our business plan; our ability to continue to scale our global operations and enhance our internal control environment; the impact of the war in Ukraine and other regional conflicts on European economies; the impact of foreign currency fluctuations, volatile interest rates, inflation, the impact of legislation and policies enacted by the current U.S. administration; turmoil in the global banking and finance system; the ongoing conflict in the Middle East; and the performance and utility of our tests in the clinical environment. Additional factors that may impact these forward-looking statements can be found under the caption “Risk Factors” in our Annual Report on Form 10-K filed on February 26, 2026, as well as in other documents that we may file from time to time with the Securities and Exchange Commission. Copies of these documents, when available, may be found in the Investors section of our website at investor.veracyte.com. These forward-looking statements speak only as of the date hereof and, except as required by law, we specifically disclaim any obligation to update these forward-looking statements or reasons why actual results might differ, whether as a result of new information, future events or otherwise.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Note Regarding Use of Non-GAAP Financial Measures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In addition to the financial measures prepared in accordance with generally accepted accounting principles (GAAP), this press release and the accompanying tables contain, and reference certain non‐GAAP results including non-GAAP gross margin, non-GAAP operating expenses, adjusted EBITDA, adjusted EBITDA as a percentage of revenue (also referred to as adjusted EBITDA margin), non-GAAP net income, and non-GAAP earnings per share (EPS) and non-GAAP weighted average shares outstanding. These non-GAAP financial measures are not meant to be considered superior to or a substitute for financial measures calculated in accordance with GAAP, and investors are cautioned that there are material limitations associated with the use of non-GAAP financial measures as an analytical tool.</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We use non-GAAP financial measures to internally evaluate and analyze financial results. We believe these non-GAAP financial measures provide investors with useful supplemental information about the financial performance of our business, enable comparison of financial results between periods where certain items may vary independent of business performance, and enable comparison of our financial results with other public companies, many of which present similar non-GAAP financial measures. However, the non-GAAP financial measures we present may be different from those used by other companies, including similarly titled measures.</w:t>
      </w:r>
    </w:p>
    <w:p>
      <w:pPr>
        <w:pStyle w:val="TextBody"/>
        <w:bidi w:val="0"/>
        <w:spacing w:before="0" w:after="0"/>
        <w:jc w:val="left"/>
        <w:rPr/>
      </w:pPr>
      <w:r>
        <w:rPr/>
      </w:r>
    </w:p>
    <w:p>
      <w:pPr>
        <w:pStyle w:val="TextBody"/>
        <w:bidi w:val="0"/>
        <w:spacing w:lineRule="auto" w:line="268"/>
        <w:jc w:val="left"/>
        <w:rPr>
          <w:rFonts w:ascii="Arial;sans-serif" w:hAnsi="Arial;sans-serif"/>
          <w:b w:val="false"/>
          <w:color w:val="000000"/>
          <w:sz w:val="20"/>
        </w:rPr>
      </w:pPr>
      <w:r>
        <w:rPr>
          <w:rFonts w:ascii="Arial;sans-serif" w:hAnsi="Arial;sans-serif"/>
          <w:b w:val="false"/>
          <w:color w:val="000000"/>
          <w:sz w:val="20"/>
        </w:rPr>
        <w:t>We compute these non-GAAP measures by adjusting the applicable GAAP measure to remove the impact of certain recurring and non-recurring charges and gains and to adjust for the impact of income tax items related to such adjustments to our GAAP financial statements. In particular, we exclude amortization of acquired intangible assets, acquisition-related expenses relating to our acquisitions of Decipher Biosciences, HalioDx and C2i Genomics, impairment charges associated with the nCounter license and other biopharmaceutical services related to HalioDx intangible assets, all stock-based compensation and certain costs related to restructuring from all of our non-GAAP financial measures as well as depreciation and income tax items from our adjusted EBITDA and adjusted EBITDA as a percentage of revenue. Beginning in the second quarter of 2024, we changed our non-GAAP policy to exclude all stock-based compensation to align with our peers and we have also excluded all stock-based compensation from our prior period non-GAAP financial measures. Management has excluded the effects of these items in non-GAAP financial measures to help investors gain a better understanding of the core operating results and future prospects of the company, consistent with how management measures and forecasts the company's performance, especially when comparing such results to previous periods or forecasts. The company encourages investors to carefully consider its results under GAAP, together with its supplemental non‐GAAP information and the reconciliation between these presentations. See “Reconciliation of U.S. GAAP to Non-GAAP Financial Measures” for a reconciliation of each non-GAAP measure presented to the comparable GAAP financial measure.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24"/>
        <w:gridCol w:w="1318"/>
        <w:gridCol w:w="1308"/>
        <w:gridCol w:w="856"/>
        <w:gridCol w:w="856"/>
        <w:gridCol w:w="1068"/>
        <w:gridCol w:w="131"/>
        <w:gridCol w:w="264"/>
        <w:gridCol w:w="1037"/>
        <w:gridCol w:w="131"/>
        <w:gridCol w:w="109"/>
        <w:gridCol w:w="109"/>
        <w:gridCol w:w="109"/>
        <w:gridCol w:w="222"/>
        <w:gridCol w:w="904"/>
        <w:gridCol w:w="159"/>
      </w:tblGrid>
      <w:tr>
        <w:trPr/>
        <w:tc>
          <w:tcPr>
            <w:tcW w:w="1624"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0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3175" w:type="dxa"/>
            <w:gridSpan w:val="10"/>
            <w:tcBorders/>
          </w:tcPr>
          <w:p>
            <w:pPr>
              <w:pStyle w:val="TableContents"/>
              <w:bidi w:val="0"/>
              <w:spacing w:before="0" w:after="283"/>
              <w:jc w:val="left"/>
              <w:rPr>
                <w:sz w:val="4"/>
                <w:szCs w:val="4"/>
              </w:rPr>
            </w:pPr>
            <w:r>
              <w:rPr>
                <w:sz w:val="4"/>
                <w:szCs w:val="4"/>
              </w:rPr>
            </w:r>
          </w:p>
        </w:tc>
      </w:tr>
      <w:tr>
        <w:trPr/>
        <w:tc>
          <w:tcPr>
            <w:tcW w:w="70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OPERATIONS</w:t>
            </w:r>
          </w:p>
        </w:tc>
        <w:tc>
          <w:tcPr>
            <w:tcW w:w="3175" w:type="dxa"/>
            <w:gridSpan w:val="10"/>
            <w:tcBorders/>
          </w:tcPr>
          <w:p>
            <w:pPr>
              <w:pStyle w:val="TableContents"/>
              <w:bidi w:val="0"/>
              <w:spacing w:before="0" w:after="283"/>
              <w:jc w:val="left"/>
              <w:rPr>
                <w:sz w:val="4"/>
                <w:szCs w:val="4"/>
              </w:rPr>
            </w:pPr>
            <w:r>
              <w:rPr>
                <w:sz w:val="4"/>
                <w:szCs w:val="4"/>
              </w:rPr>
            </w:r>
          </w:p>
        </w:tc>
      </w:tr>
      <w:tr>
        <w:trPr/>
        <w:tc>
          <w:tcPr>
            <w:tcW w:w="70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3175" w:type="dxa"/>
            <w:gridSpan w:val="10"/>
            <w:tcBorders/>
          </w:tcPr>
          <w:p>
            <w:pPr>
              <w:pStyle w:val="TableContents"/>
              <w:bidi w:val="0"/>
              <w:spacing w:before="0" w:after="283"/>
              <w:jc w:val="left"/>
              <w:rPr>
                <w:sz w:val="4"/>
                <w:szCs w:val="4"/>
              </w:rPr>
            </w:pPr>
            <w:r>
              <w:rPr>
                <w:sz w:val="4"/>
                <w:szCs w:val="4"/>
              </w:rPr>
            </w:r>
          </w:p>
        </w:tc>
      </w:tr>
      <w:tr>
        <w:trPr/>
        <w:tc>
          <w:tcPr>
            <w:tcW w:w="703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 except share and per share amounts)</w:t>
            </w:r>
          </w:p>
        </w:tc>
        <w:tc>
          <w:tcPr>
            <w:tcW w:w="3175" w:type="dxa"/>
            <w:gridSpan w:val="10"/>
            <w:tcBorders/>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63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612" w:type="dxa"/>
            <w:gridSpan w:val="6"/>
            <w:tcBorders/>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Testing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135,091 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107,309 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Biopharmaceutical and other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139,071 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114,473 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(1)</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testing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product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biopharmaceutical and other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cost of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cost of revenue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37,912 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34,965 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101,159 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79,508 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(1)</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 amortization - operating expenses</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78,513 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from operations</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22,646 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2,904 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29,974 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7,428 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provision</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28,707 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0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used to compute earnings per common share:</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79,536,601 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78,028,254 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81,313,588 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80,056,024 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 Cost of revenue, research and development, sales and marketing and general and administrative expenses include the following stock-based compensation related expenses: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261" w:type="dxa"/>
        <w:jc w:val="center"/>
        <w:tblInd w:w="0" w:type="dxa"/>
        <w:tblLayout w:type="fixed"/>
        <w:tblCellMar>
          <w:top w:w="28" w:type="dxa"/>
          <w:left w:w="28" w:type="dxa"/>
          <w:bottom w:w="28" w:type="dxa"/>
          <w:right w:w="28" w:type="dxa"/>
        </w:tblCellMar>
      </w:tblPr>
      <w:tblGrid>
        <w:gridCol w:w="1359"/>
        <w:gridCol w:w="1193"/>
        <w:gridCol w:w="1198"/>
        <w:gridCol w:w="109"/>
        <w:gridCol w:w="109"/>
        <w:gridCol w:w="241"/>
        <w:gridCol w:w="241"/>
        <w:gridCol w:w="466"/>
        <w:gridCol w:w="1661"/>
        <w:gridCol w:w="241"/>
        <w:gridCol w:w="109"/>
        <w:gridCol w:w="109"/>
        <w:gridCol w:w="109"/>
        <w:gridCol w:w="211"/>
        <w:gridCol w:w="751"/>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6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Cost of revenue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6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241"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15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and marketing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6,583 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12,761 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77"/>
        <w:gridCol w:w="1188"/>
        <w:gridCol w:w="1188"/>
        <w:gridCol w:w="1116"/>
        <w:gridCol w:w="1116"/>
        <w:gridCol w:w="1365"/>
        <w:gridCol w:w="129"/>
        <w:gridCol w:w="251"/>
        <w:gridCol w:w="897"/>
        <w:gridCol w:w="129"/>
        <w:gridCol w:w="109"/>
        <w:gridCol w:w="109"/>
        <w:gridCol w:w="109"/>
        <w:gridCol w:w="211"/>
        <w:gridCol w:w="751"/>
        <w:gridCol w:w="160"/>
      </w:tblGrid>
      <w:tr>
        <w:trPr/>
        <w:tc>
          <w:tcPr>
            <w:tcW w:w="1377"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3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2855" w:type="dxa"/>
            <w:gridSpan w:val="10"/>
            <w:tcBorders/>
          </w:tcPr>
          <w:p>
            <w:pPr>
              <w:pStyle w:val="TableContents"/>
              <w:bidi w:val="0"/>
              <w:spacing w:before="0" w:after="283"/>
              <w:jc w:val="left"/>
              <w:rPr>
                <w:sz w:val="4"/>
                <w:szCs w:val="4"/>
              </w:rPr>
            </w:pPr>
            <w:r>
              <w:rPr>
                <w:sz w:val="4"/>
                <w:szCs w:val="4"/>
              </w:rPr>
            </w:r>
          </w:p>
        </w:tc>
      </w:tr>
      <w:tr>
        <w:trPr/>
        <w:tc>
          <w:tcPr>
            <w:tcW w:w="73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 OF COMPREHENSIVE INCOME</w:t>
            </w:r>
          </w:p>
        </w:tc>
        <w:tc>
          <w:tcPr>
            <w:tcW w:w="2855" w:type="dxa"/>
            <w:gridSpan w:val="10"/>
            <w:tcBorders/>
          </w:tcPr>
          <w:p>
            <w:pPr>
              <w:pStyle w:val="TableContents"/>
              <w:bidi w:val="0"/>
              <w:spacing w:before="0" w:after="283"/>
              <w:jc w:val="left"/>
              <w:rPr>
                <w:sz w:val="4"/>
                <w:szCs w:val="4"/>
              </w:rPr>
            </w:pPr>
            <w:r>
              <w:rPr>
                <w:sz w:val="4"/>
                <w:szCs w:val="4"/>
              </w:rPr>
            </w:r>
          </w:p>
        </w:tc>
      </w:tr>
      <w:tr>
        <w:trPr/>
        <w:tc>
          <w:tcPr>
            <w:tcW w:w="73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2855" w:type="dxa"/>
            <w:gridSpan w:val="10"/>
            <w:tcBorders/>
          </w:tcPr>
          <w:p>
            <w:pPr>
              <w:pStyle w:val="TableContents"/>
              <w:bidi w:val="0"/>
              <w:spacing w:before="0" w:after="283"/>
              <w:jc w:val="left"/>
              <w:rPr>
                <w:sz w:val="4"/>
                <w:szCs w:val="4"/>
              </w:rPr>
            </w:pPr>
            <w:r>
              <w:rPr>
                <w:sz w:val="4"/>
                <w:szCs w:val="4"/>
              </w:rPr>
            </w:r>
          </w:p>
        </w:tc>
      </w:tr>
      <w:tr>
        <w:trPr/>
        <w:tc>
          <w:tcPr>
            <w:tcW w:w="735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2855" w:type="dxa"/>
            <w:gridSpan w:val="10"/>
            <w:tcBorders/>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77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c>
          <w:tcPr>
            <w:tcW w:w="1449" w:type="dxa"/>
            <w:gridSpan w:val="6"/>
            <w:tcBorders/>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 in currency translation adjustments</w:t>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4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7,449 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3" w:type="dxa"/>
            <w:gridSpan w:val="3"/>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37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comprehensive income</w:t>
            </w:r>
          </w:p>
        </w:tc>
        <w:tc>
          <w:tcPr>
            <w:tcW w:w="1116"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28,698 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14,496 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207"/>
        <w:gridCol w:w="1439"/>
        <w:gridCol w:w="1384"/>
        <w:gridCol w:w="351"/>
        <w:gridCol w:w="1703"/>
        <w:gridCol w:w="181"/>
        <w:gridCol w:w="181"/>
        <w:gridCol w:w="181"/>
        <w:gridCol w:w="181"/>
        <w:gridCol w:w="351"/>
        <w:gridCol w:w="1703"/>
        <w:gridCol w:w="181"/>
        <w:gridCol w:w="162"/>
      </w:tblGrid>
      <w:tr>
        <w:trPr/>
        <w:tc>
          <w:tcPr>
            <w:tcW w:w="220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BALANCE SHEETS</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(See Note 1)</w:t>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263,136 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362,578 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investments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175,924 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50,311 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50,112 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21,416 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10,281 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assets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522,175 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488,376 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22,652 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22,192 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Right-of-use assets, operating leases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35,865 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36,599 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85,863 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89,148 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767,154 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1,436,400 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1,406,019 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 and Stockholders’ Equity</w:t>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6,908 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4,593 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48,801 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deferred revenue</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acquisition-related contingent consideration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portion of operating lease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4,347 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4,051 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56,115 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59,937 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tax liabilities</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contingent consideration,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 net of current portion</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34,986 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35,603 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Total liabilities</w:t>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91,994 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96,443 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1,344,406 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1,309,576 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1,436,400 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1,406,019 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50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 The condensed consolidated balance sheet at December 31, 2025 has been derived from the audited financial statements at that date included in the company's Annual Report on Form 10-K for the year ended December 31, 2025, filed with the Securities and Exchange Commission on February 26, 2026.</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12"/>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177"/>
        <w:gridCol w:w="1722"/>
        <w:gridCol w:w="1727"/>
        <w:gridCol w:w="335"/>
        <w:gridCol w:w="1360"/>
        <w:gridCol w:w="172"/>
        <w:gridCol w:w="172"/>
        <w:gridCol w:w="172"/>
        <w:gridCol w:w="172"/>
        <w:gridCol w:w="335"/>
        <w:gridCol w:w="1360"/>
        <w:gridCol w:w="501"/>
      </w:tblGrid>
      <w:tr>
        <w:trPr/>
        <w:tc>
          <w:tcPr>
            <w:tcW w:w="2177"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CONDENSED CONSOLIDATED STATEMENTS OF CASH FLOWS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and amortization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on disposal of property, plant and equipment</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Noncash lease expense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732 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904 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Revaluation of acquisition-related contingent consideration</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(1,954)</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foreign currency on operations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(1,585)</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discount on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(882)</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8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(5,567)</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(7,053)</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Supplies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(2,298)</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(1,306)</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(2,928)</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(577)</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7,120 </w:t>
            </w:r>
          </w:p>
        </w:tc>
        <w:tc>
          <w:tcPr>
            <w:tcW w:w="50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liabilities and deferred revenue</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(6,120)</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35,215 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5,362 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 of short-term investments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(124,999)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(49,999)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vAlign w:val="center"/>
          </w:tcPr>
          <w:p>
            <w:pPr>
              <w:pStyle w:val="TableContents"/>
              <w:bidi w:val="0"/>
              <w:spacing w:before="0" w:after="283"/>
              <w:jc w:val="left"/>
              <w:rPr>
                <w:sz w:val="4"/>
                <w:szCs w:val="4"/>
              </w:rPr>
            </w:pPr>
            <w:r>
              <w:rPr>
                <w:sz w:val="4"/>
                <w:szCs w:val="4"/>
              </w:rPr>
            </w:r>
          </w:p>
        </w:tc>
        <w:tc>
          <w:tcPr>
            <w:tcW w:w="1867" w:type="dxa"/>
            <w:gridSpan w:val="3"/>
            <w:tcBorders/>
            <w:vAlign w:val="center"/>
          </w:tcPr>
          <w:p>
            <w:pPr>
              <w:pStyle w:val="TableContents"/>
              <w:bidi w:val="0"/>
              <w:spacing w:before="0" w:after="283"/>
              <w:jc w:val="left"/>
              <w:rPr>
                <w:sz w:val="4"/>
                <w:szCs w:val="4"/>
              </w:rPr>
            </w:pPr>
            <w:r>
              <w:rPr>
                <w:sz w:val="4"/>
                <w:szCs w:val="4"/>
              </w:rPr>
            </w:r>
          </w:p>
        </w:tc>
        <w:tc>
          <w:tcPr>
            <w:tcW w:w="516" w:type="dxa"/>
            <w:gridSpan w:val="3"/>
            <w:tcBorders/>
            <w:vAlign w:val="center"/>
          </w:tcPr>
          <w:p>
            <w:pPr>
              <w:pStyle w:val="TableContents"/>
              <w:bidi w:val="0"/>
              <w:spacing w:before="0" w:after="283"/>
              <w:jc w:val="left"/>
              <w:rPr>
                <w:sz w:val="4"/>
                <w:szCs w:val="4"/>
              </w:rPr>
            </w:pPr>
            <w:r>
              <w:rPr>
                <w:sz w:val="4"/>
                <w:szCs w:val="4"/>
              </w:rPr>
            </w:r>
          </w:p>
        </w:tc>
        <w:tc>
          <w:tcPr>
            <w:tcW w:w="2196" w:type="dxa"/>
            <w:gridSpan w:val="3"/>
            <w:tcBorders/>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property, plant and equipment</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(1,819)</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(127,961)</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(51,818)</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Financing activities</w:t>
            </w:r>
          </w:p>
        </w:tc>
        <w:tc>
          <w:tcPr>
            <w:tcW w:w="18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taxes on vested restricted stock units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(9,364)</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(9,451)</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 and employee stock purchases</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2,735 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2,967 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(6,629)</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(6,484)</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Decrease in cash, cash equivalents and restricted cash</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(99,375)</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(52,940)</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Effect of foreign currency on cash, cash equivalents and restricted cash</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decrease in cash, cash equivalents and restricted cash</w:t>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(99,433)</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(52,866)</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beginning of period</w:t>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364,226 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240,631 </w:t>
            </w:r>
          </w:p>
        </w:tc>
        <w:tc>
          <w:tcPr>
            <w:tcW w:w="5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Cash, cash equivalents and restricted cash at end of period</w:t>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264,793 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187,765 </w:t>
            </w:r>
          </w:p>
        </w:tc>
        <w:tc>
          <w:tcPr>
            <w:tcW w:w="5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8947" w:type="dxa"/>
        <w:jc w:val="left"/>
        <w:tblInd w:w="0" w:type="dxa"/>
        <w:tblLayout w:type="fixed"/>
        <w:tblCellMar>
          <w:top w:w="28" w:type="dxa"/>
          <w:left w:w="28" w:type="dxa"/>
          <w:bottom w:w="28" w:type="dxa"/>
          <w:right w:w="28" w:type="dxa"/>
        </w:tblCellMar>
      </w:tblPr>
      <w:tblGrid>
        <w:gridCol w:w="1574"/>
        <w:gridCol w:w="1385"/>
        <w:gridCol w:w="1391"/>
        <w:gridCol w:w="356"/>
        <w:gridCol w:w="1445"/>
        <w:gridCol w:w="184"/>
        <w:gridCol w:w="184"/>
        <w:gridCol w:w="184"/>
        <w:gridCol w:w="184"/>
        <w:gridCol w:w="356"/>
        <w:gridCol w:w="1445"/>
        <w:gridCol w:w="259"/>
      </w:tblGrid>
      <w:tr>
        <w:trPr/>
        <w:tc>
          <w:tcPr>
            <w:tcW w:w="1574"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CASH, CASH EQUIVALENTS AND RESTRICTED CASH</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894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March 31,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263,136 </w:t>
            </w:r>
          </w:p>
        </w:tc>
        <w:tc>
          <w:tcPr>
            <w:tcW w:w="184"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362,578 </w:t>
            </w:r>
          </w:p>
        </w:tc>
        <w:tc>
          <w:tcPr>
            <w:tcW w:w="259" w:type="dxa"/>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Restricted cash</w:t>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1,657 </w:t>
            </w:r>
          </w:p>
        </w:tc>
        <w:tc>
          <w:tcPr>
            <w:tcW w:w="1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1,648 </w:t>
            </w:r>
          </w:p>
        </w:tc>
        <w:tc>
          <w:tcPr>
            <w:tcW w:w="2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cash equivalents and restricted cash</w:t>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264,793 </w:t>
            </w:r>
          </w:p>
        </w:tc>
        <w:tc>
          <w:tcPr>
            <w:tcW w:w="1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364,226 </w:t>
            </w:r>
          </w:p>
        </w:tc>
        <w:tc>
          <w:tcPr>
            <w:tcW w:w="2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68"/>
        <w:gridCol w:w="1339"/>
        <w:gridCol w:w="1341"/>
        <w:gridCol w:w="415"/>
        <w:gridCol w:w="1686"/>
        <w:gridCol w:w="563"/>
        <w:gridCol w:w="214"/>
        <w:gridCol w:w="214"/>
        <w:gridCol w:w="214"/>
        <w:gridCol w:w="415"/>
        <w:gridCol w:w="1479"/>
        <w:gridCol w:w="657"/>
      </w:tblGrid>
      <w:tr>
        <w:trPr/>
        <w:tc>
          <w:tcPr>
            <w:tcW w:w="1668"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6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Cost of Revenue:</w:t>
            </w:r>
          </w:p>
        </w:tc>
        <w:tc>
          <w:tcPr>
            <w:tcW w:w="26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testing revenue</w:t>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33,306 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28,260 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testing revenue</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31,907 </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27,814 </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product revenue</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1,891 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1,422 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product revenue</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1,902 </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1,421 </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cost of biopharmaceutical and other revenue</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cost of biopharmaceutical and other revenue</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2,625 </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Gross Margin:</w:t>
            </w:r>
          </w:p>
        </w:tc>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Profit</w:t>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101,159 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79,508 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Gross Margin</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w:t>
            </w:r>
          </w:p>
        </w:tc>
        <w:tc>
          <w:tcPr>
            <w:tcW w:w="56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w:t>
            </w:r>
          </w:p>
        </w:tc>
        <w:tc>
          <w:tcPr>
            <w:tcW w:w="65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2,707 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2,585 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1,099 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520 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(1)</w:t>
            </w:r>
          </w:p>
        </w:tc>
        <w:tc>
          <w:tcPr>
            <w:tcW w:w="210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289 </w:t>
            </w:r>
          </w:p>
        </w:tc>
        <w:tc>
          <w:tcPr>
            <w:tcW w:w="5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Profit</w:t>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6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105,254 </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82,613 </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Gross Margin</w:t>
            </w:r>
          </w:p>
        </w:tc>
        <w:tc>
          <w:tcPr>
            <w:tcW w:w="21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75.7</w:t>
            </w:r>
          </w:p>
        </w:tc>
        <w:tc>
          <w:tcPr>
            <w:tcW w:w="5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72.2</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4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1.For the three months ended March 31, 2026, adjustments include the impact of Non-GAAP adjustments on IT/Facilities allocations ($0.3 million), partially offset by expense related to the restructuring of Veracyte SAS.</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542"/>
        <w:gridCol w:w="1357"/>
        <w:gridCol w:w="1361"/>
        <w:gridCol w:w="498"/>
        <w:gridCol w:w="1776"/>
        <w:gridCol w:w="257"/>
        <w:gridCol w:w="257"/>
        <w:gridCol w:w="257"/>
        <w:gridCol w:w="257"/>
        <w:gridCol w:w="498"/>
        <w:gridCol w:w="1776"/>
        <w:gridCol w:w="369"/>
      </w:tblGrid>
      <w:tr>
        <w:trPr/>
        <w:tc>
          <w:tcPr>
            <w:tcW w:w="154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77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7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Operating Expenses:</w:t>
            </w:r>
          </w:p>
        </w:tc>
        <w:tc>
          <w:tcPr>
            <w:tcW w:w="25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research and development</w:t>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27,098 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17,720 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(2,680)</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(2,066)</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research and development</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24,141 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15,654 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sales and marketing</w:t>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27,156 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24,454 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(2,399)</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(1,958)</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sales and marketing</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24,726 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22,496 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general and administrative</w:t>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23,680 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33,808 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(6,583)</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(6,414)</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general and administrative</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15,769 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22,348 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total operating expenses</w:t>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78,513 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76,604 </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(622)</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(11,662)</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(10,438)</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(2)</w:t>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(2,003)</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(3,694)</w:t>
            </w:r>
          </w:p>
        </w:tc>
        <w:tc>
          <w:tcPr>
            <w:tcW w:w="3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total operating expenses</w:t>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64,636 </w:t>
            </w:r>
          </w:p>
        </w:tc>
        <w:tc>
          <w:tcPr>
            <w:tcW w:w="2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60,498 </w:t>
            </w:r>
          </w:p>
        </w:tc>
        <w:tc>
          <w:tcPr>
            <w:tcW w:w="3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March 31, 2026, adjustments consist primarily of transaction-related expenses associated with contingent consideration related to the NanoString Technologies, Inc. ("NanoString") transaction ($0.4 million). For the three months ended March 31, 2025, adjustments consist primarily of transaction-related expenses associated with the acquisition of C2i Genomics ($1.3 million).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2.For the three months ended March 31, 2026, adjustments consist primarily of expenses related to the assessment of licensing and strategic investments ($1.7 million) and expenses related to legal proceedings ($0.6 million), partially offset by the impact of Non-GAAP adjustments on IT/Facilities allocations ($0.3 million). For the three months ended March 31, 2025, adjustments primarily include expense related to Veracyte SAS investment review ($3.8 million), partially offset by adjustments related to restructuring costs ($0.1 million).</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879"/>
        <w:gridCol w:w="1654"/>
        <w:gridCol w:w="1657"/>
        <w:gridCol w:w="419"/>
        <w:gridCol w:w="1281"/>
        <w:gridCol w:w="488"/>
        <w:gridCol w:w="185"/>
        <w:gridCol w:w="185"/>
        <w:gridCol w:w="185"/>
        <w:gridCol w:w="419"/>
        <w:gridCol w:w="1281"/>
        <w:gridCol w:w="572"/>
      </w:tblGrid>
      <w:tr>
        <w:trPr/>
        <w:tc>
          <w:tcPr>
            <w:tcW w:w="1879"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VERACYTE,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RECONCILIATION OF U.S. GAAP to NON-GAAP FINANCIAL MEASURES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(Unaudited)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(In thousands)</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Three Months Ended March 31,</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2026</w:t>
            </w:r>
          </w:p>
        </w:tc>
        <w:tc>
          <w:tcPr>
            <w:tcW w:w="55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2025</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Adjusted EBITDA:</w:t>
            </w:r>
          </w:p>
        </w:tc>
        <w:tc>
          <w:tcPr>
            <w:tcW w:w="21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28,707 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 as a % of Revenue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w:t>
            </w:r>
          </w:p>
        </w:tc>
        <w:tc>
          <w:tcPr>
            <w:tcW w:w="48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w:t>
            </w:r>
          </w:p>
        </w:tc>
        <w:tc>
          <w:tcPr>
            <w:tcW w:w="57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expense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2,144 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2,155 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12,761 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expense (income), net (2)</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(3,478)</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(2,976)</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 (benefit)</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1,267 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42,800 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24,715 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EBITDA as a % of Revenue</w:t>
            </w:r>
          </w:p>
        </w:tc>
        <w:tc>
          <w:tcPr>
            <w:tcW w:w="1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30.8</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Net Income (Loss)</w:t>
            </w:r>
          </w:p>
        </w:tc>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GAAP Net Income (Loss)</w:t>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28,707 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7,047 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3,286 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3,207 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12,761 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10,958 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1,352 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(1,520)</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2,591 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(679)</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Non-GAAP Net Income</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42,114 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24,476 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Reconciliation of Non-GAAP Earnings per Share</w:t>
            </w:r>
          </w:p>
        </w:tc>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GAAP</w:t>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0.35 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0.09 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intangible assets</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0.16 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 related expenses (1)</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adjustments (3)</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adjustments (4)</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Rounding and impact of dilutive shares</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 non-GAAP</w:t>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0.52 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2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0.31 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shares outstanding used in computing diluted earnings per share</w:t>
            </w:r>
          </w:p>
        </w:tc>
        <w:tc>
          <w:tcPr>
            <w:tcW w:w="2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GAAP</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81,313,588 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80,056,024 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equity awards (5)</w:t>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non-GAAP</w:t>
            </w:r>
          </w:p>
        </w:tc>
        <w:tc>
          <w:tcPr>
            <w:tcW w:w="1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81,313,588 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80,056,024 </w:t>
            </w:r>
          </w:p>
        </w:tc>
        <w:tc>
          <w:tcPr>
            <w:tcW w:w="5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23"/>
        <w:gridCol w:w="808"/>
        <w:gridCol w:w="808"/>
        <w:gridCol w:w="808"/>
        <w:gridCol w:w="808"/>
        <w:gridCol w:w="808"/>
        <w:gridCol w:w="808"/>
        <w:gridCol w:w="808"/>
        <w:gridCol w:w="808"/>
        <w:gridCol w:w="808"/>
        <w:gridCol w:w="808"/>
        <w:gridCol w:w="1202"/>
      </w:tblGrid>
      <w:tr>
        <w:trPr/>
        <w:tc>
          <w:tcPr>
            <w:tcW w:w="923"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ind w:left="0" w:right="0" w:hanging="180"/>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1.Includes transaction-related expenses as well as post-combination compensation expenses. For the three months ended March 31, 2026, adjustments consist primarily of transaction-related expenses associated with contingent consideration related to the NanoString transaction ($0.4 million). For the three months ended March 31, 2025, adjustments consist primarily of transaction-related expenses associated with the acquisition of C2i Genomics ($1.3 million).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2.Includes interest income and income related to research tax credits.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3.For the three months ended March 31, 2026, adjustments primarily include impacts from the restructuring and liquidation proceedings of Veracyte SAS ($4.2 million), partially offset by expenses related to the assessment of licensing and strategic investments ($1.7 million), other legal proceedings ($0.6 million) and losses related to asset disposition ($0.4 million). For the three months ended March 31, 2025, adjustments primarily include expense related to Veracyte SAS site investment review ($3.8 million), partially offset by adjustments related to restructuring costs ($0.1 million) and the exclusion of unrealized gains associated with foreign exchange impacts on stock-based compensation and intercompany loans ($1.1 million).</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ind w:left="0" w:right="0" w:hanging="180"/>
              <w:jc w:val="left"/>
              <w:rPr>
                <w:rFonts w:ascii="Arial;sans-serif" w:hAnsi="Arial;sans-serif"/>
                <w:b w:val="false"/>
                <w:color w:val="000000"/>
                <w:sz w:val="20"/>
              </w:rPr>
            </w:pPr>
            <w:r>
              <w:rPr>
                <w:rFonts w:ascii="Arial;sans-serif" w:hAnsi="Arial;sans-serif"/>
                <w:b w:val="false"/>
                <w:color w:val="000000"/>
                <w:sz w:val="20"/>
              </w:rPr>
              <w:t>4.Incremental non-GAAP tax expense reflects the tax impact of the non-GAAP adjustments listed.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5.In those periods in which GAAP net (loss) income is negative and non-GAAP net (loss) income is positive, non-GAAP diluted weighted average shares outstanding includes potentially dilutive common shares from equity awards as determined using the treasury stock method.</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Investors: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Kelly Gura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investors@veracyte.com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619-393-1545</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Media: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Molly Cornbleet</w:t>
      </w:r>
    </w:p>
    <w:p>
      <w:pPr>
        <w:pStyle w:val="TextBody"/>
        <w:bidi w:val="0"/>
        <w:spacing w:lineRule="auto" w:line="276"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media@veracyte.com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4223</Words>
  <Characters>24690</Characters>
  <CharactersWithSpaces>28437</CharactersWithSpaces>
  <Paragraphs>771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