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47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ind w:left="3351"/>
        <w:spacing w:after="0"/>
        <w:rPr>
          <w:sz w:val="20"/>
          <w:szCs w:val="20"/>
          <w:color w:val="auto"/>
        </w:rPr>
      </w:pPr>
      <w:r>
        <w:rPr>
          <w:rFonts w:ascii="Arial" w:cs="Arial" w:eastAsia="Arial" w:hAnsi="Arial"/>
          <w:sz w:val="18"/>
          <w:szCs w:val="18"/>
          <w:color w:val="auto"/>
        </w:rPr>
        <w:t>Date of Report (Date of earliest event reported): March 1, 2017</w:t>
      </w:r>
    </w:p>
    <w:p>
      <w:pPr>
        <w:spacing w:after="0" w:line="255" w:lineRule="exact"/>
        <w:rPr>
          <w:sz w:val="24"/>
          <w:szCs w:val="24"/>
          <w:color w:val="auto"/>
        </w:rPr>
      </w:pPr>
    </w:p>
    <w:p>
      <w:pPr>
        <w:jc w:val="center"/>
        <w:ind w:right="-47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ind w:left="3671"/>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71" w:type="dxa"/>
        <w:tblCellMar>
          <w:top w:w="0" w:type="dxa"/>
          <w:left w:w="0" w:type="dxa"/>
          <w:bottom w:w="0" w:type="dxa"/>
          <w:right w:w="0" w:type="dxa"/>
        </w:tblCellMar>
      </w:tblPr>
      <w:tr>
        <w:trPr>
          <w:trHeight w:val="234"/>
        </w:trPr>
        <w:tc>
          <w:tcPr>
            <w:tcW w:w="4340" w:type="dxa"/>
            <w:vAlign w:val="bottom"/>
          </w:tcPr>
          <w:p>
            <w:pPr>
              <w:jc w:val="center"/>
              <w:ind w:right="990"/>
              <w:spacing w:after="0"/>
              <w:rPr>
                <w:sz w:val="20"/>
                <w:szCs w:val="20"/>
                <w:color w:val="auto"/>
              </w:rPr>
            </w:pPr>
            <w:r>
              <w:rPr>
                <w:rFonts w:ascii="Arial" w:cs="Arial" w:eastAsia="Arial" w:hAnsi="Arial"/>
                <w:sz w:val="18"/>
                <w:szCs w:val="18"/>
                <w:b w:val="1"/>
                <w:bCs w:val="1"/>
                <w:color w:val="auto"/>
                <w:w w:val="98"/>
              </w:rPr>
              <w:t>DELAWARE</w:t>
            </w:r>
          </w:p>
        </w:tc>
        <w:tc>
          <w:tcPr>
            <w:tcW w:w="304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001-36156</w:t>
            </w:r>
          </w:p>
        </w:tc>
        <w:tc>
          <w:tcPr>
            <w:tcW w:w="308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20-5455398</w:t>
            </w:r>
          </w:p>
        </w:tc>
      </w:tr>
      <w:tr>
        <w:trPr>
          <w:trHeight w:val="310"/>
        </w:trPr>
        <w:tc>
          <w:tcPr>
            <w:tcW w:w="434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w:t>
            </w:r>
          </w:p>
        </w:tc>
        <w:tc>
          <w:tcPr>
            <w:tcW w:w="3040" w:type="dxa"/>
            <w:vAlign w:val="bottom"/>
          </w:tcPr>
          <w:p>
            <w:pPr>
              <w:jc w:val="center"/>
              <w:ind w:right="710"/>
              <w:spacing w:after="0"/>
              <w:rPr>
                <w:sz w:val="20"/>
                <w:szCs w:val="20"/>
                <w:color w:val="auto"/>
              </w:rPr>
            </w:pPr>
            <w:r>
              <w:rPr>
                <w:rFonts w:ascii="Arial" w:cs="Arial" w:eastAsia="Arial" w:hAnsi="Arial"/>
                <w:sz w:val="18"/>
                <w:szCs w:val="18"/>
                <w:color w:val="auto"/>
                <w:w w:val="93"/>
              </w:rPr>
              <w:t>Commission File Number</w:t>
            </w:r>
          </w:p>
        </w:tc>
        <w:tc>
          <w:tcPr>
            <w:tcW w:w="3080" w:type="dxa"/>
            <w:vAlign w:val="bottom"/>
          </w:tcPr>
          <w:p>
            <w:pPr>
              <w:jc w:val="center"/>
              <w:ind w:left="870"/>
              <w:spacing w:after="0"/>
              <w:rPr>
                <w:sz w:val="20"/>
                <w:szCs w:val="20"/>
                <w:color w:val="auto"/>
              </w:rPr>
            </w:pPr>
            <w:r>
              <w:rPr>
                <w:rFonts w:ascii="Arial" w:cs="Arial" w:eastAsia="Arial" w:hAnsi="Arial"/>
                <w:sz w:val="18"/>
                <w:szCs w:val="18"/>
                <w:color w:val="auto"/>
                <w:w w:val="95"/>
              </w:rPr>
              <w:t>(IRS Employer Identification</w:t>
            </w:r>
          </w:p>
        </w:tc>
      </w:tr>
      <w:tr>
        <w:trPr>
          <w:trHeight w:val="230"/>
        </w:trPr>
        <w:tc>
          <w:tcPr>
            <w:tcW w:w="4340" w:type="dxa"/>
            <w:vAlign w:val="bottom"/>
          </w:tcPr>
          <w:p>
            <w:pPr>
              <w:jc w:val="center"/>
              <w:ind w:right="1010"/>
              <w:spacing w:after="0"/>
              <w:rPr>
                <w:sz w:val="20"/>
                <w:szCs w:val="20"/>
                <w:color w:val="auto"/>
              </w:rPr>
            </w:pPr>
            <w:r>
              <w:rPr>
                <w:rFonts w:ascii="Arial" w:cs="Arial" w:eastAsia="Arial" w:hAnsi="Arial"/>
                <w:sz w:val="18"/>
                <w:szCs w:val="18"/>
                <w:color w:val="auto"/>
                <w:w w:val="94"/>
              </w:rPr>
              <w:t>incorporation)</w:t>
            </w:r>
          </w:p>
        </w:tc>
        <w:tc>
          <w:tcPr>
            <w:tcW w:w="3040" w:type="dxa"/>
            <w:vAlign w:val="bottom"/>
          </w:tcPr>
          <w:p>
            <w:pPr>
              <w:spacing w:after="0"/>
              <w:rPr>
                <w:sz w:val="20"/>
                <w:szCs w:val="20"/>
                <w:color w:val="auto"/>
              </w:rPr>
            </w:pPr>
          </w:p>
        </w:tc>
        <w:tc>
          <w:tcPr>
            <w:tcW w:w="3080" w:type="dxa"/>
            <w:vAlign w:val="bottom"/>
          </w:tcPr>
          <w:p>
            <w:pPr>
              <w:jc w:val="center"/>
              <w:ind w:left="870"/>
              <w:spacing w:after="0"/>
              <w:rPr>
                <w:sz w:val="20"/>
                <w:szCs w:val="20"/>
                <w:color w:val="auto"/>
              </w:rPr>
            </w:pPr>
            <w:r>
              <w:rPr>
                <w:rFonts w:ascii="Arial" w:cs="Arial" w:eastAsia="Arial" w:hAnsi="Arial"/>
                <w:sz w:val="18"/>
                <w:szCs w:val="18"/>
                <w:color w:val="auto"/>
                <w:w w:val="93"/>
              </w:rPr>
              <w:t>No.)</w:t>
            </w:r>
          </w:p>
        </w:tc>
      </w:tr>
      <w:tr>
        <w:trPr>
          <w:trHeight w:val="630"/>
        </w:trPr>
        <w:tc>
          <w:tcPr>
            <w:tcW w:w="4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40" w:type="dxa"/>
            <w:vAlign w:val="bottom"/>
          </w:tcPr>
          <w:p>
            <w:pPr>
              <w:spacing w:after="0"/>
              <w:rPr>
                <w:sz w:val="24"/>
                <w:szCs w:val="24"/>
                <w:color w:val="auto"/>
              </w:rPr>
            </w:pPr>
          </w:p>
        </w:tc>
        <w:tc>
          <w:tcPr>
            <w:tcW w:w="3080" w:type="dxa"/>
            <w:vAlign w:val="bottom"/>
          </w:tcPr>
          <w:p>
            <w:pPr>
              <w:jc w:val="right"/>
              <w:ind w:right="107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California</w:t>
            </w:r>
          </w:p>
        </w:tc>
        <w:tc>
          <w:tcPr>
            <w:tcW w:w="304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297"/>
        </w:trPr>
        <w:tc>
          <w:tcPr>
            <w:tcW w:w="4340" w:type="dxa"/>
            <w:vAlign w:val="bottom"/>
          </w:tcPr>
          <w:p>
            <w:pPr>
              <w:jc w:val="center"/>
              <w:ind w:right="11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spacing w:after="0"/>
              <w:rPr>
                <w:sz w:val="24"/>
                <w:szCs w:val="24"/>
                <w:color w:val="auto"/>
              </w:rPr>
            </w:pPr>
          </w:p>
        </w:tc>
        <w:tc>
          <w:tcPr>
            <w:tcW w:w="3080" w:type="dxa"/>
            <w:vAlign w:val="bottom"/>
          </w:tcPr>
          <w:p>
            <w:pPr>
              <w:jc w:val="center"/>
              <w:ind w:left="19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47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47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ind w:left="339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51"/>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114300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277495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71"/>
          </w:cols>
          <w:pgMar w:left="329" w:top="1422"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March 1, 2017, Veracyte, Inc. issued a press release announcing its financial results for the quarter and the year ended December 31, 2016. The full text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p>
      <w:pPr>
        <w:ind w:left="80"/>
        <w:spacing w:after="0"/>
        <w:tabs>
          <w:tab w:leader="none" w:pos="6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280"/>
        <w:spacing w:after="0"/>
        <w:tabs>
          <w:tab w:leader="none" w:pos="1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Veracyte, Inc. dated March 1, 2017.</w:t>
      </w:r>
    </w:p>
    <w:p>
      <w:pPr>
        <w:sectPr>
          <w:pgSz w:w="11900" w:h="16838" w:orient="portrait"/>
          <w:cols w:equalWidth="0" w:num="1">
            <w:col w:w="11420"/>
          </w:cols>
          <w:pgMar w:left="240" w:top="580"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6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March 1, 2017</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5860" w:type="dxa"/>
            <w:vAlign w:val="bottom"/>
          </w:tcPr>
          <w:p>
            <w:pPr>
              <w:ind w:left="80"/>
              <w:spacing w:after="0"/>
              <w:rPr>
                <w:sz w:val="20"/>
                <w:szCs w:val="20"/>
                <w:color w:val="auto"/>
              </w:rPr>
            </w:pPr>
            <w:r>
              <w:rPr>
                <w:rFonts w:ascii="Arial" w:cs="Arial" w:eastAsia="Arial" w:hAnsi="Arial"/>
                <w:sz w:val="18"/>
                <w:szCs w:val="18"/>
                <w:color w:val="auto"/>
              </w:rPr>
              <w:t>/s/ Keith S. Kennedy</w:t>
            </w:r>
          </w:p>
        </w:tc>
        <w:tc>
          <w:tcPr>
            <w:tcW w:w="0" w:type="dxa"/>
            <w:vAlign w:val="bottom"/>
          </w:tcPr>
          <w:p>
            <w:pPr>
              <w:spacing w:after="0"/>
              <w:rPr>
                <w:sz w:val="1"/>
                <w:szCs w:val="1"/>
                <w:color w:val="auto"/>
              </w:rPr>
            </w:pPr>
          </w:p>
        </w:tc>
      </w:tr>
      <w:tr>
        <w:trPr>
          <w:trHeight w:val="54"/>
        </w:trPr>
        <w:tc>
          <w:tcPr>
            <w:tcW w:w="9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5860" w:type="dxa"/>
            <w:vAlign w:val="bottom"/>
          </w:tcPr>
          <w:p>
            <w:pPr>
              <w:ind w:left="80"/>
              <w:spacing w:after="0"/>
              <w:rPr>
                <w:sz w:val="20"/>
                <w:szCs w:val="20"/>
                <w:color w:val="auto"/>
              </w:rPr>
            </w:pPr>
            <w:r>
              <w:rPr>
                <w:rFonts w:ascii="Arial" w:cs="Arial" w:eastAsia="Arial" w:hAnsi="Arial"/>
                <w:sz w:val="18"/>
                <w:szCs w:val="18"/>
                <w:color w:val="auto"/>
              </w:rPr>
              <w:t>Keith S. Kennedy</w:t>
            </w:r>
          </w:p>
        </w:tc>
        <w:tc>
          <w:tcPr>
            <w:tcW w:w="0" w:type="dxa"/>
            <w:vAlign w:val="bottom"/>
          </w:tcPr>
          <w:p>
            <w:pPr>
              <w:spacing w:after="0"/>
              <w:rPr>
                <w:sz w:val="1"/>
                <w:szCs w:val="1"/>
                <w:color w:val="auto"/>
              </w:rPr>
            </w:pPr>
          </w:p>
        </w:tc>
      </w:tr>
      <w:tr>
        <w:trPr>
          <w:trHeight w:val="297"/>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586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940" w:type="dxa"/>
            <w:vAlign w:val="bottom"/>
          </w:tcPr>
          <w:p>
            <w:pPr>
              <w:spacing w:after="0"/>
              <w:rPr>
                <w:sz w:val="24"/>
                <w:szCs w:val="24"/>
                <w:color w:val="auto"/>
              </w:rPr>
            </w:pPr>
          </w:p>
        </w:tc>
        <w:tc>
          <w:tcPr>
            <w:tcW w:w="586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340"/>
          </w:cols>
          <w:pgMar w:left="240" w:top="580"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Fourth Quarter and Full-Year 2016 Financial Results,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2017 Financial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 March 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Grew 31%, to $65.1 Million in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Full-Year Afirma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GEC Volume Increased 20%, to 23,237 Tests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5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Veracyte, Inc. (NASDAQ: VCYT) today announced financial results and business progress for the quarter and full year ended December 31, 2016, and provided financial guidance for 2017.</w:t>
      </w:r>
    </w:p>
    <w:p>
      <w:pPr>
        <w:spacing w:after="0" w:line="22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delivered strong revenue growth and executed on the key milestones for our business in 2016,” said Bonnie Anderson, Veracyte’s chief executive officer and chairman of the board. “We also have tremendous momentum heading into 2017, underscored by several recent Blues coverage decisions for the Afirma GEC and final Medicare coverage policies for the Percepta</w:t>
      </w:r>
      <w:r>
        <w:rPr>
          <w:rFonts w:ascii="Arial" w:cs="Arial" w:eastAsia="Arial" w:hAnsi="Arial"/>
          <w:sz w:val="28"/>
          <w:szCs w:val="28"/>
          <w:i w:val="1"/>
          <w:iCs w:val="1"/>
          <w:color w:val="auto"/>
          <w:vertAlign w:val="superscript"/>
        </w:rPr>
        <w:t>®</w:t>
      </w:r>
      <w:r>
        <w:rPr>
          <w:rFonts w:ascii="Arial" w:cs="Arial" w:eastAsia="Arial" w:hAnsi="Arial"/>
          <w:sz w:val="18"/>
          <w:szCs w:val="18"/>
          <w:color w:val="auto"/>
        </w:rPr>
        <w:t xml:space="preserve"> classifier. These two products will fuel our revenue growth in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2016 Financial Results</w:t>
      </w:r>
    </w:p>
    <w:p>
      <w:pPr>
        <w:spacing w:after="0" w:line="229" w:lineRule="exact"/>
        <w:rPr>
          <w:sz w:val="20"/>
          <w:szCs w:val="20"/>
          <w:color w:val="auto"/>
        </w:rPr>
      </w:pPr>
    </w:p>
    <w:p>
      <w:pPr>
        <w:ind w:left="660" w:right="500" w:hanging="328"/>
        <w:spacing w:after="0" w:line="2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for the three- and twelve-month periods ended December 31, 2016 was $18.3 million and $65.1 million, respectively,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30% and 31% over the prior year.</w:t>
      </w:r>
    </w:p>
    <w:p>
      <w:pPr>
        <w:spacing w:after="0" w:line="161" w:lineRule="exact"/>
        <w:rPr>
          <w:rFonts w:ascii="Arial" w:cs="Arial" w:eastAsia="Arial" w:hAnsi="Arial"/>
          <w:sz w:val="18"/>
          <w:szCs w:val="18"/>
          <w:color w:val="auto"/>
        </w:rPr>
      </w:pPr>
    </w:p>
    <w:p>
      <w:pPr>
        <w:ind w:left="660" w:right="280" w:hanging="328"/>
        <w:spacing w:after="0" w:line="2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Afirma Gene Expression Classifier (GEC) Reported Volume </w:t>
      </w:r>
      <w:r>
        <w:rPr>
          <w:rFonts w:ascii="Arial" w:cs="Arial" w:eastAsia="Arial" w:hAnsi="Arial"/>
          <w:sz w:val="18"/>
          <w:szCs w:val="18"/>
          <w:color w:val="auto"/>
        </w:rPr>
        <w:t>for the three- and twelve-month periods ended December 31, 2016 was</w:t>
      </w:r>
      <w:r>
        <w:rPr>
          <w:rFonts w:ascii="Arial" w:cs="Arial" w:eastAsia="Arial" w:hAnsi="Arial"/>
          <w:sz w:val="18"/>
          <w:szCs w:val="18"/>
          <w:i w:val="1"/>
          <w:iCs w:val="1"/>
          <w:color w:val="auto"/>
        </w:rPr>
        <w:t xml:space="preserve"> </w:t>
      </w:r>
      <w:r>
        <w:rPr>
          <w:rFonts w:ascii="Arial" w:cs="Arial" w:eastAsia="Arial" w:hAnsi="Arial"/>
          <w:sz w:val="18"/>
          <w:szCs w:val="18"/>
          <w:color w:val="auto"/>
        </w:rPr>
        <w:t>6,313 and 23,237, respectively, an increase of 13% and 20% over the prior year.</w:t>
      </w:r>
    </w:p>
    <w:p>
      <w:pPr>
        <w:spacing w:after="0" w:line="161" w:lineRule="exact"/>
        <w:rPr>
          <w:rFonts w:ascii="Arial" w:cs="Arial" w:eastAsia="Arial" w:hAnsi="Arial"/>
          <w:sz w:val="18"/>
          <w:szCs w:val="18"/>
          <w:color w:val="auto"/>
        </w:rPr>
      </w:pPr>
    </w:p>
    <w:p>
      <w:pPr>
        <w:ind w:left="660" w:right="740" w:hanging="328"/>
        <w:spacing w:after="0" w:line="2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for the three- and twelve-month periods ended December 31, 2016, were $21.9 million and $93.9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an increase of 0% and 13% over the prior year.</w:t>
      </w:r>
    </w:p>
    <w:p>
      <w:pPr>
        <w:spacing w:after="0" w:line="161" w:lineRule="exact"/>
        <w:rPr>
          <w:rFonts w:ascii="Arial" w:cs="Arial" w:eastAsia="Arial" w:hAnsi="Arial"/>
          <w:sz w:val="18"/>
          <w:szCs w:val="18"/>
          <w:color w:val="auto"/>
        </w:rPr>
      </w:pPr>
    </w:p>
    <w:p>
      <w:pPr>
        <w:ind w:left="660" w:right="160" w:hanging="328"/>
        <w:spacing w:after="0" w:line="2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for the three- and twelve-month periods ended December 31, 2016 was ($4.4) million and ($31.4)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 45% and 7% reduction from the prior year.</w:t>
      </w:r>
    </w:p>
    <w:p>
      <w:pPr>
        <w:spacing w:after="0" w:line="161" w:lineRule="exact"/>
        <w:rPr>
          <w:rFonts w:ascii="Arial" w:cs="Arial" w:eastAsia="Arial" w:hAnsi="Arial"/>
          <w:sz w:val="18"/>
          <w:szCs w:val="18"/>
          <w:color w:val="auto"/>
        </w:rPr>
      </w:pPr>
    </w:p>
    <w:p>
      <w:pPr>
        <w:ind w:left="660" w:right="100" w:hanging="328"/>
        <w:spacing w:after="0" w:line="26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$59.2 million at December 31, 2016. During the twelve-month period ended December 31,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raised $51.1 million in capital, including $19.2 million in net proceeds from its March 2016 debt financing and $31.9 million in net proceeds from a public offering of common stock.</w:t>
      </w:r>
    </w:p>
    <w:p>
      <w:pPr>
        <w:spacing w:after="0" w:line="176"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Cash Burn </w:t>
      </w:r>
      <w:r>
        <w:rPr>
          <w:rFonts w:ascii="Arial" w:cs="Arial" w:eastAsia="Arial" w:hAnsi="Arial"/>
          <w:sz w:val="18"/>
          <w:szCs w:val="18"/>
          <w:color w:val="auto"/>
        </w:rPr>
        <w:t>for the three- and twelve-month periods ended December 31, 2016 (which is defined as net cash used in 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purchases of property and equipment), was $4.7 million and $32.2 million, respectively, a 33% and 3% improvement compared to the prior year.</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and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w:t>
      </w:r>
    </w:p>
    <w:p>
      <w:pPr>
        <w:spacing w:after="0" w:line="27" w:lineRule="exact"/>
        <w:rPr>
          <w:sz w:val="20"/>
          <w:szCs w:val="20"/>
          <w:color w:val="auto"/>
        </w:rPr>
      </w:pPr>
    </w:p>
    <w:p>
      <w:pPr>
        <w:ind w:left="660" w:right="4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Executed a Blues group-purchasing agreement in April 2016, accelerating Blues plan in-network contracting and overall reimbursement for the Afirma GEC thyroid cancer test. As of February 28, 2017, the company has more than 70 million Blues plan members under coverage and nearly 25 million under contract.</w:t>
      </w:r>
    </w:p>
    <w:p>
      <w:pPr>
        <w:spacing w:after="0" w:line="1"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overall covered lives for the Afirma GEC by 50 million to nearly 225 million and overall contracted lives by 25 million to over 155 million as of February 28, 2017.</w:t>
      </w:r>
    </w:p>
    <w:p>
      <w:pPr>
        <w:sectPr>
          <w:pgSz w:w="11900" w:h="16838" w:orient="portrait"/>
          <w:cols w:equalWidth="0" w:num="1">
            <w:col w:w="11420"/>
          </w:cols>
          <w:pgMar w:left="240" w:top="580" w:right="239" w:bottom="1440" w:gutter="0" w:footer="0" w:header="0"/>
        </w:sectPr>
      </w:pPr>
    </w:p>
    <w:bookmarkStart w:id="4" w:name="page5"/>
    <w:bookmarkEnd w:id="4"/>
    <w:p>
      <w:pPr>
        <w:ind w:left="660" w:right="70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draft Medicare coverage policies for the Percepta Bronchial Genomic Classifier for use in lung cancer screening and diagnosis, leading to two final policies scheduled to become effective in March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Evidence and Commercial Expansion:</w:t>
      </w:r>
    </w:p>
    <w:p>
      <w:pPr>
        <w:spacing w:after="0" w:line="27" w:lineRule="exact"/>
        <w:rPr>
          <w:sz w:val="20"/>
          <w:szCs w:val="20"/>
          <w:color w:val="auto"/>
        </w:rPr>
      </w:pPr>
    </w:p>
    <w:p>
      <w:pPr>
        <w:ind w:left="6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Clinical utility and cost-effectiveness data for the Percepta classifier were presented at the American Thoracic Society and the CHEST annual meetings, further suggesting that use of the Percepta classifier changes patient care and reduces healthcare costs as intended.</w:t>
      </w:r>
    </w:p>
    <w:p>
      <w:pPr>
        <w:ind w:left="660" w:right="20" w:hanging="328"/>
        <w:spacing w:after="0" w:line="23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the Envisia</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Genomic Classifier at the CHEST annual meeting in October 2016, in conjunction with the presentation of new data suggesting the test’s ability to significantly improve the diagnosis of idiopathic pulmonary fibrosis (IPF) without the need for risky, expensive surgery.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 Advancements:</w:t>
      </w:r>
    </w:p>
    <w:p>
      <w:pPr>
        <w:spacing w:after="0" w:line="27" w:lineRule="exact"/>
        <w:rPr>
          <w:sz w:val="20"/>
          <w:szCs w:val="20"/>
          <w:color w:val="auto"/>
        </w:rPr>
      </w:pPr>
    </w:p>
    <w:p>
      <w:pPr>
        <w:ind w:left="660" w:right="1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Presented data at the American Thyroid Association meeting in September 2016, demonstrating the potential for a next-generation Afirma GEC, planned for 2017 introduction, to substantially increase the percentage of patients with benign thyroid nodules who may be able to avoid unnecessary surgery.</w:t>
      </w:r>
    </w:p>
    <w:p>
      <w:pPr>
        <w:spacing w:after="0" w:line="1"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Data were published in the </w:t>
      </w:r>
      <w:r>
        <w:rPr>
          <w:rFonts w:ascii="Arial" w:cs="Arial" w:eastAsia="Arial" w:hAnsi="Arial"/>
          <w:sz w:val="18"/>
          <w:szCs w:val="18"/>
          <w:i w:val="1"/>
          <w:iCs w:val="1"/>
          <w:color w:val="auto"/>
        </w:rPr>
        <w:t>Journal of the National Cancer Institute</w:t>
      </w:r>
      <w:r>
        <w:rPr>
          <w:rFonts w:ascii="Arial" w:cs="Arial" w:eastAsia="Arial" w:hAnsi="Arial"/>
          <w:sz w:val="18"/>
          <w:szCs w:val="18"/>
          <w:color w:val="auto"/>
        </w:rPr>
        <w:t xml:space="preserve"> suggesting the potential for the “field of injury” technology behind Veracyte’s Percepta classifier to enable lung cancer detection using a simple, non-invasive nasal swab test.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Outlook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Veracyte expects to achieve the following results in 2017:</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revenue in the range of $76 to $84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cash burn of $25 to $27 million, a reduction of 16 to 22% over the prior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Veracyte will host a conference call and webcast today at 4:30 p.m. Eastern Time to discuss the company’s financial results and provide a general business update. The live webcast and subsequent replay may be accessed by visiting Veracyte's website at http://investor.veracyte.com. Alternatively, please call (855) 541-0980 (U.S.) or (970) 315-0440 (international) to listen to the live conference call. The conference ID number is 63407446. The webcast replay will be available on the company's website approximately two hours following completion of the call.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4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Veracyte (NASDAQ: VCYT) is a leading genomic diagnostics company that is fundamentally improving patient care by resolving diagnostic uncertainty with evidence that is trustworthy and actionable. The company's products uniquely combine genomic technology, clinical science and machine learning to provide answers that give physicians and patients a clear path forward without risky, costly surgery that is often unnecessary. Since its founding in 2008, Veracyte has commercialized three genomic tests, which are transforming the diagnosis of thyroid cancer, lung cancer and idiopathic pulmonary fibrosis and collectively target a $ 2 billion market opportunity. Veracyte is based in South San Francisco, California. For more information, please visit www.veracyte.com and follow the company on Twitter (@veracyte).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our revenue growth and drive toward profitability, our belief as to the size of our addressable markets and our financial foundation for growth, our expectations with respect to the success of our entry into the pulmonology market, our expectations regarding full-year 2017 revenue and cash burn guidance, our expectations regarding reimbursement coverage and policies, the benefits of our pipeline and planned timing of future product launches,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w:t>
      </w:r>
    </w:p>
    <w:p>
      <w:pPr>
        <w:sectPr>
          <w:pgSz w:w="11900" w:h="16838" w:orient="portrait"/>
          <w:cols w:equalWidth="0" w:num="1">
            <w:col w:w="11380"/>
          </w:cols>
          <w:pgMar w:left="240" w:top="598" w:right="279" w:bottom="1440" w:gutter="0" w:footer="0" w:header="0"/>
        </w:sectPr>
      </w:pPr>
    </w:p>
    <w:bookmarkStart w:id="5" w:name="page6"/>
    <w:bookmarkEnd w:id="5"/>
    <w:p>
      <w:pPr>
        <w:spacing w:after="0" w:line="251" w:lineRule="auto"/>
        <w:rPr>
          <w:sz w:val="20"/>
          <w:szCs w:val="20"/>
          <w:color w:val="auto"/>
        </w:rPr>
      </w:pPr>
      <w:r>
        <w:rPr>
          <w:rFonts w:ascii="Arial" w:cs="Arial" w:eastAsia="Arial" w:hAnsi="Arial"/>
          <w:sz w:val="18"/>
          <w:szCs w:val="18"/>
          <w:color w:val="auto"/>
        </w:rPr>
        <w:t>of future performance. These risks and uncertainties include, but are not limited to: our limited operating history and history of losses; our ability to enhance the performance of our Afirma test; the performance and acceptance of our Percepta and Envisia tests; our ability to increase usage of and reimbursement for Afirma and to obtain adequate reimbursement for our Percepta and Envisia tests, as well as any future products we may develop or sell; our ability to continue our momentum and growth; our dependence on a few payers for a significant portion of our revenue; the complexity, time and expense associated with billing and collecting from payers for our tests; laws and regulations applicable to our business, including potential regulation by the Food and Drug Administration or other regulatory bodies; our ability to develop and commercialize new products and the timing and speed of commercialization; the amount by which use of our products is able to reduce invasive procedures and reduce healthcare costs; our ability to achieve sales penetration in complex commercial accounts; the occurrence and outcome of clinical studies; the timing and publication of study results; the applicability of clinical results to actual outcomes; the continued application of clinical guidelines to our products and their inclusion in such clinical practice guidelines; our ability to compete; our ability to obtain capital when needed; and other risks set forth in the company's filings with the Securities and Exchange Commission, including the risks set forth in the company's Quarterly Report on Form 10-Q for the quarter ended September 30, 2016. These forward-looking statements speak only as of the date hereof and Veracyte specifically disclaims any obligation to update these forward-looking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ectPr>
          <w:pgSz w:w="11900" w:h="16838" w:orient="portrait"/>
          <w:cols w:equalWidth="0" w:num="1">
            <w:col w:w="11400"/>
          </w:cols>
          <w:pgMar w:left="240" w:top="598" w:right="2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6"/>
          <w:szCs w:val="16"/>
          <w:b w:val="1"/>
          <w:bCs w:val="1"/>
          <w:color w:val="auto"/>
        </w:rPr>
        <w:t>VERACYTE, INC.</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STATEMENTS OF OPERATIONS AND COMPREHENSIVE LOSS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of dollars, except share and per share amounts)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3440" w:type="dxa"/>
            <w:vAlign w:val="bottom"/>
            <w:gridSpan w:val="4"/>
          </w:tcPr>
          <w:p>
            <w:pPr>
              <w:ind w:left="320"/>
              <w:spacing w:after="0"/>
              <w:rPr>
                <w:sz w:val="20"/>
                <w:szCs w:val="20"/>
                <w:color w:val="auto"/>
              </w:rPr>
            </w:pPr>
            <w:r>
              <w:rPr>
                <w:rFonts w:ascii="Arial" w:cs="Arial" w:eastAsia="Arial" w:hAnsi="Arial"/>
                <w:sz w:val="16"/>
                <w:szCs w:val="16"/>
                <w:b w:val="1"/>
                <w:bCs w:val="1"/>
                <w:color w:val="auto"/>
              </w:rPr>
              <w:t>Three Months Ended December 31,</w:t>
            </w:r>
          </w:p>
        </w:tc>
        <w:tc>
          <w:tcPr>
            <w:tcW w:w="306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Year Ended December 31,</w:t>
            </w:r>
          </w:p>
        </w:tc>
      </w:tr>
      <w:tr>
        <w:trPr>
          <w:trHeight w:val="40"/>
        </w:trPr>
        <w:tc>
          <w:tcPr>
            <w:tcW w:w="488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4"/>
        </w:trPr>
        <w:tc>
          <w:tcPr>
            <w:tcW w:w="4880" w:type="dxa"/>
            <w:vAlign w:val="bottom"/>
          </w:tcPr>
          <w:p>
            <w:pPr>
              <w:spacing w:after="0"/>
              <w:rPr>
                <w:sz w:val="19"/>
                <w:szCs w:val="19"/>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19"/>
                <w:szCs w:val="19"/>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19"/>
                <w:szCs w:val="19"/>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9"/>
                <w:szCs w:val="19"/>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40"/>
        </w:trPr>
        <w:tc>
          <w:tcPr>
            <w:tcW w:w="488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4"/>
        </w:trPr>
        <w:tc>
          <w:tcPr>
            <w:tcW w:w="4880" w:type="dxa"/>
            <w:vAlign w:val="bottom"/>
          </w:tcPr>
          <w:p>
            <w:pPr>
              <w:spacing w:after="0"/>
              <w:rPr>
                <w:sz w:val="20"/>
                <w:szCs w:val="20"/>
                <w:color w:val="auto"/>
              </w:rPr>
            </w:pPr>
            <w:r>
              <w:rPr>
                <w:rFonts w:ascii="Arial" w:cs="Arial" w:eastAsia="Arial" w:hAnsi="Arial"/>
                <w:sz w:val="16"/>
                <w:szCs w:val="16"/>
                <w:color w:val="auto"/>
              </w:rPr>
              <w:t>Revenue</w:t>
            </w:r>
          </w:p>
        </w:tc>
        <w:tc>
          <w:tcPr>
            <w:tcW w:w="1380" w:type="dxa"/>
            <w:vAlign w:val="bottom"/>
          </w:tcPr>
          <w:p>
            <w:pPr>
              <w:jc w:val="right"/>
              <w:spacing w:after="0"/>
              <w:rPr>
                <w:sz w:val="20"/>
                <w:szCs w:val="20"/>
                <w:color w:val="auto"/>
              </w:rPr>
            </w:pPr>
            <w:r>
              <w:rPr>
                <w:rFonts w:ascii="Arial" w:cs="Arial" w:eastAsia="Arial" w:hAnsi="Arial"/>
                <w:sz w:val="16"/>
                <w:szCs w:val="16"/>
                <w:color w:val="auto"/>
              </w:rPr>
              <w:t>$ 18,257</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$ 14,042</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$ 65,085</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$ 49,503</w:t>
            </w:r>
          </w:p>
        </w:tc>
      </w:tr>
      <w:tr>
        <w:trPr>
          <w:trHeight w:val="270"/>
        </w:trPr>
        <w:tc>
          <w:tcPr>
            <w:tcW w:w="4880" w:type="dxa"/>
            <w:vAlign w:val="bottom"/>
          </w:tcPr>
          <w:p>
            <w:pPr>
              <w:spacing w:after="0"/>
              <w:rPr>
                <w:sz w:val="20"/>
                <w:szCs w:val="20"/>
                <w:color w:val="auto"/>
              </w:rPr>
            </w:pPr>
            <w:r>
              <w:rPr>
                <w:rFonts w:ascii="Arial" w:cs="Arial" w:eastAsia="Arial" w:hAnsi="Arial"/>
                <w:sz w:val="16"/>
                <w:szCs w:val="16"/>
                <w:color w:val="auto"/>
              </w:rPr>
              <w:t>Operating expenses:</w:t>
            </w:r>
          </w:p>
        </w:tc>
        <w:tc>
          <w:tcPr>
            <w:tcW w:w="1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6"/>
                <w:szCs w:val="16"/>
                <w:color w:val="auto"/>
              </w:rPr>
              <w:t>Cost of revenue</w:t>
            </w:r>
          </w:p>
        </w:tc>
        <w:tc>
          <w:tcPr>
            <w:tcW w:w="1380" w:type="dxa"/>
            <w:vAlign w:val="bottom"/>
          </w:tcPr>
          <w:p>
            <w:pPr>
              <w:jc w:val="right"/>
              <w:spacing w:after="0"/>
              <w:rPr>
                <w:sz w:val="20"/>
                <w:szCs w:val="20"/>
                <w:color w:val="auto"/>
              </w:rPr>
            </w:pPr>
            <w:r>
              <w:rPr>
                <w:rFonts w:ascii="Arial" w:cs="Arial" w:eastAsia="Arial" w:hAnsi="Arial"/>
                <w:sz w:val="16"/>
                <w:szCs w:val="16"/>
                <w:color w:val="auto"/>
              </w:rPr>
              <w:t>6,515</w:t>
            </w:r>
          </w:p>
        </w:tc>
        <w:tc>
          <w:tcPr>
            <w:tcW w:w="3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6,175</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25,462</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21,497</w:t>
            </w:r>
          </w:p>
        </w:tc>
      </w:tr>
      <w:tr>
        <w:trPr>
          <w:trHeight w:val="270"/>
        </w:trPr>
        <w:tc>
          <w:tcPr>
            <w:tcW w:w="48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380" w:type="dxa"/>
            <w:vAlign w:val="bottom"/>
          </w:tcPr>
          <w:p>
            <w:pPr>
              <w:jc w:val="right"/>
              <w:spacing w:after="0"/>
              <w:rPr>
                <w:sz w:val="20"/>
                <w:szCs w:val="20"/>
                <w:color w:val="auto"/>
              </w:rPr>
            </w:pPr>
            <w:r>
              <w:rPr>
                <w:rFonts w:ascii="Arial" w:cs="Arial" w:eastAsia="Arial" w:hAnsi="Arial"/>
                <w:sz w:val="16"/>
                <w:szCs w:val="16"/>
                <w:color w:val="auto"/>
              </w:rPr>
              <w:t>3,590</w:t>
            </w:r>
          </w:p>
        </w:tc>
        <w:tc>
          <w:tcPr>
            <w:tcW w:w="3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3,343</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15,324</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12,796</w:t>
            </w:r>
          </w:p>
        </w:tc>
      </w:tr>
      <w:tr>
        <w:trPr>
          <w:trHeight w:val="270"/>
        </w:trPr>
        <w:tc>
          <w:tcPr>
            <w:tcW w:w="4880" w:type="dxa"/>
            <w:vAlign w:val="bottom"/>
          </w:tcPr>
          <w:p>
            <w:pPr>
              <w:spacing w:after="0"/>
              <w:rPr>
                <w:sz w:val="20"/>
                <w:szCs w:val="20"/>
                <w:color w:val="auto"/>
              </w:rPr>
            </w:pPr>
            <w:r>
              <w:rPr>
                <w:rFonts w:ascii="Arial" w:cs="Arial" w:eastAsia="Arial" w:hAnsi="Arial"/>
                <w:sz w:val="16"/>
                <w:szCs w:val="16"/>
                <w:color w:val="auto"/>
              </w:rPr>
              <w:t>Selling and marketing</w:t>
            </w:r>
          </w:p>
        </w:tc>
        <w:tc>
          <w:tcPr>
            <w:tcW w:w="1380" w:type="dxa"/>
            <w:vAlign w:val="bottom"/>
          </w:tcPr>
          <w:p>
            <w:pPr>
              <w:jc w:val="right"/>
              <w:spacing w:after="0"/>
              <w:rPr>
                <w:sz w:val="20"/>
                <w:szCs w:val="20"/>
                <w:color w:val="auto"/>
              </w:rPr>
            </w:pPr>
            <w:r>
              <w:rPr>
                <w:rFonts w:ascii="Arial" w:cs="Arial" w:eastAsia="Arial" w:hAnsi="Arial"/>
                <w:sz w:val="16"/>
                <w:szCs w:val="16"/>
                <w:color w:val="auto"/>
              </w:rPr>
              <w:t>5,832</w:t>
            </w:r>
          </w:p>
        </w:tc>
        <w:tc>
          <w:tcPr>
            <w:tcW w:w="3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6,687</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28,248</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25,293</w:t>
            </w:r>
          </w:p>
        </w:tc>
      </w:tr>
      <w:tr>
        <w:trPr>
          <w:trHeight w:val="270"/>
        </w:trPr>
        <w:tc>
          <w:tcPr>
            <w:tcW w:w="48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380" w:type="dxa"/>
            <w:vAlign w:val="bottom"/>
          </w:tcPr>
          <w:p>
            <w:pPr>
              <w:jc w:val="right"/>
              <w:spacing w:after="0"/>
              <w:rPr>
                <w:sz w:val="20"/>
                <w:szCs w:val="20"/>
                <w:color w:val="auto"/>
              </w:rPr>
            </w:pPr>
            <w:r>
              <w:rPr>
                <w:rFonts w:ascii="Arial" w:cs="Arial" w:eastAsia="Arial" w:hAnsi="Arial"/>
                <w:sz w:val="16"/>
                <w:szCs w:val="16"/>
                <w:color w:val="auto"/>
              </w:rPr>
              <w:t>5,725</w:t>
            </w:r>
          </w:p>
        </w:tc>
        <w:tc>
          <w:tcPr>
            <w:tcW w:w="3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5,521</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23,787</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22,583</w:t>
            </w:r>
          </w:p>
        </w:tc>
      </w:tr>
      <w:tr>
        <w:trPr>
          <w:trHeight w:val="270"/>
        </w:trPr>
        <w:tc>
          <w:tcPr>
            <w:tcW w:w="4880" w:type="dxa"/>
            <w:vAlign w:val="bottom"/>
          </w:tcPr>
          <w:p>
            <w:pPr>
              <w:spacing w:after="0"/>
              <w:rPr>
                <w:sz w:val="20"/>
                <w:szCs w:val="20"/>
                <w:color w:val="auto"/>
              </w:rPr>
            </w:pPr>
            <w:r>
              <w:rPr>
                <w:rFonts w:ascii="Arial" w:cs="Arial" w:eastAsia="Arial" w:hAnsi="Arial"/>
                <w:sz w:val="16"/>
                <w:szCs w:val="16"/>
                <w:color w:val="auto"/>
              </w:rPr>
              <w:t>Intangible asset amortization</w:t>
            </w:r>
          </w:p>
        </w:tc>
        <w:tc>
          <w:tcPr>
            <w:tcW w:w="1380" w:type="dxa"/>
            <w:vAlign w:val="bottom"/>
          </w:tcPr>
          <w:p>
            <w:pPr>
              <w:jc w:val="right"/>
              <w:spacing w:after="0"/>
              <w:rPr>
                <w:sz w:val="20"/>
                <w:szCs w:val="20"/>
                <w:color w:val="auto"/>
              </w:rPr>
            </w:pPr>
            <w:r>
              <w:rPr>
                <w:rFonts w:ascii="Arial" w:cs="Arial" w:eastAsia="Arial" w:hAnsi="Arial"/>
                <w:sz w:val="16"/>
                <w:szCs w:val="16"/>
                <w:color w:val="auto"/>
              </w:rPr>
              <w:t>267</w:t>
            </w:r>
          </w:p>
        </w:tc>
        <w:tc>
          <w:tcPr>
            <w:tcW w:w="3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267</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1,067</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33"/>
        </w:trPr>
        <w:tc>
          <w:tcPr>
            <w:tcW w:w="48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488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380" w:type="dxa"/>
            <w:vAlign w:val="bottom"/>
          </w:tcPr>
          <w:p>
            <w:pPr>
              <w:jc w:val="right"/>
              <w:spacing w:after="0"/>
              <w:rPr>
                <w:sz w:val="20"/>
                <w:szCs w:val="20"/>
                <w:color w:val="auto"/>
              </w:rPr>
            </w:pPr>
            <w:r>
              <w:rPr>
                <w:rFonts w:ascii="Arial" w:cs="Arial" w:eastAsia="Arial" w:hAnsi="Arial"/>
                <w:sz w:val="16"/>
                <w:szCs w:val="16"/>
                <w:color w:val="auto"/>
              </w:rPr>
              <w:t>21,929</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21,993</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93,888</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82,969</w:t>
            </w:r>
          </w:p>
        </w:tc>
      </w:tr>
      <w:tr>
        <w:trPr>
          <w:trHeight w:val="33"/>
        </w:trPr>
        <w:tc>
          <w:tcPr>
            <w:tcW w:w="48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4880" w:type="dxa"/>
            <w:vAlign w:val="bottom"/>
          </w:tcPr>
          <w:p>
            <w:pPr>
              <w:spacing w:after="0"/>
              <w:rPr>
                <w:sz w:val="20"/>
                <w:szCs w:val="20"/>
                <w:color w:val="auto"/>
              </w:rPr>
            </w:pPr>
            <w:r>
              <w:rPr>
                <w:rFonts w:ascii="Arial" w:cs="Arial" w:eastAsia="Arial" w:hAnsi="Arial"/>
                <w:sz w:val="16"/>
                <w:szCs w:val="16"/>
                <w:color w:val="auto"/>
              </w:rPr>
              <w:t>Loss from operations</w:t>
            </w:r>
          </w:p>
        </w:tc>
        <w:tc>
          <w:tcPr>
            <w:tcW w:w="1380" w:type="dxa"/>
            <w:vAlign w:val="bottom"/>
          </w:tcPr>
          <w:p>
            <w:pPr>
              <w:jc w:val="right"/>
              <w:spacing w:after="0"/>
              <w:rPr>
                <w:sz w:val="20"/>
                <w:szCs w:val="20"/>
                <w:color w:val="auto"/>
              </w:rPr>
            </w:pPr>
            <w:r>
              <w:rPr>
                <w:rFonts w:ascii="Arial" w:cs="Arial" w:eastAsia="Arial" w:hAnsi="Arial"/>
                <w:sz w:val="16"/>
                <w:szCs w:val="16"/>
                <w:color w:val="auto"/>
              </w:rPr>
              <w:t>(3,672)</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(7,951)</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(28,803)</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(33,466)</w:t>
            </w:r>
          </w:p>
        </w:tc>
      </w:tr>
      <w:tr>
        <w:trPr>
          <w:trHeight w:val="270"/>
        </w:trPr>
        <w:tc>
          <w:tcPr>
            <w:tcW w:w="4880" w:type="dxa"/>
            <w:vAlign w:val="bottom"/>
          </w:tcPr>
          <w:p>
            <w:pPr>
              <w:spacing w:after="0"/>
              <w:rPr>
                <w:sz w:val="20"/>
                <w:szCs w:val="20"/>
                <w:color w:val="auto"/>
              </w:rPr>
            </w:pPr>
            <w:r>
              <w:rPr>
                <w:rFonts w:ascii="Arial" w:cs="Arial" w:eastAsia="Arial" w:hAnsi="Arial"/>
                <w:sz w:val="16"/>
                <w:szCs w:val="16"/>
                <w:color w:val="auto"/>
              </w:rPr>
              <w:t>Interest expense</w:t>
            </w:r>
          </w:p>
        </w:tc>
        <w:tc>
          <w:tcPr>
            <w:tcW w:w="1380" w:type="dxa"/>
            <w:vAlign w:val="bottom"/>
          </w:tcPr>
          <w:p>
            <w:pPr>
              <w:jc w:val="right"/>
              <w:spacing w:after="0"/>
              <w:rPr>
                <w:sz w:val="20"/>
                <w:szCs w:val="20"/>
                <w:color w:val="auto"/>
              </w:rPr>
            </w:pPr>
            <w:r>
              <w:rPr>
                <w:rFonts w:ascii="Arial" w:cs="Arial" w:eastAsia="Arial" w:hAnsi="Arial"/>
                <w:sz w:val="16"/>
                <w:szCs w:val="16"/>
                <w:color w:val="auto"/>
              </w:rPr>
              <w:t>(806)</w:t>
            </w:r>
          </w:p>
        </w:tc>
        <w:tc>
          <w:tcPr>
            <w:tcW w:w="3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(2,757)</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70"/>
        </w:trPr>
        <w:tc>
          <w:tcPr>
            <w:tcW w:w="4880" w:type="dxa"/>
            <w:vAlign w:val="bottom"/>
          </w:tcPr>
          <w:p>
            <w:pPr>
              <w:spacing w:after="0"/>
              <w:rPr>
                <w:sz w:val="20"/>
                <w:szCs w:val="20"/>
                <w:color w:val="auto"/>
              </w:rPr>
            </w:pPr>
            <w:r>
              <w:rPr>
                <w:rFonts w:ascii="Arial" w:cs="Arial" w:eastAsia="Arial" w:hAnsi="Arial"/>
                <w:sz w:val="16"/>
                <w:szCs w:val="16"/>
                <w:color w:val="auto"/>
              </w:rPr>
              <w:t>Other income, net</w:t>
            </w:r>
          </w:p>
        </w:tc>
        <w:tc>
          <w:tcPr>
            <w:tcW w:w="1380" w:type="dxa"/>
            <w:vAlign w:val="bottom"/>
          </w:tcPr>
          <w:p>
            <w:pPr>
              <w:jc w:val="right"/>
              <w:spacing w:after="0"/>
              <w:rPr>
                <w:sz w:val="20"/>
                <w:szCs w:val="20"/>
                <w:color w:val="auto"/>
              </w:rPr>
            </w:pPr>
            <w:r>
              <w:rPr>
                <w:rFonts w:ascii="Arial" w:cs="Arial" w:eastAsia="Arial" w:hAnsi="Arial"/>
                <w:sz w:val="16"/>
                <w:szCs w:val="16"/>
                <w:color w:val="auto"/>
              </w:rPr>
              <w:t>75</w:t>
            </w:r>
          </w:p>
        </w:tc>
        <w:tc>
          <w:tcPr>
            <w:tcW w:w="3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202</w:t>
            </w: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33"/>
        </w:trPr>
        <w:tc>
          <w:tcPr>
            <w:tcW w:w="48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88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(4,403)</w:t>
            </w:r>
          </w:p>
        </w:tc>
        <w:tc>
          <w:tcPr>
            <w:tcW w:w="36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(8,013)</w:t>
            </w:r>
          </w:p>
        </w:tc>
        <w:tc>
          <w:tcPr>
            <w:tcW w:w="34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(31,358)</w:t>
            </w:r>
          </w:p>
        </w:tc>
        <w:tc>
          <w:tcPr>
            <w:tcW w:w="34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(33,704)</w:t>
            </w:r>
          </w:p>
        </w:tc>
      </w:tr>
      <w:tr>
        <w:trPr>
          <w:trHeight w:val="20"/>
        </w:trPr>
        <w:tc>
          <w:tcPr>
            <w:tcW w:w="4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Net loss per common share, basic and diluted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(0.14)</w:t>
            </w:r>
          </w:p>
        </w:tc>
        <w:tc>
          <w:tcPr>
            <w:tcW w:w="36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(0.29)</w:t>
            </w:r>
          </w:p>
        </w:tc>
        <w:tc>
          <w:tcPr>
            <w:tcW w:w="3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(1.09)</w:t>
            </w:r>
          </w:p>
        </w:tc>
        <w:tc>
          <w:tcPr>
            <w:tcW w:w="3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(1.30)</w:t>
            </w:r>
          </w:p>
        </w:tc>
      </w:tr>
      <w:tr>
        <w:trPr>
          <w:trHeight w:val="20"/>
        </w:trPr>
        <w:tc>
          <w:tcPr>
            <w:tcW w:w="4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w w:val="97"/>
              </w:rPr>
              <w:t>Shares used to compute net loss per common share, basic and diluted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31,705,603</w:t>
            </w:r>
          </w:p>
        </w:tc>
        <w:tc>
          <w:tcPr>
            <w:tcW w:w="36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27,672,806</w:t>
            </w:r>
          </w:p>
        </w:tc>
        <w:tc>
          <w:tcPr>
            <w:tcW w:w="3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28,830,472</w:t>
            </w:r>
          </w:p>
        </w:tc>
        <w:tc>
          <w:tcPr>
            <w:tcW w:w="3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25,994,193</w:t>
            </w:r>
          </w:p>
        </w:tc>
      </w:tr>
      <w:tr>
        <w:trPr>
          <w:trHeight w:val="20"/>
        </w:trPr>
        <w:tc>
          <w:tcPr>
            <w:tcW w:w="4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80"/>
          </w:cols>
          <w:pgMar w:left="280" w:top="963" w:right="239" w:bottom="1440" w:gutter="0" w:footer="0" w:header="0"/>
        </w:sectPr>
      </w:pPr>
    </w:p>
    <w:bookmarkStart w:id="7" w:name="page8"/>
    <w:bookmarkEnd w:id="7"/>
    <w:p>
      <w:pPr>
        <w:jc w:val="center"/>
        <w:ind w:right="-679"/>
        <w:spacing w:after="0"/>
        <w:rPr>
          <w:sz w:val="20"/>
          <w:szCs w:val="20"/>
          <w:color w:val="auto"/>
        </w:rPr>
      </w:pPr>
      <w:r>
        <w:rPr>
          <w:rFonts w:ascii="Arial" w:cs="Arial" w:eastAsia="Arial" w:hAnsi="Arial"/>
          <w:sz w:val="16"/>
          <w:szCs w:val="16"/>
          <w:b w:val="1"/>
          <w:bCs w:val="1"/>
          <w:color w:val="auto"/>
        </w:rPr>
        <w:t>VERACYTE, INC.</w:t>
      </w:r>
    </w:p>
    <w:p>
      <w:pPr>
        <w:spacing w:after="0" w:line="73"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CONDENSED BALANCE SHEETS</w:t>
      </w:r>
    </w:p>
    <w:p>
      <w:pPr>
        <w:spacing w:after="0" w:line="73"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(In thousands)</w:t>
      </w:r>
    </w:p>
    <w:p>
      <w:pPr>
        <w:spacing w:after="0" w:line="356"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December 31,</w:t>
            </w: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c>
          <w:tcPr>
            <w:tcW w:w="400" w:type="dxa"/>
            <w:vAlign w:val="bottom"/>
          </w:tcPr>
          <w:p>
            <w:pPr>
              <w:spacing w:after="0"/>
              <w:rPr>
                <w:sz w:val="22"/>
                <w:szCs w:val="22"/>
                <w:color w:val="auto"/>
              </w:rPr>
            </w:pPr>
          </w:p>
        </w:tc>
        <w:tc>
          <w:tcPr>
            <w:tcW w:w="15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40"/>
        </w:trPr>
        <w:tc>
          <w:tcPr>
            <w:tcW w:w="658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580" w:type="dxa"/>
            <w:vAlign w:val="bottom"/>
          </w:tcPr>
          <w:p>
            <w:pPr>
              <w:spacing w:after="0"/>
              <w:rPr>
                <w:sz w:val="19"/>
                <w:szCs w:val="19"/>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(Unaudited)</w:t>
            </w:r>
          </w:p>
        </w:tc>
        <w:tc>
          <w:tcPr>
            <w:tcW w:w="1500" w:type="dxa"/>
            <w:vAlign w:val="bottom"/>
          </w:tcPr>
          <w:p>
            <w:pPr>
              <w:jc w:val="right"/>
              <w:ind w:right="57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Current assets:</w:t>
            </w:r>
          </w:p>
        </w:tc>
        <w:tc>
          <w:tcPr>
            <w:tcW w:w="1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$ 59,219</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$ 39,084</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Accounts receivable</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8,756</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3,503</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Supplies inventory</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3,475</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3,767</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2,057</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Restricted cash</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80" w:type="dxa"/>
            <w:vAlign w:val="bottom"/>
          </w:tcPr>
          <w:p>
            <w:pPr>
              <w:spacing w:after="0"/>
              <w:rPr>
                <w:sz w:val="20"/>
                <w:szCs w:val="20"/>
                <w:color w:val="auto"/>
              </w:rPr>
            </w:pPr>
            <w:r>
              <w:rPr>
                <w:rFonts w:ascii="Arial" w:cs="Arial" w:eastAsia="Arial" w:hAnsi="Arial"/>
                <w:sz w:val="16"/>
                <w:szCs w:val="16"/>
                <w:color w:val="auto"/>
              </w:rPr>
              <w:t>Total current assets</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73,627</w:t>
            </w:r>
          </w:p>
        </w:tc>
        <w:tc>
          <w:tcPr>
            <w:tcW w:w="40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47,914</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11,480</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10,314</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Finite-lived intangible assets, net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14,133</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15,200</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Goodwill</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1,057</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Restricted cash</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603</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Other assets</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Pr>
          <w:p>
            <w:pPr>
              <w:spacing w:after="0"/>
              <w:rPr>
                <w:sz w:val="20"/>
                <w:szCs w:val="20"/>
                <w:color w:val="auto"/>
              </w:rPr>
            </w:pPr>
            <w:r>
              <w:rPr>
                <w:rFonts w:ascii="Arial" w:cs="Arial" w:eastAsia="Arial" w:hAnsi="Arial"/>
                <w:sz w:val="16"/>
                <w:szCs w:val="16"/>
                <w:color w:val="auto"/>
              </w:rPr>
              <w:t>Total assets</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$ 101,034</w:t>
            </w:r>
          </w:p>
        </w:tc>
        <w:tc>
          <w:tcPr>
            <w:tcW w:w="400" w:type="dxa"/>
            <w:vAlign w:val="bottom"/>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$ 75,247</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Current liabilities:</w:t>
            </w:r>
          </w:p>
        </w:tc>
        <w:tc>
          <w:tcPr>
            <w:tcW w:w="1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Accounts payable</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$ 2,424</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$ 5,085</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Accrued liabilities</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9,110</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8,689</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Deferred Genzyme co-promotion fee</w:t>
            </w:r>
          </w:p>
        </w:tc>
        <w:tc>
          <w:tcPr>
            <w:tcW w:w="19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8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11,534</w:t>
            </w:r>
          </w:p>
        </w:tc>
        <w:tc>
          <w:tcPr>
            <w:tcW w:w="40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14,722</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Long-term debt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24,918</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4,990</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Capital lease liability, net of current portion</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599</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Deferred rent, net of current portion</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4,402</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80" w:type="dxa"/>
            <w:vAlign w:val="bottom"/>
          </w:tcPr>
          <w:p>
            <w:pPr>
              <w:spacing w:after="0"/>
              <w:rPr>
                <w:sz w:val="20"/>
                <w:szCs w:val="20"/>
                <w:color w:val="auto"/>
              </w:rPr>
            </w:pPr>
            <w:r>
              <w:rPr>
                <w:rFonts w:ascii="Arial" w:cs="Arial" w:eastAsia="Arial" w:hAnsi="Arial"/>
                <w:sz w:val="16"/>
                <w:szCs w:val="16"/>
                <w:color w:val="auto"/>
              </w:rPr>
              <w:t>Total liabilities</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41,453</w:t>
            </w:r>
          </w:p>
        </w:tc>
        <w:tc>
          <w:tcPr>
            <w:tcW w:w="40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23,995</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59,581</w:t>
            </w:r>
          </w:p>
        </w:tc>
        <w:tc>
          <w:tcPr>
            <w:tcW w:w="4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51,252</w:t>
            </w: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$ 101,034</w:t>
            </w:r>
          </w:p>
        </w:tc>
        <w:tc>
          <w:tcPr>
            <w:tcW w:w="400" w:type="dxa"/>
            <w:vAlign w:val="bottom"/>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$ 75,247</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740" w:right="340" w:hanging="9"/>
        <w:spacing w:after="0" w:line="293" w:lineRule="auto"/>
        <w:tabs>
          <w:tab w:leader="none" w:pos="96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condensed balance sheet at December 31, 2015 has been derived from the audited financial statements at that date included in the Company's Form 10-K filed with the Securities and Exchange Commission dated March 14, 2016.</w:t>
      </w:r>
    </w:p>
    <w:p>
      <w:pPr>
        <w:spacing w:after="0" w:line="20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sectPr>
      <w:pgSz w:w="11900" w:h="16838" w:orient="portrait"/>
      <w:cols w:equalWidth="0" w:num="1">
        <w:col w:w="10740"/>
      </w:cols>
      <w:pgMar w:left="240" w:top="747"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2019-12-07T04:56:50Z</dcterms:created>
  <dcterms:modified xsi:type="dcterms:W3CDTF">2019-12-07T04:56:50Z</dcterms:modified>
</cp:coreProperties>
</file>