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77306d424b7.htm"/>
        <w:bookmarkStart w:id="1" w:name="ksd777306d424b7"/>
        <w:bookmarkEnd w:id="0"/>
        <w:bookmarkEnd w:id="1"/>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424(b)(7) </w:t>
        <w:br/>
        <w:t xml:space="preserve">Registration No. 333-277529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sz w:val="20"/>
        </w:rPr>
      </w:pPr>
      <w:r>
        <w:rPr>
          <w:rFonts w:ascii="Times New Roman" w:hAnsi="Times New Roman"/>
          <w:sz w:val="20"/>
        </w:rPr>
        <w:t xml:space="preserve">(To Prospectus dated February 29, 2024) </w:t>
      </w:r>
    </w:p>
    <w:p>
      <w:pPr>
        <w:pStyle w:val="TextBody"/>
        <w:bidi w:val="0"/>
        <w:spacing w:before="600" w:after="0"/>
        <w:jc w:val="center"/>
        <w:rPr>
          <w:rFonts w:ascii="Times New Roman" w:hAnsi="Times New Roman"/>
          <w:b/>
          <w:sz w:val="36"/>
        </w:rPr>
      </w:pPr>
      <w:r>
        <w:rPr>
          <w:rFonts w:ascii="Times New Roman" w:hAnsi="Times New Roman"/>
          <w:b/>
          <w:sz w:val="36"/>
        </w:rPr>
        <w:t xml:space="preserve">1,681,384 Shares of Common Stock </w:t>
      </w:r>
    </w:p>
    <w:p>
      <w:pPr>
        <w:pStyle w:val="TextBody"/>
        <w:bidi w:val="0"/>
        <w:spacing w:before="0" w:after="0"/>
        <w:jc w:val="left"/>
        <w:rPr/>
      </w:pPr>
      <w:r>
        <w:rPr/>
        <w:t> </w:t>
      </w:r>
    </w:p>
    <w:p>
      <w:pPr>
        <w:pStyle w:val="TextBody"/>
        <w:bidi w:val="0"/>
        <w:spacing w:before="0" w:after="0"/>
        <w:jc w:val="center"/>
        <w:rPr/>
      </w:pPr>
      <w:r>
        <w:rPr/>
        <w:drawing>
          <wp:inline distT="0" distB="0" distL="0" distR="0">
            <wp:extent cx="440055" cy="95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40055" cy="95250"/>
                    </a:xfrm>
                    <a:prstGeom prst="rect">
                      <a:avLst/>
                    </a:prstGeom>
                  </pic:spPr>
                </pic:pic>
              </a:graphicData>
            </a:graphic>
          </wp:inline>
        </w:drawing>
      </w:r>
      <w:r>
        <w:rPr/>
        <w:t xml:space="preserve"> </w:t>
      </w:r>
    </w:p>
    <w:p>
      <w:pPr>
        <w:pStyle w:val="TextBody"/>
        <w:bidi w:val="0"/>
        <w:spacing w:before="600" w:after="0"/>
        <w:jc w:val="center"/>
        <w:rPr>
          <w:rFonts w:ascii="Times New Roman" w:hAnsi="Times New Roman"/>
          <w:b/>
          <w:sz w:val="48"/>
        </w:rPr>
      </w:pPr>
      <w:r>
        <w:rPr>
          <w:rFonts w:ascii="Times New Roman" w:hAnsi="Times New Roman"/>
          <w:b/>
          <w:sz w:val="48"/>
        </w:rPr>
        <w:t xml:space="preserve">Veracyte, Inc.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0" w:after="0"/>
        <w:jc w:val="left"/>
        <w:rPr>
          <w:rFonts w:ascii="Times New Roman" w:hAnsi="Times New Roman"/>
          <w:sz w:val="20"/>
        </w:rPr>
      </w:pPr>
      <w:r>
        <w:rPr>
          <w:rFonts w:ascii="Times New Roman" w:hAnsi="Times New Roman"/>
          <w:sz w:val="20"/>
        </w:rPr>
        <w:t xml:space="preserve">The selling stockholders of Veracyte, Inc. identified in this prospectus supplement (the Selling Stockholders) may offer and resell up to 1,681,384 shares of our common stock, par value $0.001 per share, under this prospectus supplement. The Selling Stockholders acquired these shares from us pursuant to an Agreement and Plan of Merger, dated as of January 5, 2024 (the Merger Agreement), by and among us, C2i Genomics, Inc., a Delaware corporation (C2i Genomics), Canary Merger Sub I, Inc., a Delaware corporation, Veracyte Diagnostics, LLC, a Delaware limited liability company, and Fortis Advisors LLC, as the Securityholders Agent. We are not selling any shares of our common stock pursuant to this prospectus supplement and we will not receive any proceeds from the sale of these shares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term as used herein includes their respective transferees, pledgees, distributees, donees or other successors) identified in this prospectus supplement may offer the shares of our common stock from time to time through public or private transactions. The shares of our common stock offered by the Selling Stockholders may be sold at market prices prevailing at the time of sale, at prices related to such market prices, at a fixed price or prices subject to change, or at negotiated prices. See the section titled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VCYT. On February 28, 2024, the last reported sale price of our shares of common stock on The Nasdaq Global Market was $23.77 per share.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0" w:after="0"/>
        <w:jc w:val="left"/>
        <w:rPr/>
      </w:pPr>
      <w:r>
        <w:rPr>
          <w:rFonts w:ascii="Times New Roman" w:hAnsi="Times New Roman"/>
          <w:b/>
          <w:sz w:val="20"/>
        </w:rPr>
        <w:t>Investing in our common stock involves a high degree of risk. See </w:t>
      </w:r>
      <w:hyperlink w:anchor="supptx777306_3">
        <w:r>
          <w:rPr>
            <w:rStyle w:val="InternetLink"/>
            <w:rFonts w:ascii="Times New Roman" w:hAnsi="Times New Roman"/>
            <w:b/>
            <w:sz w:val="20"/>
          </w:rPr>
          <w:t>Risk Factors</w:t>
        </w:r>
      </w:hyperlink>
      <w:r>
        <w:rPr>
          <w:rFonts w:ascii="Times New Roman" w:hAnsi="Times New Roman"/>
          <w:b/>
          <w:sz w:val="20"/>
        </w:rPr>
        <w:t xml:space="preserve"> beginning on page S-3 of this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600" w:after="0"/>
        <w:jc w:val="center"/>
        <w:rPr>
          <w:rFonts w:ascii="Times New Roman" w:hAnsi="Times New Roman"/>
          <w:b/>
          <w:sz w:val="20"/>
        </w:rPr>
      </w:pPr>
      <w:r>
        <w:rPr>
          <w:rFonts w:ascii="Times New Roman" w:hAnsi="Times New Roman"/>
          <w:b/>
          <w:sz w:val="20"/>
        </w:rPr>
        <w:t xml:space="preserve">The date of this prospectus supplement is February 29,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tcPr>
          <w:p>
            <w:pPr>
              <w:pStyle w:val="TableContents"/>
              <w:bidi w:val="0"/>
              <w:spacing w:before="0" w:after="0"/>
              <w:jc w:val="left"/>
              <w:rPr>
                <w:rFonts w:ascii="Times New Roman" w:hAnsi="Times New Roman"/>
                <w:b/>
                <w:sz w:val="20"/>
              </w:rPr>
            </w:pPr>
            <w:r>
              <w:rPr>
                <w:rFonts w:ascii="Times New Roman" w:hAnsi="Times New Roman"/>
                <w:b/>
                <w:sz w:val="20"/>
              </w:rPr>
              <w:t>Prospectus Supplement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tx777306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777306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777306_3">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777306_4">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777306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777306_6">
              <w:r>
                <w:rPr>
                  <w:rStyle w:val="InternetLink"/>
                  <w:rFonts w:ascii="Times New Roman" w:hAnsi="Times New Roman"/>
                  <w:sz w:val="20"/>
                </w:rPr>
                <w:t>SELLING STOCKHOLDERS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777306_7">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777306_8">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777306_9">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777306_10">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777306_11">
              <w:r>
                <w:rPr>
                  <w:rStyle w:val="InternetLink"/>
                  <w:rFonts w:ascii="Times New Roman" w:hAnsi="Times New Roman"/>
                  <w:sz w:val="20"/>
                </w:rPr>
                <w:t xml:space="preserve">INCORPORATION OF INFORMATION BY REFERENCE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tcPr>
          <w:p>
            <w:pPr>
              <w:pStyle w:val="TableContents"/>
              <w:bidi w:val="0"/>
              <w:spacing w:before="0" w:after="0"/>
              <w:jc w:val="left"/>
              <w:rPr>
                <w:rFonts w:ascii="Times New Roman" w:hAnsi="Times New Roman"/>
                <w:b/>
                <w:sz w:val="20"/>
              </w:rPr>
            </w:pPr>
            <w:r>
              <w:rPr>
                <w:rFonts w:ascii="Times New Roman" w:hAnsi="Times New Roman"/>
                <w:b/>
                <w:sz w:val="20"/>
              </w:rPr>
              <w:t>Prospectus</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tx777306_1">
              <w:r>
                <w:rPr>
                  <w:rStyle w:val="InternetLink"/>
                  <w:rFonts w:ascii="Times New Roman" w:hAnsi="Times New Roman"/>
                  <w:sz w:val="20"/>
                </w:rPr>
                <w:t>ABOUT THIS PROSPECTUS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777306_2">
              <w:r>
                <w:rPr>
                  <w:rStyle w:val="InternetLink"/>
                  <w:rFonts w:ascii="Times New Roman" w:hAnsi="Times New Roman"/>
                  <w:sz w:val="20"/>
                </w:rPr>
                <w:t>PROSPECTUS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777306_3">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777306_4">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777306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777306_6">
              <w:r>
                <w:rPr>
                  <w:rStyle w:val="InternetLink"/>
                  <w:rFonts w:ascii="Times New Roman" w:hAnsi="Times New Roman"/>
                  <w:sz w:val="20"/>
                </w:rPr>
                <w:t>DESCRIPTION OF SECURITIES TO BE REGISTERED</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777306_7">
              <w:r>
                <w:rPr>
                  <w:rStyle w:val="InternetLink"/>
                  <w:rFonts w:ascii="Times New Roman" w:hAnsi="Times New Roman"/>
                  <w:sz w:val="20"/>
                </w:rPr>
                <w:t>DESCRIPTION OF COMMON STOCK</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777306_8">
              <w:r>
                <w:rPr>
                  <w:rStyle w:val="InternetLink"/>
                  <w:rFonts w:ascii="Times New Roman" w:hAnsi="Times New Roman"/>
                  <w:sz w:val="20"/>
                </w:rPr>
                <w:t>DESCRIPTION OF PREFERRED STOCK</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777306_9">
              <w:r>
                <w:rPr>
                  <w:rStyle w:val="InternetLink"/>
                  <w:rFonts w:ascii="Times New Roman" w:hAnsi="Times New Roman"/>
                  <w:sz w:val="20"/>
                </w:rPr>
                <w:t>DESCRIPTION OF DEBT SECURITIES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777306_10">
              <w:r>
                <w:rPr>
                  <w:rStyle w:val="InternetLink"/>
                  <w:rFonts w:ascii="Times New Roman" w:hAnsi="Times New Roman"/>
                  <w:sz w:val="20"/>
                </w:rPr>
                <w:t>DESCRIPTION OF WARRANTS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777306_11">
              <w:r>
                <w:rPr>
                  <w:rStyle w:val="InternetLink"/>
                  <w:rFonts w:ascii="Times New Roman" w:hAnsi="Times New Roman"/>
                  <w:sz w:val="20"/>
                </w:rPr>
                <w:t>DESCRIPTION OF SUBSCRIPTION RIGHTS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777306_12">
              <w:r>
                <w:rPr>
                  <w:rStyle w:val="InternetLink"/>
                  <w:rFonts w:ascii="Times New Roman" w:hAnsi="Times New Roman"/>
                  <w:sz w:val="20"/>
                </w:rPr>
                <w:t>DESCRIPTION OF UNITS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777306_13">
              <w:r>
                <w:rPr>
                  <w:rStyle w:val="InternetLink"/>
                  <w:rFonts w:ascii="Times New Roman" w:hAnsi="Times New Roman"/>
                  <w:sz w:val="20"/>
                </w:rPr>
                <w:t>SELLING SECURITYHOLDERS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777306_14">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777306_15">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777306_16">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777306_17">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777306_18">
              <w:r>
                <w:rPr>
                  <w:rStyle w:val="InternetLink"/>
                  <w:rFonts w:ascii="Times New Roman" w:hAnsi="Times New Roman"/>
                  <w:sz w:val="20"/>
                </w:rPr>
                <w:t>INCORPORATION OF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supptx777306_1"/>
      <w:bookmarkEnd w:id="3"/>
      <w:r>
        <w:rPr>
          <w:rFonts w:ascii="Times New Roman" w:hAnsi="Times New Roman"/>
          <w:b/>
          <w:sz w:val="20"/>
          <w:bdr w:val="single" w:sz="8" w:space="1" w:color="000000"/>
        </w:rPr>
        <w:t xml:space="preserve">ABOUT THIS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29, 2024, we filed with the Securities and Exchange Commission (the SEC), a registration statement on Form S-3 (File No. 333-277529) utilizing a shelf registration process relating to the securities described in this prospectus supplement, which registration statement became automatically effective upon filing.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document contains two parts. The first part is this prospectus supplement, which describes the specific terms of this offering and also adds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we nor the Selling Stockholders have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prospectuses we have authorized for use in connection with this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we nor the Selling Stockholders are offering to sell these securities in any jurisdiction where such offer and sale is not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into this prospectus supplement and the accompanying prospectus and the additional information described under Where You Can Find More Information in this prospectus supplement and in the accompanying prospectus, before investing in our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or the context otherwise requires, references in this prospectus supplement and the accompanying prospectus to Veracyte, the company, we, us and our refer to Veracyte,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Veracyte, Afirma, Percepta, Envisia, Prosigna, Lymphmark, Decipher, GRID, HalioDx, TMExplore, Brightplex, Immunosign, C2i Genomics, C2intelligence, C2inform and the Veracyte logo are registered or pending trademarks of Veracyte, Inc. and its subsidiaries in the U.S. and selected countries. nCounter is the registered trademark of NanoString Technologies, Inc., or NanoString, in the U.S. and selected countries and used by Veracyte under license. Immunoscore is the registered trademark of Institut National de la Santé et de la Recherche Médicale, or Inserm, in the U.S. and selected countries and used by Veracyte under license. This prospectus supplement, the accompanying prospectus and the documents incorporated by reference into this prospectus supplement and the accompanying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x777306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does not contain all of the information that you should consider before investing in our common stock. You should carefully read this entire prospectus supplement and the information incorporated by reference in this prospectus supplement, including Risk Factors and the financial data and related notes and other information incorporated by reference,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helping patients avoid unnecessary procedures and interventions, and speed time to appropriate treatment, thereby improving outcomes for patients all over the world.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supplement relates to the resale of 1,681,384 shares of our common stock held by the Selling Stockholders identified under the section titled Selling Stockholders. The shares of our common stock that may be offered by the Selling Stockholders using this prospectus supplement represent shares of our common stock that we issued to the Selling Stockholders in connection with our entry into the Merger Agreement. We will not receive any of the proceeds from the sale of these shares of our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supptx777306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a high degree of risk. Before making a decision to invest in our common stock, in addition to the other information contained in this prospectus supplement, in the accompanying prospectus, or incorporated into this prospectus supplement or the accompanying prospectus by reference, you should carefully consider the risks, uncertainties and assumptions discussed under Part I, Item 1A, Risk Factors, in our Annual Report on Form 10-K for the fiscal year ended December 31, 2023, which is incorporated herein by reference, and may be amended, supplemented or superseded from time to time by other reports we file with the SEC in the future and which are incorporated herein by reference, together with other information in this prospectus supplement, the documents incorporated by reference, and any free writing prospectus that we may authorize for use in connection with a specific offering. See the section titled Where You Can Find Additional Information and Incorporation of Information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supptx777306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we have filed with the SEC that are incorporated by reference in this prospectus supplement and the accompanying prospectus contain forward-looking statements, which are subject to safe harbor protection under of the Private Securities Litigation Reform Act of 1995. All statements contained in or incorporated by reference in this prospectus supplement and accompanying prospectus other than statements of historical fact, including statements regarding our future financial condition and operating results, business strategy and plans, and objectives for future operations, are forward-looking statements. The words believe, may, will, estimate, continue, anticipate, intend, expect, seek, plan, and similar expressions are intended to identify forward-looking statements. We have based these forward-looking statements largely on our current expectations, beliefs, and projections about future events, conditions, and trends that we believe may affect our financial condition, operating results, business strategy, short-term and long-term business operations and objectives, and financial needs. These forward-looking statements are subject to a number of risks, uncertainties, assumptions, and changes in circumstances that are difficult to predict and many of which are outside of our control, including those arising from the impact of recent macroeconomic events and inflation, as well as those described in the Risk Factors section incorporated by reference herein, which we encourage you to read carefully.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these risks, uncertainties, assumptions, and potential changes in circumstances, the future events, conditions, and trends discussed in this prospectus supplement and accompanying prospectus may not occur and actual results could differ materially and adversely from those anticipated or implied by the forward-looking statements. Accordingly, you should not rely upon any forward-looking statements. Although we believe that the expectations reflected in the forward-looking statements are reasonable, we cannot guarantee future results, levels of activities, performance, or achievements. We are under no duty to update any of these forward-looking statements after the date of this report or to conform these statements to actual results or revised expectations, except as required by applicable law. If we do update any forward-looking statements, no inference should be drawn that we will make additional updates with respect to those or other forward-looking statements. You are advised to review any additional disclosures we make in the documents we subsequently file with the SEC that are incorporated by reference in this prospectus supplement and accompanying prospectus. See Where You Can Find Additional Information and Incorporation of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that we reference in this prospectus supplement and the accompanying prospectus also contain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You are cautioned not to give undue weight to those data and estimates. Projections, assumptions and estimates of future performance are necessarily subject to risks and uncertainties that could cause actual results to differ materially.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supptx777306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shares of common stock being offered hereby are being sold by the Selling Stockholders identified in this prospectus supplement. We will not receive any proceeds from the sale of shares of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supptx777306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relates to the resale of up to 1,681,384 shares of our common stock held by the Selling Stockholders listed in the table below. The shares being offered were issued to the Selling Stockholders pursuant to exemptions from registration provided under Section 4(a)(2) of the Securities Act of 1933, as amended (the Securities Act), Rule 506 of Regulation D promulgated by the SEC under the Securities Act, or Regulation S promulgated under the Securities Act, in connection with our entry into the Merger Agreement. The Selling Stockholders may, from time to time, offer and sell pursuant to this prospectus supplement any or all of the shares of common stock being registered. When we refer to the selling stockholders in this prospectus supplement and accompanying prospectus, we mean the selling stockholders listed in the table below, together with their respective transferees, pledgees, distributees, donees or other successors. Pursuant to the Merger Agreement, we agreed to file a prospectus supplement with the SEC for the purposes of registering for resale the shares of our common stock issued to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certain information known to us, based upon written representations from the Selling Stockholders, with respect to the beneficial ownership of our shares of common stock held by the Selling Stockholders as of February 16, 2024, the latest practicable date after the date on which our acquisition of C2i Genomics was completed. Because the Selling Stockholders may sell, transfer or otherwise dispose of all, some or none of the shares of our common stock covered by this prospectus supplement, we cannot determine the number of such shares that will be sold, transferred or otherwise disposed of by the Selling Stockholders, or the amount or percentage of shares of our common stock that will be held by the Selling Stockholders upon termination of any particular offering. See the section titled Plan of Distribution. For purposes of the table below, we assume that the Selling Stockholders will sell all their shares of common stock covered by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Rule 13d-3 under the Securities Exchange Act of 1934, as amended (the Exchange Act). Except as indicated by the footnotes below, we believe, based on the information furnished to us, that the Selling Stockholders have sole voting and investment power with respect to all shares of common stock that it beneficially owns, subject to applicable community property laws. Unless otherwise described below, to our knowledge, the Selling Stockholders have not held any position or office or had any other material relationship with us or our affiliates during the three years prior to the date of this prospectus supplement. In addition, except as otherwise described below, based on the information provided to us by the Selling Stockholders, the Selling Stockholders are not broker-dealers or affiliates of broker-dealers.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percentage ownership is based on 73,264,738 shares of common stock outstanding as of December 31, 2023. Such percentages include outstanding options exercisable as of December 31, 2023, and outstanding options that will vest or become exercisable within 60 days of December 31, 2023, in each case held by the Selling Stockholders as of such date. The Selling Stockholders do not hold other convertible securities that are currently exercisable or releasable or that will become exercisable or releasable within 60 days of December 31, 2023. Unless otherwise indicated, the address of each beneficial owner listed in the table below is c/o Veracyte, Inc., 6000 Shoreline Court, Suite 300, South San Francisco, California.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15"/>
        <w:gridCol w:w="152"/>
        <w:gridCol w:w="60"/>
        <w:gridCol w:w="1120"/>
        <w:gridCol w:w="60"/>
        <w:gridCol w:w="152"/>
        <w:gridCol w:w="60"/>
        <w:gridCol w:w="463"/>
        <w:gridCol w:w="275"/>
        <w:gridCol w:w="104"/>
        <w:gridCol w:w="65"/>
        <w:gridCol w:w="1245"/>
        <w:gridCol w:w="60"/>
        <w:gridCol w:w="152"/>
        <w:gridCol w:w="65"/>
        <w:gridCol w:w="857"/>
        <w:gridCol w:w="60"/>
        <w:gridCol w:w="152"/>
        <w:gridCol w:w="60"/>
        <w:gridCol w:w="262"/>
        <w:gridCol w:w="66"/>
      </w:tblGrid>
      <w:tr>
        <w:trPr/>
        <w:tc>
          <w:tcPr>
            <w:tcW w:w="471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71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9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w:t>
              <w:br/>
              <w:t>Beneficially</w:t>
              <w:br/>
              <w:t>Owned Before</w:t>
              <w:br/>
              <w:t>this Offering</w:t>
            </w:r>
          </w:p>
        </w:tc>
        <w:tc>
          <w:tcPr>
            <w:tcW w:w="275" w:type="dxa"/>
            <w:tcBorders/>
            <w:vAlign w:val="bottom"/>
          </w:tcPr>
          <w:p>
            <w:pPr>
              <w:pStyle w:val="TableContents"/>
              <w:bidi w:val="0"/>
              <w:spacing w:before="0" w:after="283"/>
              <w:jc w:val="left"/>
              <w:rPr/>
            </w:pPr>
            <w:r>
              <w:rPr/>
              <w:t> </w:t>
            </w:r>
          </w:p>
        </w:tc>
        <w:tc>
          <w:tcPr>
            <w:tcW w:w="104" w:type="dxa"/>
            <w:vMerge w:val="restart"/>
            <w:tcBorders/>
            <w:vAlign w:val="bottom"/>
          </w:tcPr>
          <w:p>
            <w:pPr>
              <w:pStyle w:val="TableContents"/>
              <w:bidi w:val="0"/>
              <w:spacing w:before="0" w:after="283"/>
              <w:jc w:val="left"/>
              <w:rPr/>
            </w:pPr>
            <w:r>
              <w:rPr/>
              <w:t> </w:t>
            </w:r>
          </w:p>
        </w:tc>
        <w:tc>
          <w:tcPr>
            <w:tcW w:w="13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Offered</w:t>
            </w:r>
          </w:p>
        </w:tc>
        <w:tc>
          <w:tcPr>
            <w:tcW w:w="60" w:type="dxa"/>
            <w:vMerge w:val="restart"/>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w:t>
              <w:br/>
              <w:t>Beneficially</w:t>
              <w:br/>
              <w:t>Owned After</w:t>
              <w:br/>
              <w:t>this Offering</w:t>
            </w:r>
          </w:p>
        </w:tc>
        <w:tc>
          <w:tcPr>
            <w:tcW w:w="66" w:type="dxa"/>
            <w:tcBorders/>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b/>
              </w:rPr>
            </w:pPr>
            <w:r>
              <w:rPr>
                <w:b/>
              </w:rPr>
              <w:t>Name of Selling Stockholder</w:t>
            </w:r>
          </w:p>
        </w:tc>
        <w:tc>
          <w:tcPr>
            <w:tcW w:w="152" w:type="dxa"/>
            <w:tcBorders/>
            <w:vAlign w:val="bottom"/>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104" w:type="dxa"/>
            <w:vMerge w:val="continue"/>
            <w:tcBorders/>
            <w:vAlign w:val="bottom"/>
          </w:tcPr>
          <w:p>
            <w:pPr>
              <w:pStyle w:val="Normal"/>
              <w:bidi w:val="0"/>
              <w:jc w:val="left"/>
              <w:rPr/>
            </w:pPr>
            <w:r>
              <w:rPr/>
            </w:r>
          </w:p>
        </w:tc>
        <w:tc>
          <w:tcPr>
            <w:tcW w:w="131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52" w:type="dxa"/>
            <w:tcBorders/>
            <w:vAlign w:val="bottom"/>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Shares(1)</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3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6"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Ag Investors L.L.C.(2)</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17,329</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17,329</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Alex Parker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4,299</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4,299</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Alexandria Venture Investments, LLC(3)</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25,994</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25,994</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Anthony Evnin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9,497</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9,497</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Asaf Zviran</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188,607</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188,607</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Dan Landau</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55,472</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55,472</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Driehaus Life Sciences Master Fund, L.P.(4)</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59,465</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59,465</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Ezra Sofer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78,586</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78,586</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IBI Trust Management (F/B/O Boris Oklander)(5)</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88,779</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47,151</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41,628</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center"/>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IBI Trust Management (F/B/O LionBird II L.P.)(6)</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32,378</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32,378</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IBI Trust Management (F/B/O NFX Capital Fund II, LP)(7)</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132,434</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132,434</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IBI Trust Management (F/B/O NFX C2-B Advantage, LP)(8)</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308,121</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308,121</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MTC FBO Gordon Discovery Fund LLC(9)</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25,537</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25,537</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affiliates with iGlobe Partners(10)</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207,955</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207,955</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Levy Gerzberg</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6,898</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6,898</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Lorraine Marchand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215</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215</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Oldroyd</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1,242</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1,242</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Matija Snuderl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462</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462</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Multiple Holdings, LLC(11)</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14,545</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14,454</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Section 32 Fund 3, LP(12)</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118,931</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118,931</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Mark Foundation for Cancer Research (U.S.) Ltd.(13)</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86,322</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86,322</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THSDFS LLC Series 22(14)</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259,944</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259,944</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7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shares of common stock</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1,723,012</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2.35</w:t>
            </w:r>
          </w:p>
        </w:tc>
        <w:tc>
          <w:tcPr>
            <w:tcW w:w="27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1,681,384</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41,628</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center"/>
              <w:rPr/>
            </w:pPr>
            <w:r>
              <w:rPr/>
              <w:t>* </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the Selling Stockholders dispose of all of the shares of common stock covered by this prospectus supplement and do not acquire beneficial ownership of any additional shares. The registration of these shares does not necessarily mean that the Selling Stockholders will sell all or any portion of the shares covered by this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this entity is 55 Hudson Yards, 40th Floor, New York, NY 10001.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this entity is 26 North Euclid Avenue, Pasadena, California 91101.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Driehaus Capital Management (USVI) LLC is the general partner of Driehaus Life Sciences Master Fund, L.P. By virtue of such relationship, Driehaus Capital Management (USVI) LLC may be deemed to have beneficial ownership over such shares. Driehaus Capital Management LLC is the investment advisor to Driehaus Life Sciences Master Fund, L.P. Driehaus Capital Management LLC exercises voting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investment power through portfolio managers comprised of Michael Caldwell and Alex Munns, each of whom disclaims beneficial ownership of the shares held by Driehaus Life Sciences Master Fund, L.P. The address for Driehaus Life Sciences Master Fund, L.P. is c/o Driehaus Capital Management LLC, 25 East Erie Street, Chicago, IL 60611.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47,151 shares of common stock and (ii) 41,628 options to purchase common stock that are exercisable within 60 days of December 31, 2023. IBI Trust Management holds the shares of common stock described in the foregoing clause (i) in trust for the benefit of Boris Oklander and disclaims beneficial ownership of these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IBI Trust Management holds these shares of common stock in trust for the benefit of LionBird II L.P. and disclaims beneficial ownership of these shares. The business address for LionBird II L.P. is 25 Habarzel Street, Tel Aviv 69710 Israel.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IBI Trust Management holds these shares of common stock in trust for the benefit of NFX Capital Fund II, LP and disclaims beneficial ownership of these shares. The business address for NFX Capital Fund II, LP is 34 Page Street, San Francisco, CA 94102.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IBI Trust Management holds these shares of common stock in trust for the benefit of NFX C2-B Advantage, LP and disclaims beneficial ownership of these shares. The business address for NFX C2-B Advantage, LP is 34 Page Street, San Francisco, CA 94102.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3,009 shares of common stock held by MTC FBO Gordon Discovery Fund LLC Series A and (ii) 22,528 shares of common stock held by MTC FBO Gordon Discovery Fund LLC Series C. MTC holds these shares of common stock in trust for the benefit of Gordon Discovery Fund LLC Series A and Gordon Discovery Fund Series C, respectively, and disclaims beneficial ownership of these shares. The business address for each of the aforementioned entities is c/o Gordon Asset Management LLC, 3800 N Lamar, Suite 200, Austin, Texas 78756.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173,296 shares of common stock held by iGlobe Platinum Fund III Limited and (ii) 34,659 shares of common stock held by iGlobe Treasury Management Pte. Ltd. iGlobe Partners (II) Pte Ltd is the fund manager for iGlobe Platinum Fund III Limited and iGlobe Treasury Management Pte. Ltd. The partners of iGlobe Partners (II) Pte Ltd are Yoke Sin Chong, Soo Boon Koh and Kah Joo Ng and each may be deemed to have voting power over the shares held by iGlobe Platinum Fund III Limited and iGlobe Treasury Management Pte. Ltd. Dispositive power over the shares is controlled by the Divestiture Committee of iGlobe Partners (II) Pte Ltd. Each of Yoke Sin Chong, Soo Boon Koh and Kah Joo Ng disclaims beneficial ownership of these securities except to the extent of her or his respective pecuniary interest therein. The address for each of these entities is 11 Biopolis Way, #09-03 Helios, Singapore 138667.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 Turner is a partner in Multiple Holdings, LLC and may be deemed to share voting power and dispositive power over the shares held by Multiple Holdings, LLC. The address of Multiple Holdings, LLC is 180 Varick Street, Suite 1220 New York, NY 10014.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partner of Section 32 Fund 3, LP is Section 32 GP 3, LLC, which has sole voting and investment control with respect to holdings of Section 32 Fund 3, LP. The sole Managing Member of Section 32 GP 3, LLC is William J. Maris. Mr. Maris has sole voting and investment control with respect to Section 32 GP 3, LLC. Each of Section 32 Fund 3, LP, Section 32 GP 3, LLC and Mr. Maris disclaims beneficial ownership of the shares, except, in each case, to the extent of such persons pecuniary interest therein. The address of Section 32 Fund 3, LP is 169 University Ave. Palo Alto, CA 94301.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this entity is 1350 Avenue of the Americas, Suite 2902.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this entity is 40 West 57th Street, 25th Floor, New York, NY 10019.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supptx777306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any donees, pledgees, transferees or other successors in interest selling shares received after the date of this prospectus supplement from the Selling Stockholders as a gift, pledge, partnership distribution or other transfer, may, from time to time, sell, transfer, or otherwise dispose of any or all of their shares on any stock exchange, market or trading facility on which the shares are traded or in private transactions. The Selling Stockholders will act independently of us in making decisions with respect to the timing, manner, and size of any such sale, transfer or other disposition. These dispositions may be at market prices prevailing at the time of sale, at prices related to such market prices, at a fixed price or prices subject to change,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any national securities exchange or quotation service on which the securities may be listed or quoted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otherwise than on these exchanges or systems or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subject to our Insider Trading Policy (in the case of Selling Stockholders that are Veracyte employees), enter into option, derivative or hedging transactions with respect to the shares of common stock, and any related offers or sales of shares may be made pursuant to this prospectus supplement. For example, the Selling Stockholders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involving short sales of the shares by broker-dealers in the course of hedging the positions they assume with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shares short itself and deliver the shares registered hereby to settle such short sales or to close out stock loans incurred in connection with its short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write call options, put options or other derivative instruments (including exchange-traded options or privately negotiated options) with respect to the shares, or which they settle through delivery of the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option transactions or other types of transactions that require the Selling Stockholders to deliver shares to a broker, dealer or other financial institution, who may then resell or transfer the shares under this prospectus supplement;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lend the shares to a broker, dealer or other financial institution, which may sell the lent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option, derivative and hedging transactions may require the delivery to a broker, dealer or other financial institution of shares offered hereby, and such broker, dealer or other financial institution may resell such shares pursuant to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also sell shares under Rule 144 under the Securities Act, if available, rather than under this prospectus supplement. The Selling Stockholders are not obligated to, and there is no assurance that the Selling Stockholders will, sell all or any of the shares we are registering. The Selling Stockholders may transfer, devise or gift such shares by other means not described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The Selling Stockholders reserve the right to accept and, together with its agents from time to time, to reject, in whole or in part, any proposed purchase of common stock to be made directly or through agents. We will not receive any of the proceeds from this offering. We are required to pay certain fees and expenses incurred by us incident to the registration of the shares. </w:t>
      </w:r>
    </w:p>
    <w:p>
      <w:pPr>
        <w:pStyle w:val="TextBody"/>
        <w:bidi w:val="0"/>
        <w:spacing w:before="240" w:after="0"/>
        <w:jc w:val="left"/>
        <w:rPr>
          <w:rFonts w:ascii="Times New Roman" w:hAnsi="Times New Roman"/>
          <w:sz w:val="20"/>
        </w:rPr>
      </w:pPr>
      <w:r>
        <w:rPr>
          <w:rFonts w:ascii="Times New Roman" w:hAnsi="Times New Roman"/>
          <w:sz w:val="20"/>
        </w:rPr>
        <w:t xml:space="preserve">Broker-dealers engaged by the Selling Stockholders may arrange for other brokers-dealers to participate in sales. Broker-dealers may receive commissions or discounts from the Selling Stockholders (or, if any broker-dealer acts as agent for the purchaser of shares, from the purchaser) in amounts to be negotiated. The Selling Stockholders do not expect these commissions and discounts to exceed what is customary in the types of transactions involved. Any profits on the resale of shares by a broker-dealer acting as principal might be deemed to be underwriting discounts or commissions under the Securities Act. Discounts, concessions, commissions and similar selling expenses, if any, attributable to the sale of shares will be borne by the Selling Stockholders. The Selling Stockholders may agree to indemnify any agent, dealer or broker-dealer that participates in transactions involving sales of the shares if liabilities are imposed on that person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broker-dealers or agents that participate in the sale of the common stock may be underwriters within the meaning of Section 2(11) of the Securities Act. Any discounts, commissions, concessions or profit they earn on any resale of the shares may be underwriting discounts and commissions under the Securities Act. If any Selling Stockholder is an underwriter within the meaning of Section 2(11) of the Securities Act, it will be subject to the prospectus delivery requirements of the Securities Act. There is no underwriter or coordinating broker acting in connection with the proposed sale of the resale shares by the Selling Stockholders and the Selling Stockholders may not participate in an underwritten offering without our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subject to our Insider Trading Policy (in the case of Selling Stockholders that are Veracyte employees), may from time to time pledge or grant a security interest in some or all of the shares owned by them and, if any Selling Stockholder defaults in the performance of any of its secured obligations, the pledgees or secured parties may offer and sell the shares from time to time under this prospectus supplement, or under an amendment to this prospectus supplement or other applicable provision of the Securities Act amending the list of selling stockholders to include the pledgee, transferee or other successors-in-interest as selling stockholders under this prospectus supplement. The Selling Stockholders also may transfer the shares of common stock in other circumstances, in which case the transferees, pledgees or other successors-in-interest will be the selling beneficial owners for purposes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to be sold, the names of the selling stockholders, the respective purchase prices and public offering prices, the names of any agents, dealer, or underwriter and any applicable commissions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discounts with respect to a particular offer will be set forth in an accompanying prospectus supplement or, if appropriate, a post-effective amendment to the registration statement that includes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VCYT. </w:t>
      </w:r>
    </w:p>
    <w:p>
      <w:pPr>
        <w:pStyle w:val="TextBody"/>
        <w:bidi w:val="0"/>
        <w:spacing w:before="240" w:after="0"/>
        <w:jc w:val="left"/>
        <w:rPr>
          <w:rFonts w:ascii="Times New Roman" w:hAnsi="Times New Roman"/>
          <w:sz w:val="20"/>
        </w:rPr>
      </w:pPr>
      <w:r>
        <w:rPr>
          <w:rFonts w:ascii="Times New Roman" w:hAnsi="Times New Roman"/>
          <w:sz w:val="20"/>
        </w:rPr>
        <w:t xml:space="preserve">The anti-manipulation rules of Regulation M under the Exchange Act, may apply to sales of shares in the market and to the activities of the Selling Stockholders and their respective affiliates. In addition, we will make copies of this prospectus supplement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restrict or suspend offers and sales or other dispositions of the shares under this prospectus supplement under certain circumstances. In the event of such restriction or suspension, the Selling Stockholders will not be able to offer or sell or otherwise dispose of the shares of common stock under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Expenses associated with this offering to be paid by us are estimated to be approximately $40,000, including SEC filing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supptx777306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Fenwick &amp; West LLP, San Francisco, California will issue an opinion about certain legal matters with respect to the securities. </w:t>
      </w:r>
    </w:p>
    <w:p>
      <w:pPr>
        <w:pStyle w:val="TextBody"/>
        <w:bidi w:val="0"/>
        <w:spacing w:before="360" w:after="0"/>
        <w:jc w:val="center"/>
        <w:rPr>
          <w:rFonts w:ascii="Times New Roman" w:hAnsi="Times New Roman"/>
          <w:b/>
          <w:sz w:val="20"/>
        </w:rPr>
      </w:pPr>
      <w:bookmarkStart w:id="11" w:name="supptx777306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supptx777306_10"/>
      <w:bookmarkEnd w:id="1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with respect to the shares of common stock offered hereby. This prospectus supplement, which constitutes a part of the registration statement, does not contain all of the information set forth in the registration statement, the exhibits filed therewith or the documents incorporated by reference therein. For further information about us and the shares of common stock offered hereby, reference is made to the registration statement, the exhibits filed therewith and the documents incorporated by reference therein. Statements contained in this prospectus supplement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and are required to file annual, quarterly and other reports, proxy statements and other information with the SEC. The SEC maintains an Internet site (http://www.sec.gov) that contains reports, proxy and information statements, and various other information about us. You may access, free of charge, our annual reports on Form 10-K, quarterly reports on Form 10-Q, current reports on Form 8-K and any amendments to those reports filed or furnished pursuant to Section 13(a) or 15(d) of the Exchange Act as soon as reasonably practicable after such each such report is electronically filed with, or furnished to, the SEC.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us is also available on our website at www.veracyte.com. However, the information on our website is not a part of this prospectus supplement and is not incorporated by reference into this prospectus supplement. We have included our website address in this prospectus supplement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supptx777306_11"/>
      <w:bookmarkEnd w:id="13"/>
      <w:r>
        <w:rPr>
          <w:rFonts w:ascii="Times New Roman" w:hAnsi="Times New Roman"/>
          <w:b/>
          <w:sz w:val="20"/>
        </w:rPr>
        <w:t xml:space="preserve">INCORPORATION OF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have filed with the SEC, and incorporate by reference in this prospectus supplement and the accompanying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w:t>
            </w:r>
            <w:hyperlink r:id="rId3">
              <w:r>
                <w:rPr>
                  <w:rStyle w:val="InternetLink"/>
                  <w:rFonts w:ascii="Times New Roman" w:hAnsi="Times New Roman"/>
                  <w:sz w:val="20"/>
                </w:rPr>
                <w:t>December 31, 2023</w:t>
              </w:r>
            </w:hyperlink>
            <w:r>
              <w:rPr>
                <w:rFonts w:ascii="Times New Roman" w:hAnsi="Times New Roman"/>
                <w:sz w:val="20"/>
              </w:rPr>
              <w:t xml:space="preserve">, filed with the SEC on February 29,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4">
              <w:r>
                <w:rPr>
                  <w:rStyle w:val="InternetLink"/>
                  <w:rFonts w:ascii="Times New Roman" w:hAnsi="Times New Roman"/>
                  <w:sz w:val="20"/>
                </w:rPr>
                <w:t>February  6, 2024</w:t>
              </w:r>
            </w:hyperlink>
            <w:r>
              <w:rPr>
                <w:rFonts w:ascii="Times New Roman" w:hAnsi="Times New Roman"/>
                <w:sz w:val="20"/>
              </w:rPr>
              <w:t xml:space="preserve">, and </w:t>
            </w:r>
            <w:hyperlink r:id="rId5">
              <w:r>
                <w:rPr>
                  <w:rStyle w:val="InternetLink"/>
                  <w:rFonts w:ascii="Times New Roman" w:hAnsi="Times New Roman"/>
                  <w:sz w:val="20"/>
                </w:rPr>
                <w:t>February 13, 2024</w:t>
              </w:r>
            </w:hyperlink>
            <w:r>
              <w:rPr>
                <w:rFonts w:ascii="Times New Roman" w:hAnsi="Times New Roman"/>
                <w:sz w:val="20"/>
              </w:rPr>
              <w:t xml:space="preserve">, (except that any portions thereof which are furnished and not filed shall not be deemed incorporated);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6">
              <w:r>
                <w:rPr>
                  <w:rStyle w:val="InternetLink"/>
                  <w:rFonts w:ascii="Times New Roman" w:hAnsi="Times New Roman"/>
                  <w:sz w:val="20"/>
                </w:rPr>
                <w:t>Form 8-A</w:t>
              </w:r>
            </w:hyperlink>
            <w:r>
              <w:rPr>
                <w:rFonts w:ascii="Times New Roman" w:hAnsi="Times New Roman"/>
                <w:sz w:val="20"/>
              </w:rPr>
              <w:t xml:space="preserve"> filed with the SEC on October 28, 2013 under Section  12 of the Exchange Act, including any amendment or report filed for the purposes of updating such description, including </w:t>
            </w:r>
            <w:hyperlink r:id="rId7">
              <w:r>
                <w:rPr>
                  <w:rStyle w:val="InternetLink"/>
                  <w:rFonts w:ascii="Times New Roman" w:hAnsi="Times New Roman"/>
                  <w:sz w:val="20"/>
                </w:rPr>
                <w:t>Exhibit 4.2</w:t>
              </w:r>
            </w:hyperlink>
            <w:r>
              <w:rPr>
                <w:rFonts w:ascii="Times New Roman" w:hAnsi="Times New Roman"/>
                <w:sz w:val="20"/>
              </w:rPr>
              <w:t xml:space="preserve"> to our Annual Report on Form 10-K for the year ended </w:t>
            </w:r>
            <w:hyperlink r:id="rId8">
              <w:r>
                <w:rPr>
                  <w:rStyle w:val="InternetLink"/>
                  <w:rFonts w:ascii="Times New Roman" w:hAnsi="Times New Roman"/>
                  <w:sz w:val="20"/>
                </w:rPr>
                <w:t>December 31, 2023</w:t>
              </w:r>
            </w:hyperlink>
            <w:r>
              <w:rPr>
                <w:rFonts w:ascii="Times New Roman" w:hAnsi="Times New Roman"/>
                <w:sz w:val="20"/>
              </w:rPr>
              <w:t xml:space="preserve">, filed with the SEC on February 29,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all additional documents that we file with the SEC under the terms of Section 13(a), 13(c), 14 or 15(d) of the Exchange Act that are made after the initial filing date of the registration statement of which this prospectus supplement and the accompanying prospectus is a part and the effectiveness of the registration statement, as well as between the date of this prospectus supplement and the termination of any offering of securities offered by this prospectus supplement and the accompanying prospectus. We are not, however, incorporating, in each case, any documents or information that we are deemed to furnish and not file in accordance with SEC rules.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any or all of the documents incorporated by reference but not delivered with this prospectus supplement and the accompanying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 See the section of this prospectus supplement entitled Where You Can Find More Information for information concerning how to obtain copies of materials that we file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96850" cy="141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196850" cy="14160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VERACYTE,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Warrants, </w:t>
      </w:r>
    </w:p>
    <w:p>
      <w:pPr>
        <w:pStyle w:val="TextBody"/>
        <w:bidi w:val="0"/>
        <w:spacing w:before="0" w:after="0"/>
        <w:jc w:val="center"/>
        <w:rPr>
          <w:rFonts w:ascii="Times New Roman" w:hAnsi="Times New Roman"/>
          <w:b/>
          <w:sz w:val="28"/>
        </w:rPr>
      </w:pPr>
      <w:r>
        <w:rPr>
          <w:rFonts w:ascii="Times New Roman" w:hAnsi="Times New Roman"/>
          <w:b/>
          <w:sz w:val="28"/>
        </w:rPr>
        <w:t xml:space="preserve">Subscription Rights and Units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 xml:space="preserve">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We will specify in an accompanying prospectus supplement more specific information about any such offering. </w:t>
      </w:r>
    </w:p>
    <w:p>
      <w:pPr>
        <w:pStyle w:val="TextBody"/>
        <w:bidi w:val="0"/>
        <w:spacing w:before="200" w:after="0"/>
        <w:jc w:val="left"/>
        <w:rPr>
          <w:rFonts w:ascii="Times New Roman" w:hAnsi="Times New Roman"/>
          <w:sz w:val="20"/>
        </w:rPr>
      </w:pPr>
      <w:r>
        <w:rPr>
          <w:rFonts w:ascii="Times New Roman" w:hAnsi="Times New Roman"/>
          <w:sz w:val="20"/>
        </w:rPr>
        <w:t xml:space="preserve">In addition, certain selling securityholders to be identified in a prospectus supplement may use this prospectus from time to time to offer shares of our common stock. Unless the applicable prospectus supplement provides otherwise, we will not receive any proceeds from the sale of common stock by the selling securityholders. </w:t>
      </w:r>
    </w:p>
    <w:p>
      <w:pPr>
        <w:pStyle w:val="TextBody"/>
        <w:bidi w:val="0"/>
        <w:spacing w:before="200" w:after="0"/>
        <w:jc w:val="left"/>
        <w:rPr>
          <w:rFonts w:ascii="Times New Roman" w:hAnsi="Times New Roman"/>
          <w:sz w:val="20"/>
        </w:rPr>
      </w:pPr>
      <w:r>
        <w:rPr>
          <w:rFonts w:ascii="Times New Roman" w:hAnsi="Times New Roman"/>
          <w:sz w:val="20"/>
        </w:rPr>
        <w:t xml:space="preserve">You should read this document and any prospectus supplement or amendment carefully before you invest in our securities. Neither we nor any selling securityholders may use this prospectus to sell securities unless it includes a prospectus supplement. </w:t>
      </w:r>
    </w:p>
    <w:p>
      <w:pPr>
        <w:pStyle w:val="TextBody"/>
        <w:bidi w:val="0"/>
        <w:spacing w:before="200" w:after="0"/>
        <w:jc w:val="left"/>
        <w:rPr>
          <w:rFonts w:ascii="Times New Roman" w:hAnsi="Times New Roman"/>
          <w:sz w:val="20"/>
        </w:rPr>
      </w:pPr>
      <w:r>
        <w:rPr>
          <w:rFonts w:ascii="Times New Roman" w:hAnsi="Times New Roman"/>
          <w:sz w:val="20"/>
        </w:rPr>
        <w:t xml:space="preserve">Our common stock is listed on The Nasdaq Global Market under the symbol VCYT. </w:t>
      </w:r>
    </w:p>
    <w:p>
      <w:pPr>
        <w:pStyle w:val="TextBody"/>
        <w:bidi w:val="0"/>
        <w:spacing w:before="200" w:after="0"/>
        <w:jc w:val="left"/>
        <w:rPr/>
      </w:pPr>
      <w:r>
        <w:rPr>
          <w:rFonts w:ascii="Times New Roman" w:hAnsi="Times New Roman"/>
          <w:b/>
          <w:sz w:val="20"/>
        </w:rPr>
        <w:t>Investing in our securities involves risks. See the section entitled </w:t>
      </w:r>
      <w:hyperlink w:anchor="tx777306_3">
        <w:r>
          <w:rPr>
            <w:rStyle w:val="InternetLink"/>
            <w:rFonts w:ascii="Times New Roman" w:hAnsi="Times New Roman"/>
            <w:b/>
            <w:sz w:val="20"/>
          </w:rPr>
          <w:t xml:space="preserve">Risk Factors </w:t>
        </w:r>
      </w:hyperlink>
      <w:r>
        <w:rPr>
          <w:rFonts w:ascii="Times New Roman" w:hAnsi="Times New Roman"/>
          <w:b/>
          <w:sz w:val="20"/>
        </w:rPr>
        <w:t xml:space="preserve"> on page 3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 </w:t>
      </w:r>
    </w:p>
    <w:p>
      <w:pPr>
        <w:pStyle w:val="TextBody"/>
        <w:bidi w:val="0"/>
        <w:spacing w:before="200" w:after="0"/>
        <w:jc w:val="left"/>
        <w:rPr>
          <w:rFonts w:ascii="Times New Roman" w:hAnsi="Times New Roman"/>
          <w:sz w:val="20"/>
        </w:rPr>
      </w:pPr>
      <w:r>
        <w:rPr>
          <w:rFonts w:ascii="Times New Roman" w:hAnsi="Times New Roman"/>
          <w:sz w:val="20"/>
        </w:rPr>
        <w:t xml:space="preserve">The securities described in this prospectus may be offered and sold to or through underwriters, dealers or agents as designated from time to time, or directly to one or more other purchasers or through a combination of such methods. See Plan of Distribution on page 23.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 </w:t>
      </w:r>
    </w:p>
    <w:p>
      <w:pPr>
        <w:pStyle w:val="TextBody"/>
        <w:bidi w:val="0"/>
        <w:spacing w:before="200" w:after="0"/>
        <w:jc w:val="left"/>
        <w:rPr>
          <w:rFonts w:ascii="Times New Roman" w:hAnsi="Times New Roman"/>
          <w:b/>
          <w:sz w:val="20"/>
        </w:rPr>
      </w:pPr>
      <w:r>
        <w:rPr>
          <w:rFonts w:ascii="Times New Roman" w:hAnsi="Times New Roman"/>
          <w:b/>
          <w:sz w:val="20"/>
        </w:rPr>
        <w:t xml:space="preserve">Neither the Securities and Exchange Commission nor any state regulators have approved or disapproved of these securities or passed upon the adequacy or accuracy of this prospectus. Any representation to the contrary is a criminal offense. </w:t>
      </w:r>
    </w:p>
    <w:p>
      <w:pPr>
        <w:pStyle w:val="TextBody"/>
        <w:bidi w:val="0"/>
        <w:spacing w:before="200" w:after="0"/>
        <w:jc w:val="center"/>
        <w:rPr>
          <w:rFonts w:ascii="Times New Roman" w:hAnsi="Times New Roman"/>
          <w:b/>
          <w:sz w:val="20"/>
        </w:rPr>
      </w:pPr>
      <w:r>
        <w:rPr>
          <w:rFonts w:ascii="Times New Roman" w:hAnsi="Times New Roman"/>
          <w:b/>
          <w:sz w:val="20"/>
        </w:rPr>
        <w:t xml:space="preserve">The date of this prospectus is February 29,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777306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77306_2">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77306_3">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77306_4">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77306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77306_6">
              <w:r>
                <w:rPr>
                  <w:rStyle w:val="InternetLink"/>
                  <w:rFonts w:ascii="Times New Roman" w:hAnsi="Times New Roman"/>
                  <w:sz w:val="20"/>
                </w:rPr>
                <w:t>DESCRIPTION OF SECURITIES TO BE REGISTERED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77306_7">
              <w:r>
                <w:rPr>
                  <w:rStyle w:val="InternetLink"/>
                  <w:rFonts w:ascii="Times New Roman" w:hAnsi="Times New Roman"/>
                  <w:sz w:val="20"/>
                </w:rPr>
                <w:t>DESCRIPTION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77306_8">
              <w:r>
                <w:rPr>
                  <w:rStyle w:val="InternetLink"/>
                  <w:rFonts w:ascii="Times New Roman" w:hAnsi="Times New Roman"/>
                  <w:sz w:val="20"/>
                </w:rPr>
                <w:t>DESCRIPTION OF PREFERRED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77306_9">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77306_10">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77306_11">
              <w:r>
                <w:rPr>
                  <w:rStyle w:val="InternetLink"/>
                  <w:rFonts w:ascii="Times New Roman" w:hAnsi="Times New Roman"/>
                  <w:sz w:val="20"/>
                </w:rPr>
                <w:t>DESCRIPTION OF SUBSCRIPTION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77306_12">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77306_13">
              <w:r>
                <w:rPr>
                  <w:rStyle w:val="InternetLink"/>
                  <w:rFonts w:ascii="Times New Roman" w:hAnsi="Times New Roman"/>
                  <w:sz w:val="20"/>
                </w:rPr>
                <w:t>SELLING SECURITYHOLDERS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77306_14">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77306_15">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77306_16">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77306_17">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77306_18">
              <w:r>
                <w:rPr>
                  <w:rStyle w:val="InternetLink"/>
                  <w:rFonts w:ascii="Times New Roman" w:hAnsi="Times New Roman"/>
                  <w:sz w:val="20"/>
                </w:rPr>
                <w:t>INCORPORATION OF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4" w:name="tx777306_1"/>
      <w:bookmarkEnd w:id="14"/>
      <w:r>
        <w:rPr>
          <w:rFonts w:ascii="Times New Roman" w:hAnsi="Times New Roman"/>
          <w:b/>
          <w:sz w:val="20"/>
          <w:bdr w:val="single" w:sz="8" w:space="1" w:color="000000"/>
        </w:rPr>
        <w:t xml:space="preserve">ABOUT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is part of an automatic registration statement on Form S-3 that we filed with the Securities and Exchange Commission, or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and selling securityholders may sell our common stock from time to time in one or more offerings.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provides you with a general description of the securities we or the selling securityholders may offer. Each time we or the selling securityholders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we, nor the selling securityholders or any agent, underwriter or dealer have authorized anyone to give you any information or to make any representation other than the information and representations contained in or incorporated by reference into this prospectus or any applicable prospectus supplement.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the context otherwise requires, references in this prospectus and the accompanying prospectus supplement to Veracyte, the company, we, us and our refer to Veracyte,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Veracyte, Afirma, Percepta, Envisia, Prosigna, Lymphmark, Decipher, GRID, HalioDx, TMExplore, Brightplex, Immunosign, C2i Genomics, C2intelligence, C2inform and the Veracyte logo are registered or pending trademarks of Veracyte, Inc. and its subsidiaries in the U.S. and selected countries. nCounter is the registered trademark of NanoString Technologies, Inc., or NanoString, in the U.S. and selected countries and used by Veracyte under license. Immunoscore is the registered trademark of Institut National de la Santé et de la Recherche Médicale, or Inserm, in the U.S. and selected countries and used by Veracyte under license.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5" w:name="tx777306_2"/>
      <w:bookmarkEnd w:id="1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helping patients avoid unnecessary procedures and interventions, and accelerating time to appropriate treatment, thereby improving outcomes for patients all over the world.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currently offer tests in thyroid cancer (Afirma); prostate cancer (Decipher Prostate); breast cancer (Prosigna); bladder cancer (Decipher Bladder); and interstitial lung diseases (Envisia). Our Percepta Nasal Swab test is being run in our Clinical Laboratory Improvement Amendments of 1988, or CLIA, certified lab in support of clinical studies and our test for lymphoma is in development as a companion diagnostic.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serve global markets with two complementary models. In the United States, we offer laboratory developed tests, or LDTs, through our centralized CLIA certified laboratories in South San Francisco and San Diego, California, supported by our cytopathology expertise in Austin, Texas. Additionally, primarily outside of the United States, we provide tests to patients through distribution to laboratories and hospitals that can perform the tests locally. Today, this includes our Prosigna test, and in the future, we intend to offer the Decipher Prostate and Percepta Nasal Swab tests as in vitro diagnostic, or IVD, tests. We believe our broad menu of advanced diagnostic tests, combined with our ability to deliver them globally, differentiates us in the diagnostics industry.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February 2024, we acquired C2i Genomics, Inc., a minimal residual disease detection company, which will expand our role across the patient cancer journey, moving from providing early decision support to following the patient through treatment, where we will be able to help monitor the success of a therapeutic or surgical intervention, and determine the best course of action for each patient.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x777306_3"/>
      <w:bookmarkEnd w:id="1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 Item 1A, Risk Factors, in our Annual Report on Form 10-K for the fiscal year ended December 31, 2023, which is incorporated herein by reference, and may be amended, supplemented or superseded from time to time by other reports we file with the SEC in the future and which are incorporated herein by reference. See Where You Can Find More Information and Incorporation of Information by Reference. The risks and uncertainties we have described are not the only ones we face. Additional risks and uncertainties not presently known to us or that we currently deem immaterial may also affect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x777306_4"/>
      <w:bookmarkEnd w:id="1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including the documents incorporated by reference herein and therein, contain forward-looking statements, which are subject to safe harbor protection under of the Private Securities Litigation Reform Act of 1995. All statements contained in or incorporated by reference in this prospectus and any prospectus supplement other than statements of historical fact, including statements regarding our future financial condition and operating results, business strategy and plans, and objectives for future operations, are forward-looking statements. The words believe, may, will, estimate, continue, anticipate, intend, expect, seek, plan, and similar expressions are intended to identify forward-looking statements. We have based these forward-looking statements largely on our current expectations, beliefs, and projections about future events, conditions, and trends that we believe may affect our financial condition, operating results, business strategy, short-term and long-term business operations and objectives, and financial needs. These forward-looking statements are subject to a number of risks, uncertainties, assumptions, and changes in circumstances that are difficult to predict and many of which are outside of our control, including those arising from the impact of recent macroeconomic events and inflation, as well as those described in the Risk Factors section incorporated by reference herein, which we encourage you to read carefully.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these risks, uncertainties, assumptions, and potential changes in circumstances, the future events, conditions, and trends discussed in this prospectus and any prospectus supplement may not occur and actual results could differ materially and adversely from those anticipated or implied by the forward-looking statements. Accordingly, you should not rely upon any forward-looking statements. Although we believe that the expectations reflected in the forward-looking statements are reasonable, we cannot guarantee future results, levels of activities, performance, or achievements. We are under no duty to update any of these forward-looking statements after the date of this report or to conform these statements to actual results or revised expectations, except as required by applicable law. If we do update any forward-looking statements, no inference should be drawn that we will make additional updates with respect to those or other forward-looking statements. You are advised to review any additional disclosures we make in the documents we subsequently file with the SEC that are incorporated by reference in this prospectus and any prospectus supplement. See Where You Can Find Additional Information and Incorporation of Information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x777306_5"/>
      <w:bookmarkEnd w:id="1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we state otherwise in the applicable prospectus supplement, we intend to use the net proceeds from the sale of the securities offered by us pursuant to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 We cannot predict whether the net proceeds invested will yield a favorable return. Our management will have broad discretion in the application of the net proceeds we receive from the sale of the securities offered hereby, and investors will be relying on the judgment of our management regarding the application of the net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prospectus supplement, we will not receive any of the proceeds from any sale of our common stock by selling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x777306_6"/>
      <w:bookmarkEnd w:id="19"/>
      <w:r>
        <w:rPr>
          <w:rFonts w:ascii="Times New Roman" w:hAnsi="Times New Roman"/>
          <w:b/>
          <w:sz w:val="20"/>
        </w:rPr>
        <w:t xml:space="preserve">DESCRIPTION OF SECURITIES TO BE REGISTERED </w:t>
      </w:r>
    </w:p>
    <w:p>
      <w:pPr>
        <w:pStyle w:val="TextBody"/>
        <w:bidi w:val="0"/>
        <w:spacing w:before="240" w:after="0"/>
        <w:jc w:val="left"/>
        <w:rPr>
          <w:rFonts w:ascii="Times New Roman" w:hAnsi="Times New Roman"/>
          <w:sz w:val="20"/>
        </w:rPr>
      </w:pPr>
      <w:r>
        <w:rPr>
          <w:rFonts w:ascii="Times New Roman" w:hAnsi="Times New Roman"/>
          <w:sz w:val="20"/>
        </w:rPr>
        <w:t xml:space="preserve">We may offer common stock, preferred stock, debt securities, warrants, subscription rights, and/or units consisting of some or all of these securities, in any combination, together or separately, in one or more offerings. Selling securityholders may also offer shares of our common stock in one or more offerings This prospectus provides you with a general description of the securities we or the selling securityholders may offer. A prospectus supplement, which we will provide each time we offer securities, will describe the specific amounts, prices and terms of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securityholders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x777306_7"/>
      <w:bookmarkEnd w:id="20"/>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and provisions of the shares of our common stock, par value $0.001 per share. The following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 and Incorporation of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125,000,000 shares of authorized common stock. As of December 31, 2023, there were 73,264,738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Restated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 </w:t>
      </w:r>
    </w:p>
    <w:p>
      <w:pPr>
        <w:pStyle w:val="TextBody"/>
        <w:bidi w:val="0"/>
        <w:spacing w:before="240" w:after="0"/>
        <w:jc w:val="left"/>
        <w:rPr>
          <w:rFonts w:ascii="Times New Roman" w:hAnsi="Times New Roman"/>
          <w:sz w:val="20"/>
        </w:rPr>
      </w:pPr>
      <w:r>
        <w:rPr>
          <w:rFonts w:ascii="Times New Roman" w:hAnsi="Times New Roman"/>
          <w:i/>
          <w:sz w:val="20"/>
        </w:rPr>
        <w:t>Certificate of Incorporation and Bylaws</w:t>
      </w:r>
      <w:r>
        <w:rPr>
          <w:rFonts w:ascii="Times New Roman" w:hAnsi="Times New Roman"/>
          <w:sz w:val="20"/>
        </w:rPr>
        <w:t xml:space="preserve">. Our restated certificate of incorporation and amended and restated bylaws include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our board of directors to issue, without further action by the stockholders, up to 5,000,000 shares of undesignated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any action to be taken by our stockholders be effected at a duly called annual or special meeting and not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our stockholders can be called only by our board of directors, our chairman of the board, or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our stockholders, including proposed nominations of persons for election to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board of directors is divided into three classes, Class I, Class II and Class III, with each class serving staggered terms. However, beginning with our annual meeting of stockholders to be held in 2024, our board of directors will be declassified over a three-year period, with each class, beginning with the directors standing for election at the annual meeting of stockholders to be held in 2024, subject to an election for a term of one year expiring at the next succeeding annual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directors serving in a class of directors for a term expiring at the third annual meeting of stockholders following the election of such class may be removed only for cause;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our board of directors may, except as otherwise required by law, be filled only by a majority of directors then in office, even if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the federal district courts of the United States shall be the exclusive forum for the resolution of any complaint asserting a cause of action arising under the Securities Act;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specify that no stockholder is permitted to cumulate votes at any election of directors;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a super-majority of votes to amend certain of the above-mentioned provisions. </w:t>
            </w:r>
          </w:p>
        </w:tc>
      </w:tr>
    </w:tbl>
    <w:p>
      <w:pPr>
        <w:pStyle w:val="TextBody"/>
        <w:bidi w:val="0"/>
        <w:spacing w:before="240" w:after="0"/>
        <w:jc w:val="left"/>
        <w:rPr>
          <w:rFonts w:ascii="Times New Roman" w:hAnsi="Times New Roman"/>
          <w:sz w:val="20"/>
        </w:rPr>
      </w:pPr>
      <w:r>
        <w:rPr>
          <w:rFonts w:ascii="Times New Roman" w:hAnsi="Times New Roman"/>
          <w:i/>
          <w:sz w:val="20"/>
        </w:rPr>
        <w:t>Delaware Law</w:t>
      </w:r>
      <w:r>
        <w:rPr>
          <w:rFonts w:ascii="Times New Roman" w:hAnsi="Times New Roman"/>
          <w:sz w:val="20"/>
        </w:rPr>
        <w:t xml:space="preserve">. We are subject to the provisions of Section 203 of the General Corporation Law of the State of Delaware regulating corporate takeovers. In general, those provisions prohibit a publicly-held Delaware corporation from engaging in any business combination with any interested stockholder for a period of three years following the date that the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is approved by the board of directors of the corporation before the date the interested stockholder attained that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the date the business combination is approved by the board of directors of the corporation and authorized at an annual or special meeting of the stockholders, and not by written consent, by the affirmative vote of at least 66-2/3%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business combination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of 10% or more of the assets of the corporation involving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that has the effect of increasing the proportionate share of the stock of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Broadridge Corporate Issuer Solutions, Inc.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VCYT.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x777306_8"/>
      <w:bookmarkEnd w:id="21"/>
      <w:r>
        <w:rPr>
          <w:rFonts w:ascii="Times New Roman" w:hAnsi="Times New Roman"/>
          <w:b/>
          <w:sz w:val="20"/>
        </w:rPr>
        <w:t xml:space="preserve">DESCRIPTION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and provisions of the shares of our preferred stock, par value $0.001 per share. The following is only a summary and is qualified in its entirety by reference to the description of our preferred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 and Incorporation of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distinctive designation of each series and the number of shares that will constitute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if any, of shares of the series and the terms and conditions of the 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on the shares of the series, the dates on which dividends are payable, any restriction, limitation or condition upon the payment of dividends, whether dividends will be cumulative, and the dates from and after which dividends shall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at which, and the terms and conditions on which, the shares of the series may be redeemed, if the shares are redeemable;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a sinking or purchase fund for the purchase or redemption of shares of the series, if such a fund is provided;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preferential amount payable upon shares of the series in the event of the liquidation, dissolution or winding up of, or upon the distribution of any of our assets;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or rates of conversion or exchange at which, and the terms and conditions on which, the shares of the series may be converted or exchanged into other securities, if the shares are convertible or exchangeable.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x777306_9"/>
      <w:bookmarkEnd w:id="2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general terms of the debt securities we may offer.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 </w:t>
      </w:r>
    </w:p>
    <w:p>
      <w:pPr>
        <w:pStyle w:val="TextBody"/>
        <w:bidi w:val="0"/>
        <w:spacing w:before="240" w:after="0"/>
        <w:jc w:val="left"/>
        <w:rPr>
          <w:rFonts w:ascii="Times New Roman" w:hAnsi="Times New Roman"/>
          <w:sz w:val="20"/>
        </w:rPr>
      </w:pPr>
      <w:r>
        <w:rPr>
          <w:rFonts w:ascii="Times New Roman" w:hAnsi="Times New Roman"/>
          <w:sz w:val="20"/>
        </w:rPr>
        <w:t xml:space="preserve">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only, we, us and our refer to Veracyte, Inc., unless expressly stated or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Terms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refer to the prospectus supplement relating to a particular series of debt securities for a description of the following terms of the debt securities offered by that prospectus supplement and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and, if a series, the total amount authorized and the total amount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and premium, if any, of the debt securities of that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rates, and the dates from which interest, if any, on the debt securities of that series will accrue, and the dates when interest is payable and the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and the duration of the extensions;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and the manner in which principal of, premium, if any, and interest, if any, on the debt securities of that series will be payable and the place or places where those debt securities may be presented for transfer and, if applicable, conversion or exchange;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other terms and conditions upon which those debt securities may be redeemed, in whole or in part, at our option or the option of a holder of those securities, if we or a holder is to have that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on which the debt securities of that series will be subordinate in right and priority of payment to our other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those debt securities will be issuable, if other than denominations of $1,000 or any integral multiple of that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entire principal amount of the debt securities when issued, the portion of the principal amount payable upon acceleration of maturity as a result of a default on our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securities of that series are to be issued in whole or in part in the form of one or more global securities and the depositary for those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events of default and covenants relating to the debt securities that are in addition to, modify or delete those described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provisions, if any, including conversion or exchange prices or rates and adjustments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upon what terms the debt securities may be defeased, if different from the provisions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and terms of any security for any secured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applicable to any debt securities issued at a discount from their stated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change in the covenants and/or the acceleration provisions described in this prospectus or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of any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present material United States federal income tax considerations for holders of any debt securities and the securities exchange or quotation system on which any debt securities are to be listed or quoted.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this prospectus or the applicable prospectus supplement, our debt securities will not have the benefit of any covenants that limit or restrict our business or operations, the pledging of our assets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incurrence by us of indebtedness. We will describe in the applicable prospectus supplement any material covenants in respect of a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may be convertible into or exchangeable for shares of our equity securities or other securities. The terms and conditions of conversion or exchange will be stated in the applicable prospectus supplement. The terms will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regarding our ability or the ability of any holder to convert or exchange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requiring adjustment to the conversion or exchange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affecting conversion or exchange in the event of our redemption of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anti-dilution provisions, if applicable.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the following will be events of default under the indenture with respect to any series of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interest for 30 days after the date payment is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principal or premium, if any, on any debt security when due, either at maturity, upon any redemption, by declaration or otherwise and, in the case of technical or administrative difficulties, only if such default persists for a period of more than three business days;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make sinking fund payments when due and continuance of such default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other covenants for 60 days after notice that performance was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in bankruptcy, insolvency or reorganization relating to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in the applicable officers certificate, resolution of our board of directors or the supplemental indenture under which we issue a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imposes limitations on suits brought by holders of debt securities against us. Except for actions for payment of overdue principal or interest, no holder of debt securities of any series may institute any action against us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previously given to the trustee written notice of default and continuance of such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the outstanding debt securities of the affected series have requested that the trustee institute the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requesting holders have offered the trustee indemnity for the reasonable expenses and liabilities that may be incurred by bringing the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not instituted the action within 60 days of the request and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not received inconsistent direction by the holders of a majority in principal amount of the outstanding debt securities of the affected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be required to file annually with the trustee a certificate, signed by one of our officers, stating whether or not the officer knows of any default by us in the performance, observance or fulfillment of any condition or covenant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We can discharge or decrease our obligations under the indenture as stated below. </w:t>
      </w:r>
    </w:p>
    <w:p>
      <w:pPr>
        <w:pStyle w:val="TextBody"/>
        <w:bidi w:val="0"/>
        <w:spacing w:before="240" w:after="0"/>
        <w:jc w:val="left"/>
        <w:rPr>
          <w:rFonts w:ascii="Times New Roman" w:hAnsi="Times New Roman"/>
          <w:sz w:val="20"/>
        </w:rPr>
      </w:pPr>
      <w:r>
        <w:rPr>
          <w:rFonts w:ascii="Times New Roman" w:hAnsi="Times New Roman"/>
          <w:sz w:val="20"/>
        </w:rPr>
        <w:t xml:space="preserve">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whether at maturity, upon redemption or otherwise, the principal of, and any premium and interest on, the debt securities and any mandatory sinking fund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 </w:t>
      </w:r>
    </w:p>
    <w:p>
      <w:pPr>
        <w:pStyle w:val="TextBody"/>
        <w:bidi w:val="0"/>
        <w:spacing w:before="240" w:after="0"/>
        <w:jc w:val="left"/>
        <w:rPr>
          <w:rFonts w:ascii="Times New Roman" w:hAnsi="Times New Roman"/>
          <w:sz w:val="20"/>
        </w:rPr>
      </w:pPr>
      <w:r>
        <w:rPr>
          <w:rFonts w:ascii="Times New Roman" w:hAnsi="Times New Roman"/>
          <w:sz w:val="20"/>
        </w:rPr>
        <w:t xml:space="preserve">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and the trustee may enter into supplemental indentures without the consent of the holders of debt securities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the assumption by a successor entity of our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our covenants for the benefit of the holders of debt securities, or to surrender any rights or power conferred upon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change or eliminate any of the provisions of the indenture in a manner that will become effective only when there is no outstanding debt security which is entitled to the benefit of the provision as to which the modification would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guarantees with respect to or secure any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forms or terms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the acceptance of appointment by a successor trustee and add to or change any of the provisions of the indenture as is necessary for the administration of the trusts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or correct any inconsistency or defect in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 the final maturity of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or extend the time of payment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the principal of any debt security issued with an original issue discount that is payable upon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the principal, and any premium or interest,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any debt security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adversely affect the right of a holder to convert or exchange a debt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of any series whose consent is required for any modification of the indenture or for waivers of compliance with or defaults under the indenture with respect to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the payment of, any premium and any interest on, or principal of, any such debt security held by a nonconsenting 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respect of a covenant or provision of the indenture that cannot be modified or amended without the consent of the holder of each outstanding debt security of each series affected.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Registered Global Securities and Book Entry System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debt securities in definitive registered form, a registered global security may not be transferred except as a whole: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depositary for the registered global security to its nominee;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 nominee of the depositary to the depositary or another nominee of the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depositary or its nominee to a successor of the depositary or a nominee of the successor.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beneficial interests in a registered global security will be limited to persons that have accounts with the depositary for such registered global security, these persons being referred to as participants, or persons that may hold interests through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issuance of a registered global security, the depositary for the registered global security will credit, on its book- entry registration and transfer system, the participants accounts with the respective principal amounts of the debt securities represented by the registered global security beneficially owned by the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dealers, underwriters, or agents participating in the distribution of the debt securities will designate the accounts to be credited;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laws of some states may require that specified purchasers of securities take physical delivery of the securities in definitive form. These laws may limit the ability of those persons to own, transfer or pledge beneficial interests in registered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entitled to have the debt securities represented by a registered global security registered in their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receive or be entitled to receive physical delivery of the debt securities in the definitive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considered the owners or holders of the debt securities under the relevant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 </w:t>
      </w:r>
    </w:p>
    <w:p>
      <w:pPr>
        <w:pStyle w:val="TextBody"/>
        <w:bidi w:val="0"/>
        <w:spacing w:before="360" w:after="0"/>
        <w:jc w:val="left"/>
        <w:rPr>
          <w:rFonts w:ascii="Times New Roman" w:hAnsi="Times New Roman"/>
          <w:b/>
          <w:sz w:val="20"/>
        </w:rPr>
      </w:pPr>
      <w:r>
        <w:rPr>
          <w:rFonts w:ascii="Times New Roman" w:hAnsi="Times New Roman"/>
          <w:b/>
          <w:sz w:val="20"/>
        </w:rPr>
        <w:t xml:space="preserve">No Individual Liability of Incorporators, Stockholders, Officers or Directors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x777306_10"/>
      <w:bookmarkEnd w:id="23"/>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relating to any particular issue of warrants will describe the terms of the warrants, including, as applicable,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warrants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terms and number of shares of common stock, preferred stock or debt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offered securities, if any, with which the warrants are issued and the number of the warrants issued with each offered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warrants and the related common stock, preferred stock or debt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each share of common stock, preferred stock or debt securities purchasable upon exercise of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shall commence and the date on which that right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minimum or maximum amount of the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including terms, procedures and limitations relating to the exchange and exercise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x777306_11"/>
      <w:bookmarkEnd w:id="24"/>
      <w:r>
        <w:rPr>
          <w:rFonts w:ascii="Times New Roman" w:hAnsi="Times New Roman"/>
          <w:b/>
          <w:sz w:val="20"/>
        </w:rPr>
        <w:t xml:space="preserve">DESCRIPTION OF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of determining the stockholders entitled to the subscription rights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aggregate number of shares of common stock or preferred stock purchasable upon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subscription rights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subscription rights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subscription right to exercise the subscription rights will commence and the date on which the subscription right will expire;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subscription rights, including terms, procedures and limitations relating to the distribution, exchange and exercise of the subscription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 </w:t>
      </w:r>
    </w:p>
    <w:p>
      <w:pPr>
        <w:pStyle w:val="TextBody"/>
        <w:bidi w:val="0"/>
        <w:spacing w:before="240" w:after="0"/>
        <w:jc w:val="left"/>
        <w:rPr>
          <w:rFonts w:ascii="Times New Roman" w:hAnsi="Times New Roman"/>
          <w:sz w:val="20"/>
        </w:rPr>
      </w:pPr>
      <w:r>
        <w:rPr>
          <w:rFonts w:ascii="Times New Roman" w:hAnsi="Times New Roman"/>
          <w:sz w:val="20"/>
        </w:rPr>
        <w:t xml:space="preserve">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tx777306_12"/>
      <w:bookmarkEnd w:id="25"/>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tx777306_13"/>
      <w:bookmarkEnd w:id="26"/>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Selling securityholders are persons or entities that, directly or indirectly, have acquired, or will from time to time acquire from us, our common stock. If the registration statement of which this prospectus forms a part is used by selling securityholders for the resale of any securities registered thereunder, information about such selling securityholders, their beneficial ownership of our securities and their relationship with us will be set forth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tx777306_14"/>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securityholders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names of any selling securityholders;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and the proceeds to us or the selling securityholders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and other items constituting compensation to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offered in the prospectus supplement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those underwriters identified in such prospectus supplement are deemed to be underwriters in connection with the securities offered in the prospectus supplement. We or selling securityholders may directly solicit offers to purchase the securities being offered by this prospectus. We or selling securityholders may also designate agents to solicit offers to purchase the securities from time to time. We or selling securityholders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or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selling securityholders or borrowed from us or selling securityholders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 effective amendment). In addition, we or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securities, underwriters, dealers or agents may be deemed to have received compensation from us or selling securityholders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securityholders will provide in the applicable prospectus supplement information regarding any underwriting discounts or other compensation that we or selling securityholders pay to underwriters or agents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the securities offering, and any discounts, concessions or commissions that underwriters allow to dealers. Underwriters, dealers, agents and selling securityholders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or selling securityholders,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tx777306_15"/>
      <w:bookmarkEnd w:id="2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Fenwick &amp; West LLP, San Francisco, California will issue an opinion about certain legal matters with respect to the securities. Counsel representing any underwriters, dealers or agents will be named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tx777306_16"/>
      <w:bookmarkEnd w:id="2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tx777306_17"/>
      <w:bookmarkEnd w:id="3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and are required to file annual, quarterly and other reports, proxy statements and other information with the SEC. The SEC maintains an Internet site (http://www.sec.gov) that contains reports, proxy and information statements, and various other information about us. You may access, free of charge, our annual reports on Form 10-K, quarterly reports on Form 10-Q, current reports on Form 8-K and any amendments to those reports filed or furnished pursuant to Section 13(a) or 15(d) of the Exchange Act as soon as reasonably practicable after such each such report is electronically filed with, or furnished to, the SEC.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us is also available on our website at www.veracyte.com. However, the information on our website is not a part of this prospectus and is not incorporated by reference into this prospectus. We have included our website address in this prospectus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tx777306_18"/>
      <w:bookmarkEnd w:id="31"/>
      <w:r>
        <w:rPr>
          <w:rFonts w:ascii="Times New Roman" w:hAnsi="Times New Roman"/>
          <w:b/>
          <w:sz w:val="20"/>
        </w:rPr>
        <w:t xml:space="preserve">INCORPORATION OF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w:t>
            </w:r>
            <w:hyperlink r:id="rId10">
              <w:r>
                <w:rPr>
                  <w:rStyle w:val="InternetLink"/>
                  <w:rFonts w:ascii="Times New Roman" w:hAnsi="Times New Roman"/>
                  <w:sz w:val="20"/>
                </w:rPr>
                <w:t>December 31, 2023</w:t>
              </w:r>
            </w:hyperlink>
            <w:r>
              <w:rPr>
                <w:rFonts w:ascii="Times New Roman" w:hAnsi="Times New Roman"/>
                <w:sz w:val="20"/>
              </w:rPr>
              <w:t xml:space="preserve">, filed with the SEC on February 29,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1">
              <w:r>
                <w:rPr>
                  <w:rStyle w:val="InternetLink"/>
                  <w:rFonts w:ascii="Times New Roman" w:hAnsi="Times New Roman"/>
                  <w:sz w:val="20"/>
                </w:rPr>
                <w:t>February 6, 2024</w:t>
              </w:r>
            </w:hyperlink>
            <w:r>
              <w:rPr>
                <w:rFonts w:ascii="Times New Roman" w:hAnsi="Times New Roman"/>
                <w:sz w:val="20"/>
              </w:rPr>
              <w:t xml:space="preserve">, and </w:t>
            </w:r>
            <w:hyperlink r:id="rId12">
              <w:r>
                <w:rPr>
                  <w:rStyle w:val="InternetLink"/>
                  <w:rFonts w:ascii="Times New Roman" w:hAnsi="Times New Roman"/>
                  <w:sz w:val="20"/>
                </w:rPr>
                <w:t>February 13, 2024</w:t>
              </w:r>
            </w:hyperlink>
            <w:r>
              <w:rPr>
                <w:rFonts w:ascii="Times New Roman" w:hAnsi="Times New Roman"/>
                <w:sz w:val="20"/>
              </w:rPr>
              <w:t xml:space="preserve">, (except that any portions thereof which are furnished and not filed shall not be deemed incorporated);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3">
              <w:r>
                <w:rPr>
                  <w:rStyle w:val="InternetLink"/>
                  <w:rFonts w:ascii="Times New Roman" w:hAnsi="Times New Roman"/>
                  <w:sz w:val="20"/>
                </w:rPr>
                <w:t>Form 8-A</w:t>
              </w:r>
            </w:hyperlink>
            <w:r>
              <w:rPr>
                <w:rFonts w:ascii="Times New Roman" w:hAnsi="Times New Roman"/>
                <w:sz w:val="20"/>
              </w:rPr>
              <w:t xml:space="preserve"> filed with the SEC on October 28, 2013 under Section  12 of the Exchange Act, including any amendment or report filed for the purposes of updating such description, including </w:t>
            </w:r>
            <w:hyperlink r:id="rId14">
              <w:r>
                <w:rPr>
                  <w:rStyle w:val="InternetLink"/>
                  <w:rFonts w:ascii="Times New Roman" w:hAnsi="Times New Roman"/>
                  <w:sz w:val="20"/>
                </w:rPr>
                <w:t>Exhibit 4.2</w:t>
              </w:r>
            </w:hyperlink>
            <w:r>
              <w:rPr>
                <w:rFonts w:ascii="Times New Roman" w:hAnsi="Times New Roman"/>
                <w:sz w:val="20"/>
              </w:rPr>
              <w:t xml:space="preserve"> to our Annual Report on Form 10-K for the year ended </w:t>
            </w:r>
            <w:hyperlink r:id="rId15">
              <w:r>
                <w:rPr>
                  <w:rStyle w:val="InternetLink"/>
                  <w:rFonts w:ascii="Times New Roman" w:hAnsi="Times New Roman"/>
                  <w:sz w:val="20"/>
                </w:rPr>
                <w:t>December 31, 2023</w:t>
              </w:r>
            </w:hyperlink>
            <w:r>
              <w:rPr>
                <w:rFonts w:ascii="Times New Roman" w:hAnsi="Times New Roman"/>
                <w:sz w:val="20"/>
              </w:rPr>
              <w:t xml:space="preserve">, filed with the SEC on February 29,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all additional documents that we file with the SEC under the terms of Section 13(a), 13(c), 14 or 15(d) of the Exchange Act after the date of this prospectus and prior to the termination of the offering of the securities hereunder. We are not, however, incorporating, in each case, any documents or information that we are deemed to furnish and not file in accordance with SEC rules.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 See the section of this prospectus entitled Where You Can Find More Information for information concerning how to obtain copies of materials that we file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p>
    <w:p>
      <w:pPr>
        <w:pStyle w:val="TextBody"/>
        <w:bidi w:val="0"/>
        <w:spacing w:before="0" w:after="0"/>
        <w:jc w:val="right"/>
        <w:rPr>
          <w:rFonts w:ascii="Times New Roman" w:hAnsi="Times New Roman"/>
          <w:b/>
          <w:sz w:val="20"/>
        </w:rPr>
      </w:pPr>
      <w:bookmarkStart w:id="32" w:name="d777306dexfilingfees.htm"/>
      <w:bookmarkStart w:id="33" w:name="ksd777306dexfilingfees"/>
      <w:bookmarkEnd w:id="32"/>
      <w:bookmarkEnd w:id="33"/>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 </w:t>
      </w:r>
    </w:p>
    <w:p>
      <w:pPr>
        <w:pStyle w:val="TextBody"/>
        <w:bidi w:val="0"/>
        <w:spacing w:before="240" w:after="0"/>
        <w:jc w:val="center"/>
        <w:rPr>
          <w:rFonts w:ascii="Times New Roman" w:hAnsi="Times New Roman"/>
          <w:b/>
          <w:sz w:val="20"/>
        </w:rPr>
      </w:pPr>
      <w:r>
        <w:rPr>
          <w:rFonts w:ascii="Times New Roman" w:hAnsi="Times New Roman"/>
          <w:b/>
          <w:sz w:val="20"/>
        </w:rPr>
        <w:t xml:space="preserve">424B7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VERACYTE,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Table 1: Newly Registered and Carry Forward Securities </w:t>
      </w:r>
    </w:p>
    <w:p>
      <w:pPr>
        <w:pStyle w:val="TextBody"/>
        <w:bidi w:val="0"/>
        <w:spacing w:before="0" w:after="0"/>
        <w:jc w:val="left"/>
        <w:rPr/>
      </w:pPr>
      <w:r>
        <w:rPr/>
        <w:t> </w:t>
      </w:r>
    </w:p>
    <w:tbl>
      <w:tblPr>
        <w:tblW w:w="9315" w:type="dxa"/>
        <w:jc w:val="center"/>
        <w:tblInd w:w="0" w:type="dxa"/>
        <w:tblLayout w:type="fixed"/>
        <w:tblCellMar>
          <w:top w:w="0" w:type="dxa"/>
          <w:left w:w="0" w:type="dxa"/>
          <w:bottom w:w="0" w:type="dxa"/>
          <w:right w:w="0" w:type="dxa"/>
        </w:tblCellMar>
      </w:tblPr>
      <w:tblGrid>
        <w:gridCol w:w="455"/>
        <w:gridCol w:w="60"/>
        <w:gridCol w:w="800"/>
        <w:gridCol w:w="60"/>
        <w:gridCol w:w="1250"/>
        <w:gridCol w:w="60"/>
        <w:gridCol w:w="695"/>
        <w:gridCol w:w="60"/>
        <w:gridCol w:w="1100"/>
        <w:gridCol w:w="60"/>
        <w:gridCol w:w="995"/>
        <w:gridCol w:w="60"/>
        <w:gridCol w:w="1220"/>
        <w:gridCol w:w="60"/>
        <w:gridCol w:w="1160"/>
        <w:gridCol w:w="60"/>
        <w:gridCol w:w="1160"/>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45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55"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center"/>
              <w:rPr/>
            </w:pPr>
            <w:r>
              <w:rPr/>
              <w:t>Security</w:t>
              <w:br/>
              <w:t>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 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br/>
              <w:t>Calculation</w:t>
            </w:r>
          </w:p>
          <w:p>
            <w:pPr>
              <w:pStyle w:val="TableContents"/>
              <w:bidi w:val="0"/>
              <w:spacing w:before="0" w:after="20"/>
              <w:jc w:val="center"/>
              <w:rPr>
                <w:rFonts w:ascii="Times New Roman" w:hAnsi="Times New Roman"/>
                <w:sz w:val="14"/>
              </w:rPr>
            </w:pPr>
            <w:r>
              <w:rPr>
                <w:rFonts w:ascii="Times New Roman" w:hAnsi="Times New Roman"/>
                <w:sz w:val="14"/>
              </w:rP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Amount</w:t>
              <w:br/>
              <w:t>Registered(1)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Maximum</w:t>
              <w:br/>
              <w:t>Proposed</w:t>
              <w:br/>
              <w:t>Offering</w:t>
              <w:br/>
              <w:t>Price Per</w:t>
              <w:br/>
              <w:t>Share(2)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Maximum</w:t>
              <w:br/>
              <w:t>Aggregate</w:t>
            </w:r>
          </w:p>
          <w:p>
            <w:pPr>
              <w:pStyle w:val="TableContents"/>
              <w:bidi w:val="0"/>
              <w:spacing w:before="0" w:after="20"/>
              <w:jc w:val="center"/>
              <w:rPr>
                <w:rFonts w:ascii="Times New Roman" w:hAnsi="Times New Roman"/>
                <w:sz w:val="14"/>
              </w:rPr>
            </w:pPr>
            <w:r>
              <w:rPr>
                <w:rFonts w:ascii="Times New Roman" w:hAnsi="Times New Roman"/>
                <w:sz w:val="14"/>
              </w:rPr>
              <w:t>Offering</w:t>
              <w:b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Fee</w:t>
              <w:b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Amount of</w:t>
              <w:br/>
              <w:t>Registration</w:t>
              <w:br/>
              <w:t>Fee</w:t>
            </w:r>
          </w:p>
        </w:tc>
      </w:tr>
      <w:tr>
        <w:trPr>
          <w:trHeight w:val="15" w:hRule="atLeast"/>
        </w:trPr>
        <w:tc>
          <w:tcPr>
            <w:tcW w:w="45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1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55" w:type="dxa"/>
            <w:tcBorders>
              <w:left w:val="single" w:sz="2" w:space="0" w:color="000000"/>
            </w:tcBorders>
            <w:tcMar>
              <w:left w:w="160" w:type="dxa"/>
            </w:tcMar>
          </w:tcPr>
          <w:p>
            <w:pPr>
              <w:pStyle w:val="TableContents"/>
              <w:bidi w:val="0"/>
              <w:spacing w:before="0" w:after="283"/>
              <w:jc w:val="center"/>
              <w:rPr/>
            </w:pPr>
            <w:r>
              <w:rPr/>
              <w:t>Fees to be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Common Stock, par value $0.001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center"/>
              <w:rPr/>
            </w:pPr>
            <w:r>
              <w:rPr/>
              <w:t>457(c)</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center"/>
              <w:rPr/>
            </w:pPr>
            <w:r>
              <w:rPr/>
              <w:t>1,681,384</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$22.75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center"/>
              <w:rPr/>
            </w:pPr>
            <w:r>
              <w:rPr/>
              <w:t>$38,251,486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0.00014760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$5,645.92</w:t>
            </w:r>
          </w:p>
        </w:tc>
      </w:tr>
      <w:tr>
        <w:trPr>
          <w:trHeight w:val="15" w:hRule="atLeast"/>
        </w:trPr>
        <w:tc>
          <w:tcPr>
            <w:tcW w:w="45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08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55"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025" w:type="dxa"/>
            <w:gridSpan w:val="7"/>
            <w:tcBorders/>
            <w:vAlign w:val="bottom"/>
          </w:tcPr>
          <w:p>
            <w:pPr>
              <w:pStyle w:val="TableContents"/>
              <w:bidi w:val="0"/>
              <w:spacing w:before="0" w:after="283"/>
              <w:jc w:val="center"/>
              <w:rPr/>
            </w:pPr>
            <w:r>
              <w:rPr/>
              <w:t>Total Offering Amount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center"/>
              <w:rPr/>
            </w:pPr>
            <w:r>
              <w:rPr/>
              <w:t>$38,251,486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left"/>
              <w:rPr/>
            </w:pPr>
            <w:r>
              <w:rPr/>
              <w:t> </w:t>
            </w:r>
          </w:p>
        </w:tc>
      </w:tr>
      <w:tr>
        <w:trPr>
          <w:trHeight w:val="15" w:hRule="atLeast"/>
        </w:trPr>
        <w:tc>
          <w:tcPr>
            <w:tcW w:w="45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08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55"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025" w:type="dxa"/>
            <w:gridSpan w:val="7"/>
            <w:tcBorders/>
            <w:vAlign w:val="bottom"/>
          </w:tcPr>
          <w:p>
            <w:pPr>
              <w:pStyle w:val="TableContents"/>
              <w:bidi w:val="0"/>
              <w:spacing w:before="0" w:after="283"/>
              <w:jc w:val="center"/>
              <w:rPr/>
            </w:pPr>
            <w:r>
              <w:rPr/>
              <w:t>Total Fees Previously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 </w:t>
            </w:r>
          </w:p>
        </w:tc>
      </w:tr>
      <w:tr>
        <w:trPr>
          <w:trHeight w:val="15" w:hRule="atLeast"/>
        </w:trPr>
        <w:tc>
          <w:tcPr>
            <w:tcW w:w="45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08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55"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4025" w:type="dxa"/>
            <w:gridSpan w:val="7"/>
            <w:tcBorders/>
            <w:vAlign w:val="bottom"/>
          </w:tcPr>
          <w:p>
            <w:pPr>
              <w:pStyle w:val="TableContents"/>
              <w:bidi w:val="0"/>
              <w:spacing w:before="0" w:after="283"/>
              <w:jc w:val="center"/>
              <w:rPr/>
            </w:pPr>
            <w:r>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 </w:t>
            </w:r>
          </w:p>
        </w:tc>
      </w:tr>
      <w:tr>
        <w:trPr>
          <w:trHeight w:val="15" w:hRule="atLeast"/>
        </w:trPr>
        <w:tc>
          <w:tcPr>
            <w:tcW w:w="455"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4085"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5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025" w:type="dxa"/>
            <w:gridSpan w:val="7"/>
            <w:tcBorders>
              <w:bottom w:val="single" w:sz="2" w:space="0" w:color="000000"/>
            </w:tcBorders>
            <w:tcMar>
              <w:bottom w:w="28" w:type="dxa"/>
            </w:tcMar>
            <w:vAlign w:val="bottom"/>
          </w:tcPr>
          <w:p>
            <w:pPr>
              <w:pStyle w:val="TableContents"/>
              <w:bidi w:val="0"/>
              <w:spacing w:before="0" w:after="283"/>
              <w:jc w:val="center"/>
              <w:rPr/>
            </w:pPr>
            <w:r>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$5,645.92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offered by the selling stockholder identified in this prospectus supplement. Includes an indeterminable number of additional shares of common stock that, pursuant to Rule 416 under the Securities Act of 1933, as amended, or the Securities Act, may be issued to prevent dilution from stock splits, stock dividends or similar transactions that could affect the shares to be offered by the selling stockholder.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calculating the amount of the registration fee pursuant to Rule 457(c) under the Securities Act, based upon the average of the high and low prices of the registrants common stock as reported on the Nasdaq Global Market on February 26, 2024, which was $22.75.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384101/000138410124000017/vcyt-20231231.htm" TargetMode="External"/><Relationship Id="rId4" Type="http://schemas.openxmlformats.org/officeDocument/2006/relationships/hyperlink" Target="http://www.sec.gov/Archives/edgar/data/../../../ix?doc=/Archives/edgar/data/0001384101/000138410124000004/vcyt-20240205.htm" TargetMode="External"/><Relationship Id="rId5" Type="http://schemas.openxmlformats.org/officeDocument/2006/relationships/hyperlink" Target="http://www.sec.gov/Archives/edgar/data/../../../ix?doc=/Archives/edgar/data/0001384101/000138410124000007/vcyt-20240207.htm" TargetMode="External"/><Relationship Id="rId6" Type="http://schemas.openxmlformats.org/officeDocument/2006/relationships/hyperlink" Target="http://www.sec.gov/Archives/edgar/data/1384101/000110465913078343/a13-16266_158a12b.htm" TargetMode="External"/><Relationship Id="rId7" Type="http://schemas.openxmlformats.org/officeDocument/2006/relationships/hyperlink" Target="http://www.sec.gov/Archives/edgar/data/1384101/000138410124000017/vcyt-12312023xex42.htm" TargetMode="External"/><Relationship Id="rId8" Type="http://schemas.openxmlformats.org/officeDocument/2006/relationships/hyperlink" Target="http://www.sec.gov/Archives/edgar/data/../../../ix?doc=/Archives/edgar/data/1384101/000138410124000017/vcyt-20231231.htm" TargetMode="External"/><Relationship Id="rId9" Type="http://schemas.openxmlformats.org/officeDocument/2006/relationships/image" Target="media/image2.jpeg"/><Relationship Id="rId10" Type="http://schemas.openxmlformats.org/officeDocument/2006/relationships/hyperlink" Target="http://www.sec.gov/Archives/edgar/data/../../../ix?doc=/Archives/edgar/data/1384101/000138410124000017/vcyt-20231231.htm" TargetMode="External"/><Relationship Id="rId11" Type="http://schemas.openxmlformats.org/officeDocument/2006/relationships/hyperlink" Target="http://www.sec.gov/Archives/edgar/data/../../../ix?doc=/Archives/edgar/data/0001384101/000138410124000004/vcyt-20240205.htm" TargetMode="External"/><Relationship Id="rId12" Type="http://schemas.openxmlformats.org/officeDocument/2006/relationships/hyperlink" Target="http://www.sec.gov/Archives/edgar/data/../../../ix?doc=/Archives/edgar/data/0001384101/000138410124000007/vcyt-20240207.htm" TargetMode="External"/><Relationship Id="rId13" Type="http://schemas.openxmlformats.org/officeDocument/2006/relationships/hyperlink" Target="http://www.sec.gov/Archives/edgar/data/1384101/000110465913078343/a13-16266_158a12b.htm" TargetMode="External"/><Relationship Id="rId14" Type="http://schemas.openxmlformats.org/officeDocument/2006/relationships/hyperlink" Target="http://www.sec.gov/Archives/edgar/data/1384101/000138410124000017/vcyt-12312023xex42.htm" TargetMode="External"/><Relationship Id="rId15" Type="http://schemas.openxmlformats.org/officeDocument/2006/relationships/hyperlink" Target="http://www.sec.gov/Archives/edgar/data/../../../ix?doc=/Archives/edgar/data/1384101/000138410124000017/vcyt-20231231.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18953</Words>
  <Characters>100149</Characters>
  <CharactersWithSpaces>119707</CharactersWithSpaces>
  <Paragraphs>1988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