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00" w:type="dxa"/>
            <w:vAlign w:val="bottom"/>
          </w:tcPr>
          <w:p>
            <w:pPr>
              <w:spacing w:after="0"/>
              <w:rPr>
                <w:sz w:val="21"/>
                <w:szCs w:val="21"/>
                <w:color w:val="auto"/>
              </w:rPr>
            </w:pP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2"/>
            <w:vMerge w:val="restart"/>
          </w:tcPr>
          <w:p>
            <w:pPr>
              <w:spacing w:after="0"/>
              <w:rPr>
                <w:rFonts w:ascii="Arial" w:cs="Arial" w:eastAsia="Arial" w:hAnsi="Arial"/>
                <w:sz w:val="22"/>
                <w:szCs w:val="22"/>
                <w:color w:val="0000EE"/>
                <w:w w:val="96"/>
              </w:rPr>
            </w:pPr>
            <w:hyperlink r:id="rId11">
              <w:r>
                <w:rPr>
                  <w:rFonts w:ascii="Arial" w:cs="Arial" w:eastAsia="Arial" w:hAnsi="Arial"/>
                  <w:sz w:val="22"/>
                  <w:szCs w:val="22"/>
                  <w:color w:val="0000EE"/>
                  <w:w w:val="96"/>
                </w:rPr>
                <w:t>KLEINER PERKINS CAUFIELD</w:t>
              </w:r>
            </w:hyperlink>
          </w:p>
        </w:tc>
        <w:tc>
          <w:tcPr>
            <w:tcW w:w="20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tcBorders>
              <w:bottom w:val="single" w:sz="8" w:color="0000EE"/>
            </w:tcBorders>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20" w:type="dxa"/>
            <w:vAlign w:val="bottom"/>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&amp; BYERS XII, LLC</w:t>
              </w:r>
            </w:hyperlink>
          </w:p>
        </w:tc>
        <w:tc>
          <w:tcPr>
            <w:tcW w:w="1580" w:type="dxa"/>
            <w:vAlign w:val="bottom"/>
            <w:gridSpan w:val="2"/>
          </w:tcPr>
          <w:p>
            <w:pPr>
              <w:ind w:left="360"/>
              <w:spacing w:after="0"/>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1980"/>
        <w:spacing w:after="0" w:line="268" w:lineRule="auto"/>
        <w:rPr>
          <w:sz w:val="20"/>
          <w:szCs w:val="20"/>
          <w:color w:val="auto"/>
        </w:rPr>
      </w:pPr>
      <w:r>
        <w:rPr>
          <w:rFonts w:ascii="Arial" w:cs="Arial" w:eastAsia="Arial" w:hAnsi="Arial"/>
          <w:sz w:val="18"/>
          <w:szCs w:val="18"/>
          <w:color w:val="0000FF"/>
        </w:rPr>
        <w:t>KLEINER PERKINS CAUFIELD &amp; BYERS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2750 SAND HILL ROAD</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6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2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22"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7"/>
              </w:rPr>
              <w:t>1,758,333</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7"/>
              </w:rPr>
              <w:t>1,004,000</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8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46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00" w:type="dxa"/>
            <w:vAlign w:val="bottom"/>
            <w:gridSpan w:val="3"/>
            <w:vMerge w:val="restart"/>
          </w:tcPr>
          <w:p>
            <w:pPr>
              <w:jc w:val="center"/>
              <w:spacing w:after="0"/>
              <w:rPr>
                <w:sz w:val="20"/>
                <w:szCs w:val="20"/>
                <w:color w:val="auto"/>
              </w:rPr>
            </w:pPr>
            <w:r>
              <w:rPr>
                <w:rFonts w:ascii="Arial" w:cs="Arial" w:eastAsia="Arial" w:hAnsi="Arial"/>
                <w:sz w:val="11"/>
                <w:szCs w:val="11"/>
                <w:color w:val="008000"/>
              </w:rPr>
              <w:t>(1)</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02"/>
              <w:spacing w:after="0"/>
              <w:rPr>
                <w:sz w:val="20"/>
                <w:szCs w:val="20"/>
                <w:color w:val="auto"/>
              </w:rPr>
            </w:pPr>
            <w:r>
              <w:rPr>
                <w:rFonts w:ascii="Arial" w:cs="Arial" w:eastAsia="Arial" w:hAnsi="Arial"/>
                <w:sz w:val="18"/>
                <w:szCs w:val="18"/>
                <w:color w:val="0000FF"/>
                <w:w w:val="89"/>
              </w:rPr>
              <w:t>789,596</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KPCB Holdings,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5"/>
              </w:rPr>
              <w:t>Inc., As Nominee</w:t>
            </w:r>
            <w:r>
              <w:rPr>
                <w:rFonts w:ascii="Arial" w:cs="Arial" w:eastAsia="Arial" w:hAnsi="Arial"/>
                <w:sz w:val="22"/>
                <w:szCs w:val="22"/>
                <w:color w:val="008000"/>
                <w:w w:val="95"/>
                <w:vertAlign w:val="superscript"/>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2C2C2C"/>
            </w:tcBorders>
          </w:tcPr>
          <w:p>
            <w:pPr>
              <w:spacing w:after="0"/>
              <w:rPr>
                <w:sz w:val="16"/>
                <w:szCs w:val="16"/>
                <w:color w:val="auto"/>
              </w:rPr>
            </w:pPr>
          </w:p>
        </w:tc>
        <w:tc>
          <w:tcPr>
            <w:tcW w:w="34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KLEINER PERKINS CAUFIELD &amp; BYERS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XII, LLC</w:t>
        </w:r>
      </w:hyperlink>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KLEINER PERKINS CAUFIELD &amp; BYERS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2750 SAND HILL ROAD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560" w:type="dxa"/>
            <w:vAlign w:val="bottom"/>
            <w:gridSpan w:val="2"/>
          </w:tcPr>
          <w:p>
            <w:pPr>
              <w:ind w:left="160"/>
              <w:spacing w:after="0"/>
              <w:rPr>
                <w:sz w:val="20"/>
                <w:szCs w:val="20"/>
                <w:color w:val="auto"/>
              </w:rPr>
            </w:pPr>
            <w:r>
              <w:rPr>
                <w:rFonts w:ascii="Arial" w:cs="Arial" w:eastAsia="Arial" w:hAnsi="Arial"/>
                <w:sz w:val="18"/>
                <w:szCs w:val="18"/>
                <w:color w:val="0000FF"/>
              </w:rPr>
              <w:t>CA</w:t>
            </w:r>
          </w:p>
        </w:tc>
        <w:tc>
          <w:tcPr>
            <w:tcW w:w="1480" w:type="dxa"/>
            <w:vAlign w:val="bottom"/>
          </w:tcPr>
          <w:p>
            <w:pPr>
              <w:ind w:left="60"/>
              <w:spacing w:after="0"/>
              <w:rPr>
                <w:sz w:val="20"/>
                <w:szCs w:val="20"/>
                <w:color w:val="auto"/>
              </w:rPr>
            </w:pPr>
            <w:r>
              <w:rPr>
                <w:rFonts w:ascii="Arial" w:cs="Arial" w:eastAsia="Arial" w:hAnsi="Arial"/>
                <w:sz w:val="18"/>
                <w:szCs w:val="18"/>
                <w:color w:val="0000FF"/>
              </w:rPr>
              <w:t>94025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4"/>
              </w:rPr>
            </w:pPr>
            <w:hyperlink r:id="rId13">
              <w:r>
                <w:rPr>
                  <w:rFonts w:ascii="Arial" w:cs="Arial" w:eastAsia="Arial" w:hAnsi="Arial"/>
                  <w:sz w:val="22"/>
                  <w:szCs w:val="22"/>
                  <w:color w:val="0000EE"/>
                  <w:w w:val="94"/>
                </w:rPr>
                <w:t>KPCB XII Founders Fund,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KLEINER PERKINS CAUFIELD &amp; BYERS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2750 SAND HILL ROAD</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KPCB XII Associates,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KLEINER PERKINS CAUFIELD &amp; BYERS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0000FF"/>
        </w:rPr>
        <w:t>2750 SAND HILL ROAD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outstanding share of convertible preferred stock will automatically convert into 0.25 shares of common stock upon closing of the Issuer's initial public offering and has no expiration date.</w:t>
      </w:r>
    </w:p>
    <w:p>
      <w:pPr>
        <w:spacing w:after="0" w:line="64" w:lineRule="exact"/>
        <w:rPr>
          <w:rFonts w:ascii="Arial" w:cs="Arial" w:eastAsia="Arial" w:hAnsi="Arial"/>
          <w:sz w:val="12"/>
          <w:szCs w:val="12"/>
          <w:color w:val="008000"/>
        </w:rPr>
      </w:pPr>
    </w:p>
    <w:p>
      <w:pPr>
        <w:ind w:firstLine="9"/>
        <w:spacing w:after="0" w:line="273"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shares beneficially owned by Kleiner Perkins Caufield &amp; Byers XII, LLC, or KPCB XII; shares beneficially owned by KPCB XII Founders Fund, LLC, or KPCB XII FF; shares beneficially owned by Brook H. Byers, a member of the Issuer's board of directors; and shares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w:t>
      </w:r>
    </w:p>
    <w:p>
      <w:pPr>
        <w:spacing w:after="0" w:line="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4"/>
              </w:rPr>
              <w:t>/s/Paul M. Vronsky, General</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10/29/2013</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Counsel</w:t>
            </w: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1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355934" TargetMode="External"/><Relationship Id="rId12" Type="http://schemas.openxmlformats.org/officeDocument/2006/relationships/hyperlink" Target="http://www.sec.gov/cgi-bin/browse-edgar?action=getcompany&amp;CIK=0001384101" TargetMode="External"/><Relationship Id="rId13" Type="http://schemas.openxmlformats.org/officeDocument/2006/relationships/hyperlink" Target="http://www.sec.gov/cgi-bin/browse-edgar?action=getcompany&amp;CIK=0001500600" TargetMode="External"/><Relationship Id="rId14" Type="http://schemas.openxmlformats.org/officeDocument/2006/relationships/hyperlink" Target="http://www.sec.gov/cgi-bin/browse-edgar?action=getcompany&amp;CIK=00015005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2019-12-16T21:53:44Z</dcterms:created>
  <dcterms:modified xsi:type="dcterms:W3CDTF">2019-12-16T21:53:44Z</dcterms:modified>
</cp:coreProperties>
</file>