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506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5062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0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Kennedy Giulia C</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06/04/2021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17"/>
        <w:spacing w:after="0"/>
        <w:rPr>
          <w:sz w:val="20"/>
          <w:szCs w:val="20"/>
          <w:color w:val="auto"/>
        </w:rPr>
      </w:pPr>
      <w:r>
        <w:rPr>
          <w:rFonts w:ascii="Arial" w:cs="Arial" w:eastAsia="Arial" w:hAnsi="Arial"/>
          <w:sz w:val="17"/>
          <w:szCs w:val="17"/>
          <w:color w:val="0000FF"/>
        </w:rPr>
        <w:t>Chief Scientific &amp; Med Officer</w:t>
      </w:r>
    </w:p>
    <w:p>
      <w:pPr>
        <w:spacing w:after="0" w:line="545" w:lineRule="exact"/>
        <w:rPr>
          <w:sz w:val="24"/>
          <w:szCs w:val="24"/>
          <w:color w:val="auto"/>
        </w:rPr>
      </w:pPr>
    </w:p>
    <w:p>
      <w:pPr>
        <w:sectPr>
          <w:pgSz w:w="11900" w:h="16838" w:orient="portrait"/>
          <w:cols w:equalWidth="0" w:num="3">
            <w:col w:w="3200" w:space="720"/>
            <w:col w:w="3103" w:space="720"/>
            <w:col w:w="3337"/>
          </w:cols>
          <w:pgMar w:left="460" w:top="222" w:right="359" w:bottom="108"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SOUTH SAN</w:t>
            </w:r>
          </w:p>
        </w:tc>
        <w:tc>
          <w:tcPr>
            <w:tcW w:w="94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620" w:type="dxa"/>
            <w:vAlign w:val="bottom"/>
            <w:vMerge w:val="restart"/>
          </w:tcPr>
          <w:p>
            <w:pPr>
              <w:ind w:left="42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Arial" w:cs="Arial" w:eastAsia="Arial" w:hAnsi="Arial"/>
                <w:sz w:val="17"/>
                <w:szCs w:val="17"/>
                <w:color w:val="0000FF"/>
              </w:rPr>
              <w:t>FRANCISCO</w:t>
            </w:r>
          </w:p>
        </w:tc>
        <w:tc>
          <w:tcPr>
            <w:tcW w:w="9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483" w:lineRule="exact"/>
        <w:rPr>
          <w:sz w:val="24"/>
          <w:szCs w:val="24"/>
          <w:color w:val="auto"/>
        </w:rPr>
      </w:pPr>
    </w:p>
    <w:p>
      <w:pPr>
        <w:sectPr>
          <w:pgSz w:w="11900" w:h="16838" w:orient="portrait"/>
          <w:cols w:equalWidth="0" w:num="2">
            <w:col w:w="3760" w:space="160"/>
            <w:col w:w="7160"/>
          </w:cols>
          <w:pgMar w:left="460" w:top="222" w:right="359" w:bottom="10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06/04/2021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4,406</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5.98</w:t>
            </w: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Arial" w:cs="Arial" w:eastAsia="Arial" w:hAnsi="Arial"/>
                <w:sz w:val="17"/>
                <w:szCs w:val="17"/>
                <w:color w:val="0000FF"/>
                <w:w w:val="88"/>
              </w:rPr>
              <w:t>57,218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06/04/2021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3,750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20.21</w:t>
            </w: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Arial" w:cs="Arial" w:eastAsia="Arial" w:hAnsi="Arial"/>
                <w:sz w:val="17"/>
                <w:szCs w:val="17"/>
                <w:color w:val="0000FF"/>
                <w:w w:val="88"/>
              </w:rPr>
              <w:t>60,968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06/04/2021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1,507</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33.279</w:t>
            </w:r>
            <w:r>
              <w:rPr>
                <w:rFonts w:ascii="Arial" w:cs="Arial" w:eastAsia="Arial" w:hAnsi="Arial"/>
                <w:sz w:val="21"/>
                <w:szCs w:val="21"/>
                <w:color w:val="008000"/>
                <w:w w:val="86"/>
                <w:vertAlign w:val="superscript"/>
              </w:rPr>
              <w:t>(2)</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Arial" w:cs="Arial" w:eastAsia="Arial" w:hAnsi="Arial"/>
                <w:sz w:val="17"/>
                <w:szCs w:val="17"/>
                <w:color w:val="0000FF"/>
                <w:w w:val="88"/>
              </w:rPr>
              <w:t>59,461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06/04/2021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2,595</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34.3936</w:t>
            </w:r>
            <w:r>
              <w:rPr>
                <w:rFonts w:ascii="Arial" w:cs="Arial" w:eastAsia="Arial" w:hAnsi="Arial"/>
                <w:sz w:val="21"/>
                <w:szCs w:val="21"/>
                <w:color w:val="008000"/>
                <w:w w:val="86"/>
                <w:vertAlign w:val="superscript"/>
              </w:rPr>
              <w:t>(3)</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Arial" w:cs="Arial" w:eastAsia="Arial" w:hAnsi="Arial"/>
                <w:sz w:val="17"/>
                <w:szCs w:val="17"/>
                <w:color w:val="0000FF"/>
                <w:w w:val="88"/>
              </w:rPr>
              <w:t>56,866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06/04/2021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4,979</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35.1702</w:t>
            </w:r>
            <w:r>
              <w:rPr>
                <w:rFonts w:ascii="Arial" w:cs="Arial" w:eastAsia="Arial" w:hAnsi="Arial"/>
                <w:sz w:val="21"/>
                <w:szCs w:val="21"/>
                <w:color w:val="008000"/>
                <w:w w:val="86"/>
                <w:vertAlign w:val="superscript"/>
              </w:rPr>
              <w:t>(4)</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Arial" w:cs="Arial" w:eastAsia="Arial" w:hAnsi="Arial"/>
                <w:sz w:val="17"/>
                <w:szCs w:val="17"/>
                <w:color w:val="0000FF"/>
                <w:w w:val="88"/>
              </w:rPr>
              <w:t>51,887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Security</w:t>
            </w:r>
          </w:p>
        </w:tc>
        <w:tc>
          <w:tcPr>
            <w:tcW w:w="1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(Instr. 5)</w:t>
            </w:r>
          </w:p>
        </w:tc>
        <w:tc>
          <w:tcPr>
            <w:tcW w:w="16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jc w:val="center"/>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5.98</w:t>
            </w:r>
          </w:p>
        </w:tc>
        <w:tc>
          <w:tcPr>
            <w:tcW w:w="1080" w:type="dxa"/>
            <w:vAlign w:val="bottom"/>
            <w:vMerge w:val="restart"/>
          </w:tcPr>
          <w:p>
            <w:pPr>
              <w:jc w:val="right"/>
              <w:ind w:right="175"/>
              <w:spacing w:after="0"/>
              <w:rPr>
                <w:sz w:val="20"/>
                <w:szCs w:val="20"/>
                <w:color w:val="auto"/>
              </w:rPr>
            </w:pPr>
            <w:r>
              <w:rPr>
                <w:rFonts w:ascii="Arial" w:cs="Arial" w:eastAsia="Arial" w:hAnsi="Arial"/>
                <w:sz w:val="13"/>
                <w:szCs w:val="13"/>
                <w:color w:val="0000FF"/>
              </w:rPr>
              <w:t>06/04/2021</w:t>
            </w:r>
          </w:p>
        </w:tc>
        <w:tc>
          <w:tcPr>
            <w:tcW w:w="1100" w:type="dxa"/>
            <w:vAlign w:val="bottom"/>
          </w:tcPr>
          <w:p>
            <w:pPr>
              <w:spacing w:after="0"/>
              <w:rPr>
                <w:sz w:val="12"/>
                <w:szCs w:val="12"/>
                <w:color w:val="auto"/>
              </w:rPr>
            </w:pPr>
          </w:p>
        </w:tc>
        <w:tc>
          <w:tcPr>
            <w:tcW w:w="420" w:type="dxa"/>
            <w:vAlign w:val="bottom"/>
            <w:vMerge w:val="restart"/>
          </w:tcPr>
          <w:p>
            <w:pPr>
              <w:jc w:val="right"/>
              <w:ind w:right="8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w w:val="98"/>
              </w:rPr>
              <w:t>4,406</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2"/>
              </w:rPr>
              <w:t>03/01/2028</w:t>
            </w:r>
          </w:p>
        </w:tc>
        <w:tc>
          <w:tcPr>
            <w:tcW w:w="560" w:type="dxa"/>
            <w:vAlign w:val="bottom"/>
          </w:tcPr>
          <w:p>
            <w:pPr>
              <w:ind w:left="80"/>
              <w:spacing w:after="0" w:line="143" w:lineRule="exact"/>
              <w:rPr>
                <w:sz w:val="20"/>
                <w:szCs w:val="20"/>
                <w:color w:val="auto"/>
              </w:rPr>
            </w:pPr>
            <w:r>
              <w:rPr>
                <w:rFonts w:ascii="Arial" w:cs="Arial" w:eastAsia="Arial" w:hAnsi="Arial"/>
                <w:sz w:val="13"/>
                <w:szCs w:val="13"/>
                <w:color w:val="0000FF"/>
                <w:w w:val="87"/>
              </w:rPr>
              <w:t>Common</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4,406</w:t>
            </w:r>
          </w:p>
        </w:tc>
        <w:tc>
          <w:tcPr>
            <w:tcW w:w="52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60" w:type="dxa"/>
            <w:vAlign w:val="bottom"/>
          </w:tcPr>
          <w:p>
            <w:pPr>
              <w:spacing w:after="0"/>
              <w:rPr>
                <w:sz w:val="12"/>
                <w:szCs w:val="12"/>
                <w:color w:val="auto"/>
              </w:rPr>
            </w:pPr>
          </w:p>
        </w:tc>
        <w:tc>
          <w:tcPr>
            <w:tcW w:w="680" w:type="dxa"/>
            <w:vAlign w:val="bottom"/>
            <w:vMerge w:val="restart"/>
          </w:tcPr>
          <w:p>
            <w:pPr>
              <w:ind w:left="300"/>
              <w:spacing w:after="0"/>
              <w:rPr>
                <w:sz w:val="20"/>
                <w:szCs w:val="20"/>
                <w:color w:val="auto"/>
              </w:rPr>
            </w:pPr>
            <w:r>
              <w:rPr>
                <w:rFonts w:ascii="Arial" w:cs="Arial" w:eastAsia="Arial" w:hAnsi="Arial"/>
                <w:sz w:val="13"/>
                <w:szCs w:val="13"/>
                <w:color w:val="0000FF"/>
                <w:w w:val="90"/>
              </w:rPr>
              <w:t>13,219</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jc w:val="center"/>
              <w:ind w:right="1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20.21</w:t>
            </w:r>
          </w:p>
        </w:tc>
        <w:tc>
          <w:tcPr>
            <w:tcW w:w="1080" w:type="dxa"/>
            <w:vAlign w:val="bottom"/>
            <w:vMerge w:val="restart"/>
          </w:tcPr>
          <w:p>
            <w:pPr>
              <w:jc w:val="right"/>
              <w:ind w:right="175"/>
              <w:spacing w:after="0"/>
              <w:rPr>
                <w:sz w:val="20"/>
                <w:szCs w:val="20"/>
                <w:color w:val="auto"/>
              </w:rPr>
            </w:pPr>
            <w:r>
              <w:rPr>
                <w:rFonts w:ascii="Arial" w:cs="Arial" w:eastAsia="Arial" w:hAnsi="Arial"/>
                <w:sz w:val="13"/>
                <w:szCs w:val="13"/>
                <w:color w:val="0000FF"/>
              </w:rPr>
              <w:t>06/04/2021</w:t>
            </w:r>
          </w:p>
        </w:tc>
        <w:tc>
          <w:tcPr>
            <w:tcW w:w="1100" w:type="dxa"/>
            <w:vAlign w:val="bottom"/>
          </w:tcPr>
          <w:p>
            <w:pPr>
              <w:spacing w:after="0"/>
              <w:rPr>
                <w:sz w:val="12"/>
                <w:szCs w:val="12"/>
                <w:color w:val="auto"/>
              </w:rPr>
            </w:pPr>
          </w:p>
        </w:tc>
        <w:tc>
          <w:tcPr>
            <w:tcW w:w="420" w:type="dxa"/>
            <w:vAlign w:val="bottom"/>
            <w:vMerge w:val="restart"/>
          </w:tcPr>
          <w:p>
            <w:pPr>
              <w:jc w:val="right"/>
              <w:ind w:right="8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w w:val="98"/>
              </w:rPr>
              <w:t>3,750</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2"/>
              </w:rPr>
              <w:t>02/27/2029</w:t>
            </w:r>
          </w:p>
        </w:tc>
        <w:tc>
          <w:tcPr>
            <w:tcW w:w="560" w:type="dxa"/>
            <w:vAlign w:val="bottom"/>
          </w:tcPr>
          <w:p>
            <w:pPr>
              <w:ind w:left="80"/>
              <w:spacing w:after="0" w:line="143" w:lineRule="exact"/>
              <w:rPr>
                <w:sz w:val="20"/>
                <w:szCs w:val="20"/>
                <w:color w:val="auto"/>
              </w:rPr>
            </w:pPr>
            <w:r>
              <w:rPr>
                <w:rFonts w:ascii="Arial" w:cs="Arial" w:eastAsia="Arial" w:hAnsi="Arial"/>
                <w:sz w:val="13"/>
                <w:szCs w:val="13"/>
                <w:color w:val="0000FF"/>
                <w:w w:val="87"/>
              </w:rPr>
              <w:t>Common</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3,750</w:t>
            </w:r>
          </w:p>
        </w:tc>
        <w:tc>
          <w:tcPr>
            <w:tcW w:w="52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60" w:type="dxa"/>
            <w:vAlign w:val="bottom"/>
          </w:tcPr>
          <w:p>
            <w:pPr>
              <w:spacing w:after="0"/>
              <w:rPr>
                <w:sz w:val="12"/>
                <w:szCs w:val="12"/>
                <w:color w:val="auto"/>
              </w:rPr>
            </w:pPr>
          </w:p>
        </w:tc>
        <w:tc>
          <w:tcPr>
            <w:tcW w:w="680" w:type="dxa"/>
            <w:vAlign w:val="bottom"/>
            <w:vMerge w:val="restart"/>
          </w:tcPr>
          <w:p>
            <w:pPr>
              <w:ind w:left="300"/>
              <w:spacing w:after="0"/>
              <w:rPr>
                <w:sz w:val="20"/>
                <w:szCs w:val="20"/>
                <w:color w:val="auto"/>
              </w:rPr>
            </w:pPr>
            <w:r>
              <w:rPr>
                <w:rFonts w:ascii="Arial" w:cs="Arial" w:eastAsia="Arial" w:hAnsi="Arial"/>
                <w:sz w:val="13"/>
                <w:szCs w:val="13"/>
                <w:color w:val="0000FF"/>
                <w:w w:val="90"/>
              </w:rPr>
              <w:t>26,250</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on this Form 4 were made pursuant to a Rule 10b5-1 plan adopted by the reporting person on June 12, 2020.</w:t>
      </w:r>
    </w:p>
    <w:p>
      <w:pPr>
        <w:spacing w:after="0" w:line="45" w:lineRule="exact"/>
        <w:rPr>
          <w:rFonts w:ascii="Arial" w:cs="Arial" w:eastAsia="Arial" w:hAnsi="Arial"/>
          <w:sz w:val="13"/>
          <w:szCs w:val="13"/>
          <w:color w:val="008000"/>
        </w:rPr>
      </w:pPr>
    </w:p>
    <w:p>
      <w:pPr>
        <w:ind w:left="40" w:right="24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weighted average sales price. Sale prices for the transactions range from $32.92 to $33.68. Detailed information regarding the number of shares sold at each separate price will be provided to the SEC, the issuer or a shareholder upon request.</w:t>
      </w:r>
    </w:p>
    <w:p>
      <w:pPr>
        <w:spacing w:after="0" w:line="23" w:lineRule="exact"/>
        <w:rPr>
          <w:rFonts w:ascii="Arial" w:cs="Arial" w:eastAsia="Arial" w:hAnsi="Arial"/>
          <w:sz w:val="13"/>
          <w:szCs w:val="13"/>
          <w:color w:val="008000"/>
        </w:rPr>
      </w:pPr>
    </w:p>
    <w:p>
      <w:pPr>
        <w:ind w:left="40" w:right="24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weighted average sales price. Sale prices for the transactions range from $33.93 to $34.93. Detailed information regarding the number of shares sold at each separate price will be provided to the SEC, the issuer or a shareholder upon request.</w:t>
      </w:r>
    </w:p>
    <w:p>
      <w:pPr>
        <w:spacing w:after="0" w:line="23" w:lineRule="exact"/>
        <w:rPr>
          <w:rFonts w:ascii="Arial" w:cs="Arial" w:eastAsia="Arial" w:hAnsi="Arial"/>
          <w:sz w:val="13"/>
          <w:szCs w:val="13"/>
          <w:color w:val="008000"/>
        </w:rPr>
      </w:pPr>
    </w:p>
    <w:p>
      <w:pPr>
        <w:ind w:left="40" w:right="24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weighted average sales price. Sale prices for the transactions range from $34.95 to $35.27. Detailed information regarding the number of shares sold at each separate price will be provided to the SEC, the issuer or a shareholder upon request.</w:t>
      </w:r>
    </w:p>
    <w:p>
      <w:pPr>
        <w:spacing w:after="0" w:line="23" w:lineRule="exact"/>
        <w:rPr>
          <w:rFonts w:ascii="Arial" w:cs="Arial" w:eastAsia="Arial" w:hAnsi="Arial"/>
          <w:sz w:val="13"/>
          <w:szCs w:val="13"/>
          <w:color w:val="008000"/>
        </w:rPr>
      </w:pPr>
    </w:p>
    <w:p>
      <w:pPr>
        <w:ind w:left="40" w:right="34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to 25% of the shares on March 2, 2019, and the remaining shares vest at a rate of 1/48th of the total number of shares subject to the award for each month of continuous service thereafter</w:t>
      </w:r>
    </w:p>
    <w:p>
      <w:pPr>
        <w:spacing w:after="0" w:line="23" w:lineRule="exact"/>
        <w:rPr>
          <w:rFonts w:ascii="Arial" w:cs="Arial" w:eastAsia="Arial" w:hAnsi="Arial"/>
          <w:sz w:val="13"/>
          <w:szCs w:val="13"/>
          <w:color w:val="008000"/>
        </w:rPr>
      </w:pPr>
    </w:p>
    <w:p>
      <w:pPr>
        <w:ind w:left="40" w:right="14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to 25% of the shares on February 28, 2020, and the remaining shares vest at a rate of 1/48th of the total number of shares subject to the award for each month of continuous service thereafter.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3"/>
          </w:tcPr>
          <w:p>
            <w:pPr>
              <w:spacing w:after="0"/>
              <w:rPr>
                <w:sz w:val="20"/>
                <w:szCs w:val="20"/>
                <w:color w:val="auto"/>
              </w:rPr>
            </w:pPr>
            <w:r>
              <w:rPr>
                <w:rFonts w:ascii="Arial" w:cs="Arial" w:eastAsia="Arial" w:hAnsi="Arial"/>
                <w:sz w:val="17"/>
                <w:szCs w:val="17"/>
                <w:color w:val="0000FF"/>
                <w:w w:val="95"/>
              </w:rPr>
              <w:t>/s/ Jane Alley as attorney-in-</w:t>
            </w:r>
          </w:p>
        </w:tc>
        <w:tc>
          <w:tcPr>
            <w:tcW w:w="900" w:type="dxa"/>
            <w:vAlign w:val="bottom"/>
            <w:gridSpan w:val="2"/>
            <w:vMerge w:val="restart"/>
          </w:tcPr>
          <w:p>
            <w:pPr>
              <w:ind w:left="140"/>
              <w:spacing w:after="0"/>
              <w:rPr>
                <w:sz w:val="20"/>
                <w:szCs w:val="20"/>
                <w:color w:val="auto"/>
              </w:rPr>
            </w:pPr>
            <w:r>
              <w:rPr>
                <w:rFonts w:ascii="Arial" w:cs="Arial" w:eastAsia="Arial" w:hAnsi="Arial"/>
                <w:sz w:val="17"/>
                <w:szCs w:val="17"/>
                <w:color w:val="0000FF"/>
                <w:w w:val="86"/>
              </w:rPr>
              <w:t>06/08/2021</w:t>
            </w:r>
          </w:p>
        </w:tc>
        <w:tc>
          <w:tcPr>
            <w:tcW w:w="0" w:type="dxa"/>
            <w:vAlign w:val="bottom"/>
          </w:tcPr>
          <w:p>
            <w:pPr>
              <w:spacing w:after="0"/>
              <w:rPr>
                <w:sz w:val="1"/>
                <w:szCs w:val="1"/>
                <w:color w:val="auto"/>
              </w:rPr>
            </w:pPr>
          </w:p>
        </w:tc>
      </w:tr>
      <w:tr>
        <w:trPr>
          <w:trHeight w:val="84"/>
        </w:trPr>
        <w:tc>
          <w:tcPr>
            <w:tcW w:w="26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87"/>
              </w:rPr>
              <w:t>fact</w:t>
            </w:r>
          </w:p>
        </w:tc>
        <w:tc>
          <w:tcPr>
            <w:tcW w:w="16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top w:val="single" w:sz="8" w:color="auto"/>
              <w:bottom w:val="single" w:sz="8" w:color="auto"/>
            </w:tcBorders>
            <w:vMerge w:val="continue"/>
          </w:tcPr>
          <w:p>
            <w:pPr>
              <w:spacing w:after="0"/>
              <w:rPr>
                <w:sz w:val="7"/>
                <w:szCs w:val="7"/>
                <w:color w:val="auto"/>
              </w:rPr>
            </w:pPr>
          </w:p>
        </w:tc>
        <w:tc>
          <w:tcPr>
            <w:tcW w:w="16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08"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9"/>
          <w:szCs w:val="19"/>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LIMITED POWER OF ATTORNEY</w:t>
      </w:r>
    </w:p>
    <w:p>
      <w:pPr>
        <w:spacing w:after="0" w:line="242" w:lineRule="exact"/>
        <w:rPr>
          <w:sz w:val="20"/>
          <w:szCs w:val="20"/>
          <w:color w:val="auto"/>
        </w:rPr>
      </w:pPr>
    </w:p>
    <w:p>
      <w:pPr>
        <w:jc w:val="both"/>
        <w:ind w:firstLine="623"/>
        <w:spacing w:after="0" w:line="255" w:lineRule="auto"/>
        <w:rPr>
          <w:sz w:val="20"/>
          <w:szCs w:val="20"/>
          <w:color w:val="auto"/>
        </w:rPr>
      </w:pPr>
      <w:r>
        <w:rPr>
          <w:rFonts w:ascii="Arial" w:cs="Arial" w:eastAsia="Arial" w:hAnsi="Arial"/>
          <w:sz w:val="19"/>
          <w:szCs w:val="19"/>
          <w:color w:val="auto"/>
        </w:rPr>
        <w:t>The undersigned hereby constitutes and appoints Marc Stapley, Jane Alley, James H. Erlinger III and Alex Tull, as long as they are providing services to Veracyte, Inc. or its related entities (the "Company"), or either of them, the undersigned's true and lawful attorney-in-fact to:</w:t>
      </w:r>
    </w:p>
    <w:p>
      <w:pPr>
        <w:spacing w:after="0" w:line="200" w:lineRule="exact"/>
        <w:rPr>
          <w:sz w:val="20"/>
          <w:szCs w:val="20"/>
          <w:color w:val="auto"/>
        </w:rPr>
      </w:pPr>
    </w:p>
    <w:p>
      <w:pPr>
        <w:jc w:val="both"/>
        <w:ind w:firstLine="627"/>
        <w:spacing w:after="0" w:line="255" w:lineRule="auto"/>
        <w:tabs>
          <w:tab w:leader="none" w:pos="1044" w:val="left"/>
        </w:tabs>
        <w:numPr>
          <w:ilvl w:val="0"/>
          <w:numId w:val="4"/>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an officer and/or director of the Company, Forms 3, 4 and 5 in accordance with Section 16(a) of the Securities Exchange Act of 1934, as amended (the "Exchange Act"), and the rules and regulations thereunder;</w:t>
      </w:r>
    </w:p>
    <w:p>
      <w:pPr>
        <w:spacing w:after="0" w:line="199" w:lineRule="exact"/>
        <w:rPr>
          <w:rFonts w:ascii="Arial" w:cs="Arial" w:eastAsia="Arial" w:hAnsi="Arial"/>
          <w:sz w:val="19"/>
          <w:szCs w:val="19"/>
          <w:color w:val="auto"/>
        </w:rPr>
      </w:pPr>
    </w:p>
    <w:p>
      <w:pPr>
        <w:jc w:val="both"/>
        <w:ind w:firstLine="627"/>
        <w:spacing w:after="0" w:line="255" w:lineRule="auto"/>
        <w:tabs>
          <w:tab w:leader="none" w:pos="1059" w:val="left"/>
        </w:tabs>
        <w:numPr>
          <w:ilvl w:val="0"/>
          <w:numId w:val="4"/>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that may be necessary or desirable to complete and execute any such Form 3, 4 or 5 and timely file such forms with the Securities and Exchange Commission and any stock exchange or similar authority, if required; and</w:t>
      </w:r>
    </w:p>
    <w:p>
      <w:pPr>
        <w:spacing w:after="0" w:line="199" w:lineRule="exact"/>
        <w:rPr>
          <w:rFonts w:ascii="Arial" w:cs="Arial" w:eastAsia="Arial" w:hAnsi="Arial"/>
          <w:sz w:val="19"/>
          <w:szCs w:val="19"/>
          <w:color w:val="auto"/>
        </w:rPr>
      </w:pPr>
    </w:p>
    <w:p>
      <w:pPr>
        <w:jc w:val="both"/>
        <w:ind w:firstLine="627"/>
        <w:spacing w:after="0" w:line="250" w:lineRule="auto"/>
        <w:tabs>
          <w:tab w:leader="none" w:pos="1040" w:val="left"/>
        </w:tabs>
        <w:numPr>
          <w:ilvl w:val="0"/>
          <w:numId w:val="4"/>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6" w:lineRule="exact"/>
        <w:rPr>
          <w:sz w:val="20"/>
          <w:szCs w:val="20"/>
          <w:color w:val="auto"/>
        </w:rPr>
      </w:pPr>
    </w:p>
    <w:p>
      <w:pPr>
        <w:jc w:val="both"/>
        <w:ind w:firstLine="623"/>
        <w:spacing w:after="0" w:line="262"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197" w:lineRule="exact"/>
        <w:rPr>
          <w:sz w:val="20"/>
          <w:szCs w:val="20"/>
          <w:color w:val="auto"/>
        </w:rPr>
      </w:pPr>
    </w:p>
    <w:p>
      <w:pPr>
        <w:jc w:val="both"/>
        <w:ind w:right="20" w:firstLine="623"/>
        <w:spacing w:after="0" w:line="246" w:lineRule="auto"/>
        <w:rPr>
          <w:sz w:val="20"/>
          <w:szCs w:val="20"/>
          <w:color w:val="auto"/>
        </w:rPr>
      </w:pPr>
      <w:r>
        <w:rPr>
          <w:rFonts w:ascii="Arial" w:cs="Arial" w:eastAsia="Arial" w:hAnsi="Arial"/>
          <w:sz w:val="19"/>
          <w:szCs w:val="19"/>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211" w:lineRule="exact"/>
        <w:rPr>
          <w:sz w:val="20"/>
          <w:szCs w:val="20"/>
          <w:color w:val="auto"/>
        </w:rPr>
      </w:pPr>
    </w:p>
    <w:p>
      <w:pPr>
        <w:jc w:val="both"/>
        <w:ind w:firstLine="623"/>
        <w:spacing w:after="0" w:line="255"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7th day of June, 2021.</w:t>
      </w:r>
    </w:p>
    <w:p>
      <w:pPr>
        <w:spacing w:after="0" w:line="247" w:lineRule="exact"/>
        <w:rPr>
          <w:sz w:val="20"/>
          <w:szCs w:val="20"/>
          <w:color w:val="auto"/>
        </w:rPr>
      </w:pPr>
    </w:p>
    <w:p>
      <w:pPr>
        <w:ind w:left="3740"/>
        <w:spacing w:after="0"/>
        <w:tabs>
          <w:tab w:leader="none" w:pos="4100" w:val="left"/>
        </w:tabs>
        <w:rPr>
          <w:sz w:val="20"/>
          <w:szCs w:val="20"/>
          <w:color w:val="auto"/>
        </w:rPr>
      </w:pPr>
      <w:r>
        <w:rPr>
          <w:rFonts w:ascii="Arial" w:cs="Arial" w:eastAsia="Arial" w:hAnsi="Arial"/>
          <w:sz w:val="19"/>
          <w:szCs w:val="19"/>
          <w:color w:val="auto"/>
        </w:rPr>
        <w:t>/s/</w:t>
      </w:r>
      <w:r>
        <w:rPr>
          <w:sz w:val="20"/>
          <w:szCs w:val="20"/>
          <w:color w:val="auto"/>
        </w:rPr>
        <w:tab/>
      </w:r>
      <w:r>
        <w:rPr>
          <w:rFonts w:ascii="Arial" w:cs="Arial" w:eastAsia="Arial" w:hAnsi="Arial"/>
          <w:sz w:val="17"/>
          <w:szCs w:val="17"/>
          <w:color w:val="auto"/>
        </w:rPr>
        <w:t>Giulia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2377440</wp:posOffset>
            </wp:positionH>
            <wp:positionV relativeFrom="paragraph">
              <wp:posOffset>-12065</wp:posOffset>
            </wp:positionV>
            <wp:extent cx="13658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3740"/>
        <w:spacing w:after="0"/>
        <w:rPr>
          <w:sz w:val="20"/>
          <w:szCs w:val="20"/>
          <w:color w:val="auto"/>
        </w:rPr>
      </w:pPr>
      <w:r>
        <w:rPr>
          <w:rFonts w:ascii="Arial" w:cs="Arial" w:eastAsia="Arial" w:hAnsi="Arial"/>
          <w:sz w:val="19"/>
          <w:szCs w:val="19"/>
          <w:color w:val="auto"/>
        </w:rPr>
        <w:t>Name: Giulia Kennedy</w:t>
      </w:r>
    </w:p>
    <w:sectPr>
      <w:pgSz w:w="11900" w:h="16838" w:orient="portrait"/>
      <w:cols w:equalWidth="0" w:num="1">
        <w:col w:w="10980"/>
      </w:cols>
      <w:pgMar w:left="460" w:top="14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933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2021-06-08T15:40:35Z</dcterms:created>
  <dcterms:modified xsi:type="dcterms:W3CDTF">2021-06-08T15:40:35Z</dcterms:modified>
</cp:coreProperties>
</file>