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5085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0850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BLAIR JAMES C</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600" w:type="dxa"/>
            <w:vAlign w:val="bottom"/>
            <w:tcBorders>
              <w:top w:val="single" w:sz="8" w:color="0000EE"/>
              <w:bottom w:val="single" w:sz="8" w:color="9A9A9A"/>
            </w:tcBorders>
          </w:tcPr>
          <w:p>
            <w:pPr>
              <w:spacing w:after="0"/>
              <w:rPr>
                <w:sz w:val="15"/>
                <w:szCs w:val="15"/>
                <w:color w:val="auto"/>
              </w:rPr>
            </w:pPr>
          </w:p>
        </w:tc>
        <w:tc>
          <w:tcPr>
            <w:tcW w:w="16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10/29/2013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VERACYTE,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VCYT</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260" w:type="dxa"/>
            <w:vAlign w:val="bottom"/>
          </w:tcPr>
          <w:p>
            <w:pPr>
              <w:ind w:left="340"/>
              <w:spacing w:after="0"/>
              <w:rPr>
                <w:sz w:val="20"/>
                <w:szCs w:val="20"/>
                <w:color w:val="auto"/>
              </w:rPr>
            </w:pPr>
            <w:r>
              <w:rPr>
                <w:rFonts w:ascii="Arial" w:cs="Arial" w:eastAsia="Arial" w:hAnsi="Arial"/>
                <w:sz w:val="14"/>
                <w:szCs w:val="14"/>
                <w:color w:val="auto"/>
              </w:rPr>
              <w:t>(First)</w:t>
            </w:r>
          </w:p>
        </w:tc>
        <w:tc>
          <w:tcPr>
            <w:tcW w:w="1200" w:type="dxa"/>
            <w:vAlign w:val="bottom"/>
          </w:tcPr>
          <w:p>
            <w:pPr>
              <w:ind w:left="16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C/O DOMAIN ASSOCIATES, LLC</w:t>
            </w:r>
          </w:p>
        </w:tc>
      </w:tr>
      <w:tr>
        <w:trPr>
          <w:trHeight w:val="270"/>
        </w:trPr>
        <w:tc>
          <w:tcPr>
            <w:tcW w:w="20" w:type="dxa"/>
            <w:vAlign w:val="bottom"/>
          </w:tcPr>
          <w:p>
            <w:pPr>
              <w:spacing w:after="0"/>
              <w:rPr>
                <w:sz w:val="23"/>
                <w:szCs w:val="23"/>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0000FF"/>
              </w:rPr>
              <w:t>ONE PALMER SQUARE</w:t>
            </w:r>
          </w:p>
        </w:tc>
        <w:tc>
          <w:tcPr>
            <w:tcW w:w="120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0000FF"/>
              </w:rPr>
              <w:t>PRINCETON NJ</w:t>
            </w:r>
          </w:p>
        </w:tc>
        <w:tc>
          <w:tcPr>
            <w:tcW w:w="1200" w:type="dxa"/>
            <w:vAlign w:val="bottom"/>
          </w:tcPr>
          <w:p>
            <w:pPr>
              <w:ind w:left="160"/>
              <w:spacing w:after="0"/>
              <w:rPr>
                <w:sz w:val="20"/>
                <w:szCs w:val="20"/>
                <w:color w:val="auto"/>
              </w:rPr>
            </w:pPr>
            <w:r>
              <w:rPr>
                <w:rFonts w:ascii="Arial" w:cs="Arial" w:eastAsia="Arial" w:hAnsi="Arial"/>
                <w:sz w:val="18"/>
                <w:szCs w:val="18"/>
                <w:color w:val="0000FF"/>
              </w:rPr>
              <w:t>08542</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6"/>
        <w:spacing w:after="0"/>
        <w:tabs>
          <w:tab w:leader="none" w:pos="1805" w:val="left"/>
          <w:tab w:leader="none" w:pos="2145"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88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160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0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0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4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4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104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4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40" w:type="dxa"/>
            <w:vAlign w:val="bottom"/>
            <w:vMerge w:val="continue"/>
          </w:tcPr>
          <w:p>
            <w:pPr>
              <w:spacing w:after="0"/>
              <w:rPr>
                <w:sz w:val="15"/>
                <w:szCs w:val="15"/>
                <w:color w:val="auto"/>
              </w:rPr>
            </w:pPr>
          </w:p>
        </w:tc>
        <w:tc>
          <w:tcPr>
            <w:tcW w:w="104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34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3460" w:type="dxa"/>
            <w:vAlign w:val="bottom"/>
            <w:vMerge w:val="restart"/>
          </w:tcPr>
          <w:p>
            <w:pPr>
              <w:ind w:left="60"/>
              <w:spacing w:after="0"/>
              <w:rPr>
                <w:sz w:val="20"/>
                <w:szCs w:val="20"/>
                <w:color w:val="auto"/>
              </w:rPr>
            </w:pPr>
            <w:r>
              <w:rPr>
                <w:rFonts w:ascii="Arial" w:cs="Arial" w:eastAsia="Arial" w:hAnsi="Arial"/>
                <w:sz w:val="18"/>
                <w:szCs w:val="18"/>
                <w:color w:val="0000FF"/>
              </w:rPr>
              <w:t>Series B Preferred Stock</w:t>
            </w:r>
          </w:p>
        </w:tc>
        <w:tc>
          <w:tcPr>
            <w:tcW w:w="880" w:type="dxa"/>
            <w:vAlign w:val="bottom"/>
            <w:vMerge w:val="restart"/>
          </w:tcPr>
          <w:p>
            <w:pPr>
              <w:ind w:left="380"/>
              <w:spacing w:after="0"/>
              <w:rPr>
                <w:sz w:val="20"/>
                <w:szCs w:val="20"/>
                <w:color w:val="auto"/>
              </w:rPr>
            </w:pPr>
            <w:r>
              <w:rPr>
                <w:rFonts w:ascii="Arial" w:cs="Arial" w:eastAsia="Arial" w:hAnsi="Arial"/>
                <w:sz w:val="11"/>
                <w:szCs w:val="11"/>
                <w:color w:val="008000"/>
              </w:rPr>
              <w:t>(1)</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rPr>
              <w:t>(1)</w:t>
            </w:r>
          </w:p>
        </w:tc>
        <w:tc>
          <w:tcPr>
            <w:tcW w:w="1840" w:type="dxa"/>
            <w:vAlign w:val="bottom"/>
            <w:vMerge w:val="restart"/>
          </w:tcPr>
          <w:p>
            <w:pPr>
              <w:ind w:left="480"/>
              <w:spacing w:after="0"/>
              <w:rPr>
                <w:sz w:val="20"/>
                <w:szCs w:val="20"/>
                <w:color w:val="auto"/>
              </w:rPr>
            </w:pPr>
            <w:r>
              <w:rPr>
                <w:rFonts w:ascii="Arial" w:cs="Arial" w:eastAsia="Arial" w:hAnsi="Arial"/>
                <w:sz w:val="18"/>
                <w:szCs w:val="18"/>
                <w:color w:val="0000FF"/>
              </w:rPr>
              <w:t>Common Stock</w:t>
            </w:r>
          </w:p>
        </w:tc>
        <w:tc>
          <w:tcPr>
            <w:tcW w:w="1040" w:type="dxa"/>
            <w:vAlign w:val="bottom"/>
            <w:vMerge w:val="restart"/>
          </w:tcPr>
          <w:p>
            <w:pPr>
              <w:jc w:val="center"/>
              <w:ind w:left="101"/>
              <w:spacing w:after="0"/>
              <w:rPr>
                <w:sz w:val="20"/>
                <w:szCs w:val="20"/>
                <w:color w:val="auto"/>
              </w:rPr>
            </w:pPr>
            <w:r>
              <w:rPr>
                <w:rFonts w:ascii="Arial" w:cs="Arial" w:eastAsia="Arial" w:hAnsi="Arial"/>
                <w:sz w:val="18"/>
                <w:szCs w:val="18"/>
                <w:color w:val="0000FF"/>
                <w:w w:val="87"/>
              </w:rPr>
              <w:t>2,382,322</w:t>
            </w:r>
          </w:p>
        </w:tc>
        <w:tc>
          <w:tcPr>
            <w:tcW w:w="880" w:type="dxa"/>
            <w:vAlign w:val="bottom"/>
            <w:vMerge w:val="restart"/>
          </w:tcPr>
          <w:p>
            <w:pPr>
              <w:ind w:left="380"/>
              <w:spacing w:after="0"/>
              <w:rPr>
                <w:sz w:val="20"/>
                <w:szCs w:val="20"/>
                <w:color w:val="auto"/>
              </w:rPr>
            </w:pPr>
            <w:r>
              <w:rPr>
                <w:rFonts w:ascii="Arial" w:cs="Arial" w:eastAsia="Arial" w:hAnsi="Arial"/>
                <w:sz w:val="11"/>
                <w:szCs w:val="11"/>
                <w:color w:val="008000"/>
              </w:rPr>
              <w:t>(1)</w:t>
            </w:r>
          </w:p>
        </w:tc>
        <w:tc>
          <w:tcPr>
            <w:tcW w:w="88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1600" w:type="dxa"/>
            <w:vAlign w:val="bottom"/>
          </w:tcPr>
          <w:p>
            <w:pPr>
              <w:ind w:left="100"/>
              <w:spacing w:after="0"/>
              <w:rPr>
                <w:sz w:val="20"/>
                <w:szCs w:val="20"/>
                <w:color w:val="auto"/>
              </w:rPr>
            </w:pPr>
            <w:r>
              <w:rPr>
                <w:rFonts w:ascii="Arial" w:cs="Arial" w:eastAsia="Arial" w:hAnsi="Arial"/>
                <w:sz w:val="18"/>
                <w:szCs w:val="18"/>
                <w:color w:val="0000FF"/>
                <w:w w:val="91"/>
              </w:rPr>
              <w:t>By Domain Partners</w:t>
            </w:r>
          </w:p>
        </w:tc>
        <w:tc>
          <w:tcPr>
            <w:tcW w:w="0" w:type="dxa"/>
            <w:vAlign w:val="bottom"/>
          </w:tcPr>
          <w:p>
            <w:pPr>
              <w:spacing w:after="0"/>
              <w:rPr>
                <w:sz w:val="1"/>
                <w:szCs w:val="1"/>
                <w:color w:val="auto"/>
              </w:rPr>
            </w:pPr>
          </w:p>
        </w:tc>
      </w:tr>
      <w:tr>
        <w:trPr>
          <w:trHeight w:val="114"/>
        </w:trPr>
        <w:tc>
          <w:tcPr>
            <w:tcW w:w="34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84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00" w:type="dxa"/>
            <w:vAlign w:val="bottom"/>
            <w:vMerge w:val="restart"/>
          </w:tcPr>
          <w:p>
            <w:pPr>
              <w:ind w:left="100"/>
              <w:spacing w:after="0"/>
              <w:rPr>
                <w:sz w:val="20"/>
                <w:szCs w:val="20"/>
                <w:color w:val="auto"/>
              </w:rPr>
            </w:pPr>
            <w:r>
              <w:rPr>
                <w:rFonts w:ascii="Arial" w:cs="Arial" w:eastAsia="Arial" w:hAnsi="Arial"/>
                <w:sz w:val="18"/>
                <w:szCs w:val="18"/>
                <w:color w:val="0000FF"/>
              </w:rPr>
              <w:t>VIII, L.P.</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71"/>
        </w:trPr>
        <w:tc>
          <w:tcPr>
            <w:tcW w:w="346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8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60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3460" w:type="dxa"/>
            <w:vAlign w:val="bottom"/>
            <w:vMerge w:val="restart"/>
          </w:tcPr>
          <w:p>
            <w:pPr>
              <w:ind w:left="60"/>
              <w:spacing w:after="0"/>
              <w:rPr>
                <w:sz w:val="20"/>
                <w:szCs w:val="20"/>
                <w:color w:val="auto"/>
              </w:rPr>
            </w:pPr>
            <w:r>
              <w:rPr>
                <w:rFonts w:ascii="Arial" w:cs="Arial" w:eastAsia="Arial" w:hAnsi="Arial"/>
                <w:sz w:val="18"/>
                <w:szCs w:val="18"/>
                <w:color w:val="0000FF"/>
              </w:rPr>
              <w:t>Series B Preferred Stock</w:t>
            </w:r>
          </w:p>
        </w:tc>
        <w:tc>
          <w:tcPr>
            <w:tcW w:w="880" w:type="dxa"/>
            <w:vAlign w:val="bottom"/>
            <w:vMerge w:val="restart"/>
          </w:tcPr>
          <w:p>
            <w:pPr>
              <w:ind w:left="380"/>
              <w:spacing w:after="0"/>
              <w:rPr>
                <w:sz w:val="20"/>
                <w:szCs w:val="20"/>
                <w:color w:val="auto"/>
              </w:rPr>
            </w:pPr>
            <w:r>
              <w:rPr>
                <w:rFonts w:ascii="Arial" w:cs="Arial" w:eastAsia="Arial" w:hAnsi="Arial"/>
                <w:sz w:val="11"/>
                <w:szCs w:val="11"/>
                <w:color w:val="008000"/>
              </w:rPr>
              <w:t>(1)</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rPr>
              <w:t>(1)</w:t>
            </w:r>
          </w:p>
        </w:tc>
        <w:tc>
          <w:tcPr>
            <w:tcW w:w="1840" w:type="dxa"/>
            <w:vAlign w:val="bottom"/>
            <w:vMerge w:val="restart"/>
          </w:tcPr>
          <w:p>
            <w:pPr>
              <w:ind w:left="480"/>
              <w:spacing w:after="0"/>
              <w:rPr>
                <w:sz w:val="20"/>
                <w:szCs w:val="20"/>
                <w:color w:val="auto"/>
              </w:rPr>
            </w:pPr>
            <w:r>
              <w:rPr>
                <w:rFonts w:ascii="Arial" w:cs="Arial" w:eastAsia="Arial" w:hAnsi="Arial"/>
                <w:sz w:val="18"/>
                <w:szCs w:val="18"/>
                <w:color w:val="0000FF"/>
              </w:rPr>
              <w:t>Common Stock</w:t>
            </w:r>
          </w:p>
        </w:tc>
        <w:tc>
          <w:tcPr>
            <w:tcW w:w="1040" w:type="dxa"/>
            <w:vAlign w:val="bottom"/>
            <w:vMerge w:val="restart"/>
          </w:tcPr>
          <w:p>
            <w:pPr>
              <w:jc w:val="center"/>
              <w:ind w:left="121"/>
              <w:spacing w:after="0"/>
              <w:rPr>
                <w:sz w:val="20"/>
                <w:szCs w:val="20"/>
                <w:color w:val="auto"/>
              </w:rPr>
            </w:pPr>
            <w:r>
              <w:rPr>
                <w:rFonts w:ascii="Arial" w:cs="Arial" w:eastAsia="Arial" w:hAnsi="Arial"/>
                <w:sz w:val="18"/>
                <w:szCs w:val="18"/>
                <w:color w:val="0000FF"/>
                <w:w w:val="87"/>
              </w:rPr>
              <w:t>17,677</w:t>
            </w:r>
          </w:p>
        </w:tc>
        <w:tc>
          <w:tcPr>
            <w:tcW w:w="880" w:type="dxa"/>
            <w:vAlign w:val="bottom"/>
            <w:vMerge w:val="restart"/>
          </w:tcPr>
          <w:p>
            <w:pPr>
              <w:ind w:left="380"/>
              <w:spacing w:after="0"/>
              <w:rPr>
                <w:sz w:val="20"/>
                <w:szCs w:val="20"/>
                <w:color w:val="auto"/>
              </w:rPr>
            </w:pPr>
            <w:r>
              <w:rPr>
                <w:rFonts w:ascii="Arial" w:cs="Arial" w:eastAsia="Arial" w:hAnsi="Arial"/>
                <w:sz w:val="11"/>
                <w:szCs w:val="11"/>
                <w:color w:val="008000"/>
              </w:rPr>
              <w:t>(1)</w:t>
            </w:r>
          </w:p>
        </w:tc>
        <w:tc>
          <w:tcPr>
            <w:tcW w:w="88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1600" w:type="dxa"/>
            <w:vAlign w:val="bottom"/>
          </w:tcPr>
          <w:p>
            <w:pPr>
              <w:ind w:left="100"/>
              <w:spacing w:after="0"/>
              <w:rPr>
                <w:sz w:val="20"/>
                <w:szCs w:val="20"/>
                <w:color w:val="auto"/>
              </w:rPr>
            </w:pPr>
            <w:r>
              <w:rPr>
                <w:rFonts w:ascii="Arial" w:cs="Arial" w:eastAsia="Arial" w:hAnsi="Arial"/>
                <w:sz w:val="18"/>
                <w:szCs w:val="18"/>
                <w:color w:val="0000FF"/>
              </w:rPr>
              <w:t>By DP VIII</w:t>
            </w:r>
          </w:p>
        </w:tc>
        <w:tc>
          <w:tcPr>
            <w:tcW w:w="0" w:type="dxa"/>
            <w:vAlign w:val="bottom"/>
          </w:tcPr>
          <w:p>
            <w:pPr>
              <w:spacing w:after="0"/>
              <w:rPr>
                <w:sz w:val="1"/>
                <w:szCs w:val="1"/>
                <w:color w:val="auto"/>
              </w:rPr>
            </w:pPr>
          </w:p>
        </w:tc>
      </w:tr>
      <w:tr>
        <w:trPr>
          <w:trHeight w:val="114"/>
        </w:trPr>
        <w:tc>
          <w:tcPr>
            <w:tcW w:w="34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84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00" w:type="dxa"/>
            <w:vAlign w:val="bottom"/>
            <w:vMerge w:val="restart"/>
          </w:tcPr>
          <w:p>
            <w:pPr>
              <w:ind w:left="100"/>
              <w:spacing w:after="0"/>
              <w:rPr>
                <w:sz w:val="20"/>
                <w:szCs w:val="20"/>
                <w:color w:val="auto"/>
              </w:rPr>
            </w:pPr>
            <w:r>
              <w:rPr>
                <w:rFonts w:ascii="Arial" w:cs="Arial" w:eastAsia="Arial" w:hAnsi="Arial"/>
                <w:sz w:val="18"/>
                <w:szCs w:val="18"/>
                <w:color w:val="0000FF"/>
              </w:rPr>
              <w:t>Associates, L.P.</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71"/>
        </w:trPr>
        <w:tc>
          <w:tcPr>
            <w:tcW w:w="346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8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60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3460" w:type="dxa"/>
            <w:vAlign w:val="bottom"/>
            <w:vMerge w:val="restart"/>
          </w:tcPr>
          <w:p>
            <w:pPr>
              <w:ind w:left="60"/>
              <w:spacing w:after="0"/>
              <w:rPr>
                <w:sz w:val="20"/>
                <w:szCs w:val="20"/>
                <w:color w:val="auto"/>
              </w:rPr>
            </w:pPr>
            <w:r>
              <w:rPr>
                <w:rFonts w:ascii="Arial" w:cs="Arial" w:eastAsia="Arial" w:hAnsi="Arial"/>
                <w:sz w:val="18"/>
                <w:szCs w:val="18"/>
                <w:color w:val="0000FF"/>
              </w:rPr>
              <w:t>Series C Preferred Stock</w:t>
            </w:r>
          </w:p>
        </w:tc>
        <w:tc>
          <w:tcPr>
            <w:tcW w:w="880" w:type="dxa"/>
            <w:vAlign w:val="bottom"/>
            <w:vMerge w:val="restart"/>
          </w:tcPr>
          <w:p>
            <w:pPr>
              <w:ind w:left="380"/>
              <w:spacing w:after="0"/>
              <w:rPr>
                <w:sz w:val="20"/>
                <w:szCs w:val="20"/>
                <w:color w:val="auto"/>
              </w:rPr>
            </w:pPr>
            <w:r>
              <w:rPr>
                <w:rFonts w:ascii="Arial" w:cs="Arial" w:eastAsia="Arial" w:hAnsi="Arial"/>
                <w:sz w:val="11"/>
                <w:szCs w:val="11"/>
                <w:color w:val="008000"/>
              </w:rPr>
              <w:t>(1)</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rPr>
              <w:t>(1)</w:t>
            </w:r>
          </w:p>
        </w:tc>
        <w:tc>
          <w:tcPr>
            <w:tcW w:w="1840" w:type="dxa"/>
            <w:vAlign w:val="bottom"/>
            <w:vMerge w:val="restart"/>
          </w:tcPr>
          <w:p>
            <w:pPr>
              <w:ind w:left="480"/>
              <w:spacing w:after="0"/>
              <w:rPr>
                <w:sz w:val="20"/>
                <w:szCs w:val="20"/>
                <w:color w:val="auto"/>
              </w:rPr>
            </w:pPr>
            <w:r>
              <w:rPr>
                <w:rFonts w:ascii="Arial" w:cs="Arial" w:eastAsia="Arial" w:hAnsi="Arial"/>
                <w:sz w:val="18"/>
                <w:szCs w:val="18"/>
                <w:color w:val="0000FF"/>
              </w:rPr>
              <w:t>Common Stock</w:t>
            </w:r>
          </w:p>
        </w:tc>
        <w:tc>
          <w:tcPr>
            <w:tcW w:w="1040" w:type="dxa"/>
            <w:vAlign w:val="bottom"/>
            <w:vMerge w:val="restart"/>
          </w:tcPr>
          <w:p>
            <w:pPr>
              <w:jc w:val="center"/>
              <w:ind w:left="101"/>
              <w:spacing w:after="0"/>
              <w:rPr>
                <w:sz w:val="20"/>
                <w:szCs w:val="20"/>
                <w:color w:val="auto"/>
              </w:rPr>
            </w:pPr>
            <w:r>
              <w:rPr>
                <w:rFonts w:ascii="Arial" w:cs="Arial" w:eastAsia="Arial" w:hAnsi="Arial"/>
                <w:sz w:val="18"/>
                <w:szCs w:val="18"/>
                <w:color w:val="0000FF"/>
                <w:w w:val="89"/>
              </w:rPr>
              <w:t>680,972</w:t>
            </w:r>
          </w:p>
        </w:tc>
        <w:tc>
          <w:tcPr>
            <w:tcW w:w="880" w:type="dxa"/>
            <w:vAlign w:val="bottom"/>
            <w:vMerge w:val="restart"/>
          </w:tcPr>
          <w:p>
            <w:pPr>
              <w:ind w:left="380"/>
              <w:spacing w:after="0"/>
              <w:rPr>
                <w:sz w:val="20"/>
                <w:szCs w:val="20"/>
                <w:color w:val="auto"/>
              </w:rPr>
            </w:pPr>
            <w:r>
              <w:rPr>
                <w:rFonts w:ascii="Arial" w:cs="Arial" w:eastAsia="Arial" w:hAnsi="Arial"/>
                <w:sz w:val="11"/>
                <w:szCs w:val="11"/>
                <w:color w:val="008000"/>
              </w:rPr>
              <w:t>(1)</w:t>
            </w:r>
          </w:p>
        </w:tc>
        <w:tc>
          <w:tcPr>
            <w:tcW w:w="88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1600" w:type="dxa"/>
            <w:vAlign w:val="bottom"/>
          </w:tcPr>
          <w:p>
            <w:pPr>
              <w:ind w:left="100"/>
              <w:spacing w:after="0"/>
              <w:rPr>
                <w:sz w:val="20"/>
                <w:szCs w:val="20"/>
                <w:color w:val="auto"/>
              </w:rPr>
            </w:pPr>
            <w:r>
              <w:rPr>
                <w:rFonts w:ascii="Arial" w:cs="Arial" w:eastAsia="Arial" w:hAnsi="Arial"/>
                <w:sz w:val="18"/>
                <w:szCs w:val="18"/>
                <w:color w:val="0000FF"/>
                <w:w w:val="91"/>
              </w:rPr>
              <w:t>By Domain Partners</w:t>
            </w:r>
          </w:p>
        </w:tc>
        <w:tc>
          <w:tcPr>
            <w:tcW w:w="0" w:type="dxa"/>
            <w:vAlign w:val="bottom"/>
          </w:tcPr>
          <w:p>
            <w:pPr>
              <w:spacing w:after="0"/>
              <w:rPr>
                <w:sz w:val="1"/>
                <w:szCs w:val="1"/>
                <w:color w:val="auto"/>
              </w:rPr>
            </w:pPr>
          </w:p>
        </w:tc>
      </w:tr>
      <w:tr>
        <w:trPr>
          <w:trHeight w:val="114"/>
        </w:trPr>
        <w:tc>
          <w:tcPr>
            <w:tcW w:w="34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84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00" w:type="dxa"/>
            <w:vAlign w:val="bottom"/>
            <w:vMerge w:val="restart"/>
          </w:tcPr>
          <w:p>
            <w:pPr>
              <w:ind w:left="100"/>
              <w:spacing w:after="0"/>
              <w:rPr>
                <w:sz w:val="20"/>
                <w:szCs w:val="20"/>
                <w:color w:val="auto"/>
              </w:rPr>
            </w:pPr>
            <w:r>
              <w:rPr>
                <w:rFonts w:ascii="Arial" w:cs="Arial" w:eastAsia="Arial" w:hAnsi="Arial"/>
                <w:sz w:val="18"/>
                <w:szCs w:val="18"/>
                <w:color w:val="0000FF"/>
              </w:rPr>
              <w:t>VIII, L.P.</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71"/>
        </w:trPr>
        <w:tc>
          <w:tcPr>
            <w:tcW w:w="346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8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60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3460" w:type="dxa"/>
            <w:vAlign w:val="bottom"/>
            <w:vMerge w:val="restart"/>
          </w:tcPr>
          <w:p>
            <w:pPr>
              <w:ind w:left="60"/>
              <w:spacing w:after="0"/>
              <w:rPr>
                <w:sz w:val="20"/>
                <w:szCs w:val="20"/>
                <w:color w:val="auto"/>
              </w:rPr>
            </w:pPr>
            <w:r>
              <w:rPr>
                <w:rFonts w:ascii="Arial" w:cs="Arial" w:eastAsia="Arial" w:hAnsi="Arial"/>
                <w:sz w:val="18"/>
                <w:szCs w:val="18"/>
                <w:color w:val="0000FF"/>
              </w:rPr>
              <w:t>Series C Preferred Stock</w:t>
            </w:r>
          </w:p>
        </w:tc>
        <w:tc>
          <w:tcPr>
            <w:tcW w:w="880" w:type="dxa"/>
            <w:vAlign w:val="bottom"/>
            <w:vMerge w:val="restart"/>
          </w:tcPr>
          <w:p>
            <w:pPr>
              <w:ind w:left="380"/>
              <w:spacing w:after="0"/>
              <w:rPr>
                <w:sz w:val="20"/>
                <w:szCs w:val="20"/>
                <w:color w:val="auto"/>
              </w:rPr>
            </w:pPr>
            <w:r>
              <w:rPr>
                <w:rFonts w:ascii="Arial" w:cs="Arial" w:eastAsia="Arial" w:hAnsi="Arial"/>
                <w:sz w:val="11"/>
                <w:szCs w:val="11"/>
                <w:color w:val="008000"/>
              </w:rPr>
              <w:t>(1)</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rPr>
              <w:t>(1)</w:t>
            </w:r>
          </w:p>
        </w:tc>
        <w:tc>
          <w:tcPr>
            <w:tcW w:w="1840" w:type="dxa"/>
            <w:vAlign w:val="bottom"/>
            <w:vMerge w:val="restart"/>
          </w:tcPr>
          <w:p>
            <w:pPr>
              <w:ind w:left="480"/>
              <w:spacing w:after="0"/>
              <w:rPr>
                <w:sz w:val="20"/>
                <w:szCs w:val="20"/>
                <w:color w:val="auto"/>
              </w:rPr>
            </w:pPr>
            <w:r>
              <w:rPr>
                <w:rFonts w:ascii="Arial" w:cs="Arial" w:eastAsia="Arial" w:hAnsi="Arial"/>
                <w:sz w:val="18"/>
                <w:szCs w:val="18"/>
                <w:color w:val="0000FF"/>
              </w:rPr>
              <w:t>Common Stock</w:t>
            </w:r>
          </w:p>
        </w:tc>
        <w:tc>
          <w:tcPr>
            <w:tcW w:w="1040" w:type="dxa"/>
            <w:vAlign w:val="bottom"/>
            <w:vMerge w:val="restart"/>
          </w:tcPr>
          <w:p>
            <w:pPr>
              <w:jc w:val="center"/>
              <w:ind w:left="101"/>
              <w:spacing w:after="0"/>
              <w:rPr>
                <w:sz w:val="20"/>
                <w:szCs w:val="20"/>
                <w:color w:val="auto"/>
              </w:rPr>
            </w:pPr>
            <w:r>
              <w:rPr>
                <w:rFonts w:ascii="Arial" w:cs="Arial" w:eastAsia="Arial" w:hAnsi="Arial"/>
                <w:sz w:val="18"/>
                <w:szCs w:val="18"/>
                <w:color w:val="0000FF"/>
                <w:w w:val="84"/>
              </w:rPr>
              <w:t>5,053</w:t>
            </w:r>
          </w:p>
        </w:tc>
        <w:tc>
          <w:tcPr>
            <w:tcW w:w="880" w:type="dxa"/>
            <w:vAlign w:val="bottom"/>
            <w:vMerge w:val="restart"/>
          </w:tcPr>
          <w:p>
            <w:pPr>
              <w:ind w:left="380"/>
              <w:spacing w:after="0"/>
              <w:rPr>
                <w:sz w:val="20"/>
                <w:szCs w:val="20"/>
                <w:color w:val="auto"/>
              </w:rPr>
            </w:pPr>
            <w:r>
              <w:rPr>
                <w:rFonts w:ascii="Arial" w:cs="Arial" w:eastAsia="Arial" w:hAnsi="Arial"/>
                <w:sz w:val="11"/>
                <w:szCs w:val="11"/>
                <w:color w:val="008000"/>
              </w:rPr>
              <w:t>(1)</w:t>
            </w:r>
          </w:p>
        </w:tc>
        <w:tc>
          <w:tcPr>
            <w:tcW w:w="88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1600" w:type="dxa"/>
            <w:vAlign w:val="bottom"/>
          </w:tcPr>
          <w:p>
            <w:pPr>
              <w:ind w:left="100"/>
              <w:spacing w:after="0"/>
              <w:rPr>
                <w:sz w:val="20"/>
                <w:szCs w:val="20"/>
                <w:color w:val="auto"/>
              </w:rPr>
            </w:pPr>
            <w:r>
              <w:rPr>
                <w:rFonts w:ascii="Arial" w:cs="Arial" w:eastAsia="Arial" w:hAnsi="Arial"/>
                <w:sz w:val="18"/>
                <w:szCs w:val="18"/>
                <w:color w:val="0000FF"/>
              </w:rPr>
              <w:t>By DP VIII</w:t>
            </w:r>
          </w:p>
        </w:tc>
        <w:tc>
          <w:tcPr>
            <w:tcW w:w="0" w:type="dxa"/>
            <w:vAlign w:val="bottom"/>
          </w:tcPr>
          <w:p>
            <w:pPr>
              <w:spacing w:after="0"/>
              <w:rPr>
                <w:sz w:val="1"/>
                <w:szCs w:val="1"/>
                <w:color w:val="auto"/>
              </w:rPr>
            </w:pPr>
          </w:p>
        </w:tc>
      </w:tr>
      <w:tr>
        <w:trPr>
          <w:trHeight w:val="114"/>
        </w:trPr>
        <w:tc>
          <w:tcPr>
            <w:tcW w:w="34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84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00" w:type="dxa"/>
            <w:vAlign w:val="bottom"/>
            <w:vMerge w:val="restart"/>
          </w:tcPr>
          <w:p>
            <w:pPr>
              <w:ind w:left="100"/>
              <w:spacing w:after="0"/>
              <w:rPr>
                <w:sz w:val="20"/>
                <w:szCs w:val="20"/>
                <w:color w:val="auto"/>
              </w:rPr>
            </w:pPr>
            <w:r>
              <w:rPr>
                <w:rFonts w:ascii="Arial" w:cs="Arial" w:eastAsia="Arial" w:hAnsi="Arial"/>
                <w:sz w:val="18"/>
                <w:szCs w:val="18"/>
                <w:color w:val="0000FF"/>
              </w:rPr>
              <w:t>Associates, L.P.</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84"/>
        </w:trPr>
        <w:tc>
          <w:tcPr>
            <w:tcW w:w="3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4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All outstanding shares of Preferred Stock will automatically convert into Common Stock upon the closing of the Issuer's initial public offering (the "IPO"), for no additional consideration. The Preferred Stock has no expiration date.</w:t>
      </w:r>
    </w:p>
    <w:p>
      <w:pPr>
        <w:spacing w:after="0" w:line="30" w:lineRule="exact"/>
        <w:rPr>
          <w:rFonts w:ascii="Arial" w:cs="Arial" w:eastAsia="Arial" w:hAnsi="Arial"/>
          <w:sz w:val="14"/>
          <w:szCs w:val="14"/>
          <w:color w:val="008000"/>
        </w:rPr>
      </w:pPr>
    </w:p>
    <w:p>
      <w:pPr>
        <w:ind w:left="40" w:right="520" w:firstLine="9"/>
        <w:spacing w:after="0" w:line="285"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 Reporting Person is a Managing Member of One Palmer Square Associates VIII, LLC, which is the sole general partner of Domain Partners VIII, L.P. and DP VIII Associates, L.P. Pursuant to Instruction (5)(b)(iv) of Form 3, the Reporting Person has elected to report as indirectly beneficially owned the entire number of securities beneficially owned by each such entity. The Reporting Person disclaims beneficial ownership of any securities, and any proceeds thereof, that exceed his or her pecuniary interest therein and/or that are not actually distributed to him or her.</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Kathleen K. Schoemaker,</w:t>
            </w:r>
          </w:p>
        </w:tc>
        <w:tc>
          <w:tcPr>
            <w:tcW w:w="140" w:type="dxa"/>
            <w:vAlign w:val="bottom"/>
          </w:tcPr>
          <w:p>
            <w:pPr>
              <w:spacing w:after="0"/>
              <w:rPr>
                <w:sz w:val="17"/>
                <w:szCs w:val="17"/>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6"/>
              </w:rPr>
              <w:t>10/29/2013</w:t>
            </w:r>
          </w:p>
        </w:tc>
        <w:tc>
          <w:tcPr>
            <w:tcW w:w="0" w:type="dxa"/>
            <w:vAlign w:val="bottom"/>
          </w:tcPr>
          <w:p>
            <w:pPr>
              <w:spacing w:after="0"/>
              <w:rPr>
                <w:sz w:val="1"/>
                <w:szCs w:val="1"/>
                <w:color w:val="auto"/>
              </w:rPr>
            </w:pPr>
          </w:p>
        </w:tc>
      </w:tr>
      <w:tr>
        <w:trPr>
          <w:trHeight w:val="88"/>
        </w:trPr>
        <w:tc>
          <w:tcPr>
            <w:tcW w:w="216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024000" TargetMode="External"/><Relationship Id="rId12"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2019-12-16T08:30:45Z</dcterms:created>
  <dcterms:modified xsi:type="dcterms:W3CDTF">2019-12-16T08:30:45Z</dcterms:modified>
</cp:coreProperties>
</file>