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66056.xml.htm"/>
      <w:bookmarkStart w:id="1" w:name="kswkform4_17885660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Leite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Chief Commercial Off</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128,344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satisfy the Reporting Person's tax withholding obligations in connection with the vesting of certain restricted stock units on September 2, 2026 and does not represent a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1536"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3287</Characters>
  <CharactersWithSpaces>3821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