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GORDON KEVIN 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8, 2021 or immediately prior to the Company's next annual meeting of stockholders, if earlier. In addition, the option vests in full in the event of a change in control of the Company.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3"/>
          <w:szCs w:val="33"/>
          <w:color w:val="0000FF"/>
          <w:vertAlign w:val="subscript"/>
        </w:rPr>
        <w:t>06/09/2020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48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2020-06-09T15:50:53Z</dcterms:created>
  <dcterms:modified xsi:type="dcterms:W3CDTF">2020-06-09T15:50:53Z</dcterms:modified>
</cp:coreProperties>
</file>