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May 1, 2018</w:t>
      </w:r>
    </w:p>
    <w:p>
      <w:pPr>
        <w:spacing w:after="0" w:line="15" w:lineRule="exact"/>
        <w:rPr>
          <w:sz w:val="24"/>
          <w:szCs w:val="24"/>
          <w:color w:val="auto"/>
        </w:rPr>
      </w:pPr>
    </w:p>
    <w:p>
      <w:pPr>
        <w:ind w:left="838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UNITED STATES SECURITIES AND EXCHANGE COMMISSION</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UNDER</w:t>
      </w:r>
    </w:p>
    <w:p>
      <w:pPr>
        <w:jc w:val="center"/>
        <w:ind w:right="-99"/>
        <w:spacing w:after="0" w:line="238" w:lineRule="auto"/>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VERACYTE, INC.</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340"/>
          </w:cols>
          <w:pgMar w:left="240" w:top="862" w:right="319" w:bottom="1440" w:gutter="0" w:footer="0" w:header="0"/>
        </w:sectPr>
      </w:pPr>
    </w:p>
    <w:p>
      <w:pPr>
        <w:spacing w:after="0" w:line="200" w:lineRule="exact"/>
        <w:rPr>
          <w:sz w:val="24"/>
          <w:szCs w:val="24"/>
          <w:color w:val="auto"/>
        </w:rPr>
      </w:pPr>
    </w:p>
    <w:p>
      <w:pPr>
        <w:spacing w:after="0" w:line="342"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20-5455398</w:t>
      </w:r>
    </w:p>
    <w:p>
      <w:pPr>
        <w:spacing w:after="0" w:line="63" w:lineRule="exact"/>
        <w:rPr>
          <w:sz w:val="24"/>
          <w:szCs w:val="24"/>
          <w:color w:val="auto"/>
        </w:rPr>
      </w:pPr>
    </w:p>
    <w:p>
      <w:pPr>
        <w:sectPr>
          <w:pgSz w:w="11900" w:h="16838" w:orient="portrait"/>
          <w:cols w:equalWidth="0" w:num="2">
            <w:col w:w="7360" w:space="720"/>
            <w:col w:w="3260"/>
          </w:cols>
          <w:pgMar w:left="240" w:top="862" w:right="31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4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Times New Roman" w:cs="Times New Roman" w:eastAsia="Times New Roman" w:hAnsi="Times New Roman"/>
          <w:sz w:val="14"/>
          <w:szCs w:val="14"/>
          <w:color w:val="auto"/>
        </w:rPr>
        <w:t>(I.R.S. Employer</w:t>
      </w:r>
    </w:p>
    <w:p>
      <w:pPr>
        <w:spacing w:after="0" w:line="42"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188" w:lineRule="exact"/>
        <w:rPr>
          <w:sz w:val="24"/>
          <w:szCs w:val="24"/>
          <w:color w:val="auto"/>
        </w:rPr>
      </w:pPr>
    </w:p>
    <w:p>
      <w:pPr>
        <w:sectPr>
          <w:pgSz w:w="11900" w:h="16838" w:orient="portrait"/>
          <w:cols w:equalWidth="0" w:num="2">
            <w:col w:w="7140" w:space="720"/>
            <w:col w:w="3480"/>
          </w:cols>
          <w:pgMar w:left="240" w:top="862" w:right="3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6000 Shoreline Court, Suite 300</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South San Francisco, CA 94080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(650) 243-6300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38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Bonnie H. Anderson</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Veracyte, Inc.</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6000 Shoreline Court, Suite 300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South San Francisco, CA 94080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(650) 243-6300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Copies to:</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Douglas N. Cogen, Esq.</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Robert A. Freedman, Esq.</w:t>
      </w:r>
    </w:p>
    <w:p>
      <w:pPr>
        <w:spacing w:after="0" w:line="1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Fenwick &amp; West LLP</w:t>
      </w:r>
    </w:p>
    <w:p>
      <w:pPr>
        <w:spacing w:after="0" w:line="55"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4"/>
          <w:szCs w:val="14"/>
          <w:color w:val="auto"/>
        </w:rPr>
        <w:t>555 California Street</w:t>
      </w:r>
    </w:p>
    <w:p>
      <w:pPr>
        <w:spacing w:after="0" w:line="1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4"/>
          <w:szCs w:val="14"/>
          <w:color w:val="auto"/>
        </w:rPr>
        <w:t>San Francisco, California 94014</w:t>
      </w:r>
    </w:p>
    <w:p>
      <w:pPr>
        <w:ind w:left="5260"/>
        <w:spacing w:after="0"/>
        <w:rPr>
          <w:sz w:val="20"/>
          <w:szCs w:val="20"/>
          <w:color w:val="auto"/>
        </w:rPr>
      </w:pPr>
      <w:r>
        <w:rPr>
          <w:rFonts w:ascii="Times New Roman" w:cs="Times New Roman" w:eastAsia="Times New Roman" w:hAnsi="Times New Roman"/>
          <w:sz w:val="14"/>
          <w:szCs w:val="14"/>
          <w:color w:val="auto"/>
        </w:rPr>
        <w:t>(415) 875-2300</w:t>
      </w:r>
    </w:p>
    <w:p>
      <w:pPr>
        <w:spacing w:after="0" w:line="2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From time to time after this registration statement becomes effective, as determined by market conditions and other factors.</w:t>
      </w:r>
    </w:p>
    <w:p>
      <w:pPr>
        <w:spacing w:after="0" w:line="15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only securities being registered on this form are being offered pursuant to dividend or interest reinvestment plans, please check the following</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box.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 plans, check the following box. x</w:t>
      </w:r>
    </w:p>
    <w:p>
      <w:pPr>
        <w:sectPr>
          <w:pgSz w:w="11900" w:h="16838" w:orient="portrait"/>
          <w:cols w:equalWidth="0" w:num="1">
            <w:col w:w="11340"/>
          </w:cols>
          <w:pgMar w:left="240" w:top="862" w:right="319" w:bottom="1440" w:gutter="0" w:footer="0" w:header="0"/>
          <w:type w:val="continuous"/>
        </w:sectPr>
      </w:pPr>
    </w:p>
    <w:bookmarkStart w:id="1" w:name="page2"/>
    <w:bookmarkEnd w:id="1"/>
    <w:p>
      <w:pPr>
        <w:ind w:right="18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9" w:lineRule="exact"/>
        <w:rPr>
          <w:sz w:val="20"/>
          <w:szCs w:val="20"/>
          <w:color w:val="auto"/>
        </w:rPr>
      </w:pPr>
    </w:p>
    <w:p>
      <w:pPr>
        <w:ind w:right="10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9" w:lineRule="exact"/>
        <w:rPr>
          <w:sz w:val="20"/>
          <w:szCs w:val="20"/>
          <w:color w:val="auto"/>
        </w:rPr>
      </w:pPr>
    </w:p>
    <w:p>
      <w:pPr>
        <w:ind w:right="28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9" w:lineRule="exact"/>
        <w:rPr>
          <w:sz w:val="20"/>
          <w:szCs w:val="20"/>
          <w:color w:val="auto"/>
        </w:rPr>
      </w:pPr>
    </w:p>
    <w:p>
      <w:pPr>
        <w:ind w:right="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(Check one):</w:t>
      </w:r>
    </w:p>
    <w:p>
      <w:pPr>
        <w:sectPr>
          <w:pgSz w:w="11900" w:h="16838" w:orient="portrait"/>
          <w:cols w:equalWidth="0" w:num="1">
            <w:col w:w="11420"/>
          </w:cols>
          <w:pgMar w:left="240" w:top="364" w:right="239" w:bottom="1440" w:gutter="0" w:footer="0" w:header="0"/>
        </w:sectPr>
      </w:pPr>
    </w:p>
    <w:p>
      <w:pPr>
        <w:spacing w:after="0" w:line="32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Large accelerated filer o</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 x</w:t>
      </w:r>
    </w:p>
    <w:p>
      <w:pPr>
        <w:spacing w:after="0" w:line="200" w:lineRule="exact"/>
        <w:rPr>
          <w:sz w:val="20"/>
          <w:szCs w:val="20"/>
          <w:color w:val="auto"/>
        </w:rPr>
      </w:pPr>
    </w:p>
    <w:p>
      <w:pPr>
        <w:sectPr>
          <w:pgSz w:w="11900" w:h="16838" w:orient="portrait"/>
          <w:cols w:equalWidth="0" w:num="2">
            <w:col w:w="7900" w:space="720"/>
            <w:col w:w="2800"/>
          </w:cols>
          <w:pgMar w:left="240" w:top="364" w:right="239" w:bottom="1440" w:gutter="0" w:footer="0" w:header="0"/>
          <w:type w:val="continuous"/>
        </w:sectPr>
      </w:pPr>
    </w:p>
    <w:p>
      <w:pPr>
        <w:spacing w:after="0" w:line="4"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4"/>
          <w:szCs w:val="14"/>
          <w:color w:val="auto"/>
        </w:rPr>
        <w:t>Non-accelerated filer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 o</w:t>
      </w:r>
    </w:p>
    <w:p>
      <w:pPr>
        <w:spacing w:after="0" w:line="190" w:lineRule="exact"/>
        <w:rPr>
          <w:sz w:val="20"/>
          <w:szCs w:val="20"/>
          <w:color w:val="auto"/>
        </w:rPr>
      </w:pPr>
    </w:p>
    <w:p>
      <w:pPr>
        <w:sectPr>
          <w:pgSz w:w="11900" w:h="16838" w:orient="portrait"/>
          <w:cols w:equalWidth="0" w:num="3">
            <w:col w:w="3660" w:space="720"/>
            <w:col w:w="3220" w:space="720"/>
            <w:col w:w="3100"/>
          </w:cols>
          <w:pgMar w:left="240" w:top="364" w:right="239" w:bottom="1440" w:gutter="0" w:footer="0" w:header="0"/>
          <w:type w:val="continuous"/>
        </w:sectPr>
      </w:pPr>
    </w:p>
    <w:p>
      <w:pPr>
        <w:ind w:left="8320"/>
        <w:spacing w:after="0"/>
        <w:rPr>
          <w:sz w:val="20"/>
          <w:szCs w:val="20"/>
          <w:color w:val="auto"/>
        </w:rPr>
      </w:pPr>
      <w:r>
        <w:rPr>
          <w:rFonts w:ascii="Times New Roman" w:cs="Times New Roman" w:eastAsia="Times New Roman" w:hAnsi="Times New Roman"/>
          <w:sz w:val="14"/>
          <w:szCs w:val="14"/>
          <w:color w:val="auto"/>
        </w:rPr>
        <w:t>Emerging growth company x</w:t>
      </w:r>
    </w:p>
    <w:p>
      <w:pPr>
        <w:sectPr>
          <w:pgSz w:w="11900" w:h="16838" w:orient="portrait"/>
          <w:cols w:equalWidth="0" w:num="1">
            <w:col w:w="11420"/>
          </w:cols>
          <w:pgMar w:left="240" w:top="364" w:right="239" w:bottom="1440" w:gutter="0" w:footer="0" w:header="0"/>
          <w:type w:val="continuous"/>
        </w:sectPr>
      </w:pPr>
    </w:p>
    <w:p>
      <w:pPr>
        <w:spacing w:after="0" w:line="23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6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7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Amount to be</w:t>
            </w:r>
          </w:p>
        </w:tc>
        <w:tc>
          <w:tcPr>
            <w:tcW w:w="18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Aggregate Offering</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Offering</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38"/>
        </w:trPr>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Title of Each Class of Securities to be Registered</w:t>
            </w:r>
          </w:p>
        </w:tc>
        <w:tc>
          <w:tcPr>
            <w:tcW w:w="17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Registered(1)(2)</w:t>
            </w:r>
          </w:p>
        </w:tc>
        <w:tc>
          <w:tcPr>
            <w:tcW w:w="18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Price Per Security(3)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Price(3)</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Registration Fee(4)</w:t>
            </w:r>
          </w:p>
        </w:tc>
      </w:tr>
      <w:tr>
        <w:trPr>
          <w:trHeight w:val="27"/>
        </w:trPr>
        <w:tc>
          <w:tcPr>
            <w:tcW w:w="4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par value $0.001 per share</w:t>
            </w:r>
          </w:p>
        </w:tc>
        <w:tc>
          <w:tcPr>
            <w:tcW w:w="1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1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1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Subscription Rights</w:t>
            </w:r>
          </w:p>
        </w:tc>
        <w:tc>
          <w:tcPr>
            <w:tcW w:w="1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Units</w:t>
            </w:r>
          </w:p>
        </w:tc>
        <w:tc>
          <w:tcPr>
            <w:tcW w:w="1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$125,000,000</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$15,562.50</w:t>
            </w:r>
          </w:p>
        </w:tc>
      </w:tr>
      <w:tr>
        <w:trPr>
          <w:trHeight w:val="27"/>
        </w:trPr>
        <w:tc>
          <w:tcPr>
            <w:tcW w:w="4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right="60" w:hanging="652"/>
        <w:spacing w:after="0" w:line="253" w:lineRule="auto"/>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being registered hereunder an indeterminate number of shares of (a) common stock, (b) preferred stock, (c) debt securities, (d) warrants to purchase common stock, preferred stock or debt securities of the Registrant, (e) subscription rights to purchase common stock, preferred stock or debt securities of the Registrant, and (f) units, consisting of some or all of these securities in any combination, as may be sold from time to time by the Registrant. Any securities registered hereunder may be sold separately or as units with other securities registered hereunder. There are also being registered hereunder an indeterminate number of shares of common stock, preferred stock and debt securities as shall be issuable upon conversion, exchange or exercise of any securities that provide for such issuance. In no event will the aggregate offering price of all types of securities issued by the Registrant pursuant to this registration statement exceed $125,000,000.</w:t>
      </w:r>
    </w:p>
    <w:p>
      <w:pPr>
        <w:spacing w:after="0" w:line="78" w:lineRule="exact"/>
        <w:rPr>
          <w:rFonts w:ascii="Times New Roman" w:cs="Times New Roman" w:eastAsia="Times New Roman" w:hAnsi="Times New Roman"/>
          <w:sz w:val="16"/>
          <w:szCs w:val="16"/>
          <w:color w:val="auto"/>
        </w:rPr>
      </w:pPr>
    </w:p>
    <w:p>
      <w:pPr>
        <w:ind w:left="660" w:right="60" w:hanging="652"/>
        <w:spacing w:after="0" w:line="281" w:lineRule="auto"/>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 under the Securities Act, this registration statement also covers any additional securities that may be offered or issued as a result of stock splits, stock dividends, or similar transactions.</w:t>
      </w:r>
    </w:p>
    <w:p>
      <w:pPr>
        <w:spacing w:after="0" w:line="122"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specified as to each class of securities to be registered pursuant to General Instruction II.D. of Form S-3.</w:t>
      </w:r>
    </w:p>
    <w:p>
      <w:pPr>
        <w:spacing w:after="0" w:line="180"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in accordance with Rule 457(o) under the Securities Act.</w:t>
      </w:r>
    </w:p>
    <w:p>
      <w:pPr>
        <w:spacing w:after="0" w:line="105"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420"/>
          </w:cols>
          <w:pgMar w:left="240" w:top="364" w:right="239" w:bottom="1440" w:gutter="0" w:footer="0" w:header="0"/>
          <w:type w:val="continuous"/>
        </w:sectPr>
      </w:pPr>
    </w:p>
    <w:bookmarkStart w:id="2" w:name="page3"/>
    <w:bookmarkEnd w:id="2"/>
    <w:p>
      <w:pPr>
        <w:ind w:right="40"/>
        <w:spacing w:after="0" w:line="266" w:lineRule="auto"/>
        <w:rPr>
          <w:sz w:val="20"/>
          <w:szCs w:val="20"/>
          <w:color w:val="auto"/>
        </w:rPr>
      </w:pPr>
      <w:r>
        <w:rPr>
          <w:rFonts w:ascii="Times New Roman" w:cs="Times New Roman" w:eastAsia="Times New Roman" w:hAnsi="Times New Roman"/>
          <w:sz w:val="18"/>
          <w:szCs w:val="18"/>
          <w:color w:val="FF4040"/>
        </w:rPr>
        <w:t>The information in this prospectus is not complete and may be changed. We may not sell any of these securities until the registration statement filed with Securities and Exchange Commission is effective. This prospectus is not an offer to sell these securities and is not soliciting an offer to buy these securities in any jurisdiction where the offer or sale is not permitted.</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4040"/>
        </w:rPr>
        <w:t>Subject To Completion, Dated May 1, 2018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88265</wp:posOffset>
            </wp:positionV>
            <wp:extent cx="3027045" cy="960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704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Preferred Stock,</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Debt Securities, Warrants,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Subscription Rights and Units</w:t>
      </w:r>
    </w:p>
    <w:p>
      <w:pPr>
        <w:spacing w:after="0" w:line="20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The aggregate initial offering price of all securities sold under this prospectus will not exceed $125,000,000.</w:t>
      </w:r>
    </w:p>
    <w:p>
      <w:pPr>
        <w:spacing w:after="0" w:line="7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will specify in an accompanying prospectus supplement more specific information about any such offering. This prospectus may not be used to sell any of these securities unless accompanied by the applicable prospectus supplement.</w:t>
      </w:r>
    </w:p>
    <w:p>
      <w:pPr>
        <w:spacing w:after="0" w:line="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“VCYT.” On April 30, 2018, the last reported sale price of our common stock on The Nasdaq Global Market was $6.06 per share. None of the other securities we may offer are currently traded on any securities exchange. The applicable prospectus supplement and any related free writing prospectus will contain information, where applicable, as to any other listing on The Nasdaq Global Market or any securities market or exchange of the securities covered by the prospectus supplement and any related free writing prospectus.</w:t>
      </w:r>
    </w:p>
    <w:p>
      <w:pPr>
        <w:spacing w:after="0" w:line="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section entitled “Risk Factors” on page 3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6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8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2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5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date of this prospectus is , 2018.</w:t>
      </w:r>
    </w:p>
    <w:p>
      <w:pPr>
        <w:sectPr>
          <w:pgSz w:w="11900" w:h="16838" w:orient="portrait"/>
          <w:cols w:equalWidth="0" w:num="1">
            <w:col w:w="11400"/>
          </w:cols>
          <w:pgMar w:left="240" w:top="756" w:right="25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51"/>
        </w:trPr>
        <w:tc>
          <w:tcPr>
            <w:tcW w:w="4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50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60" w:type="dxa"/>
            <w:vAlign w:val="bottom"/>
            <w:tcBorders>
              <w:bottom w:val="single" w:sz="8" w:color="00000A"/>
            </w:tcBorders>
          </w:tcPr>
          <w:p>
            <w:pPr>
              <w:spacing w:after="0"/>
              <w:rPr>
                <w:sz w:val="24"/>
                <w:szCs w:val="24"/>
                <w:color w:val="auto"/>
              </w:rPr>
            </w:pPr>
          </w:p>
        </w:tc>
        <w:tc>
          <w:tcPr>
            <w:tcW w:w="50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6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480" w:type="dxa"/>
            <w:vAlign w:val="bottom"/>
            <w:tcBorders>
              <w:bottom w:val="single" w:sz="8" w:color="00000A"/>
            </w:tcBorders>
          </w:tcPr>
          <w:p>
            <w:pPr>
              <w:spacing w:after="0"/>
              <w:rPr>
                <w:sz w:val="24"/>
                <w:szCs w:val="24"/>
                <w:color w:val="auto"/>
              </w:rPr>
            </w:pPr>
          </w:p>
        </w:tc>
        <w:tc>
          <w:tcPr>
            <w:tcW w:w="8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ABOUT THIS PROSPECTUS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60" w:type="dxa"/>
            <w:vAlign w:val="bottom"/>
            <w:tcBorders>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PROSPECTUS SUMMARY</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60" w:type="dxa"/>
            <w:vAlign w:val="bottom"/>
            <w:tcBorders>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RATIO OF EARNINGS TO FIXED CHARGES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6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RISK FACTORS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60" w:type="dxa"/>
            <w:vAlign w:val="bottom"/>
            <w:tcBorders>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FORWARD-LOOKING STATEMENTS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6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USE OF PROCEEDS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60" w:type="dxa"/>
            <w:vAlign w:val="bottom"/>
            <w:tcBorders>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DESCRIPTION OF COMMON STOCK</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6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DESCRIPTION OF PREFERRED STOCK</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6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9">
              <w:r>
                <w:rPr>
                  <w:rFonts w:ascii="Times New Roman" w:cs="Times New Roman" w:eastAsia="Times New Roman" w:hAnsi="Times New Roman"/>
                  <w:sz w:val="18"/>
                  <w:szCs w:val="18"/>
                  <w:b w:val="1"/>
                  <w:bCs w:val="1"/>
                  <w:color w:val="0000EE"/>
                </w:rPr>
                <w:t>DESCRIPTION OF DEBT SECURITIES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6</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6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5">
              <w:r>
                <w:rPr>
                  <w:rFonts w:ascii="Times New Roman" w:cs="Times New Roman" w:eastAsia="Times New Roman" w:hAnsi="Times New Roman"/>
                  <w:sz w:val="18"/>
                  <w:szCs w:val="18"/>
                  <w:b w:val="1"/>
                  <w:bCs w:val="1"/>
                  <w:color w:val="0000EE"/>
                </w:rPr>
                <w:t>DESCRIPTION OF WARRANTS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12</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60" w:type="dxa"/>
            <w:vAlign w:val="bottom"/>
            <w:tcBorders>
              <w:top w:val="single" w:sz="8" w:color="0000EE"/>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6">
              <w:r>
                <w:rPr>
                  <w:rFonts w:ascii="Times New Roman" w:cs="Times New Roman" w:eastAsia="Times New Roman" w:hAnsi="Times New Roman"/>
                  <w:sz w:val="18"/>
                  <w:szCs w:val="18"/>
                  <w:b w:val="1"/>
                  <w:bCs w:val="1"/>
                  <w:color w:val="0000EE"/>
                </w:rPr>
                <w:t>DESCRIPTION OF SUBSCRIPTION RIGHTS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6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7">
              <w:r>
                <w:rPr>
                  <w:rFonts w:ascii="Times New Roman" w:cs="Times New Roman" w:eastAsia="Times New Roman" w:hAnsi="Times New Roman"/>
                  <w:sz w:val="18"/>
                  <w:szCs w:val="18"/>
                  <w:b w:val="1"/>
                  <w:bCs w:val="1"/>
                  <w:color w:val="0000EE"/>
                </w:rPr>
                <w:t>DESCRIPTION OF UNITS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60" w:type="dxa"/>
            <w:vAlign w:val="bottom"/>
            <w:tcBorders>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7">
              <w:r>
                <w:rPr>
                  <w:rFonts w:ascii="Times New Roman" w:cs="Times New Roman" w:eastAsia="Times New Roman" w:hAnsi="Times New Roman"/>
                  <w:sz w:val="18"/>
                  <w:szCs w:val="18"/>
                  <w:b w:val="1"/>
                  <w:bCs w:val="1"/>
                  <w:color w:val="0000EE"/>
                </w:rPr>
                <w:t>PLAN OF DISTRIBUTION</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60" w:type="dxa"/>
            <w:vAlign w:val="bottom"/>
            <w:tcBorders>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LEGAL MATTERS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60" w:type="dxa"/>
            <w:vAlign w:val="bottom"/>
            <w:tcBorders>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EXPERTS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60" w:type="dxa"/>
            <w:vAlign w:val="bottom"/>
            <w:tcBorders>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WHERE YOU CAN FIND MORE INFORMATION</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6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8"/>
          </w:tcPr>
          <w:p>
            <w:pPr>
              <w:spacing w:after="0" w:line="196" w:lineRule="exact"/>
              <w:rPr>
                <w:rFonts w:ascii="Times New Roman" w:cs="Times New Roman" w:eastAsia="Times New Roman" w:hAnsi="Times New Roman"/>
                <w:sz w:val="18"/>
                <w:szCs w:val="18"/>
                <w:b w:val="1"/>
                <w:bCs w:val="1"/>
                <w:color w:val="0000EE"/>
                <w:w w:val="99"/>
              </w:rPr>
            </w:pPr>
            <w:hyperlink w:anchor="page18">
              <w:r>
                <w:rPr>
                  <w:rFonts w:ascii="Times New Roman" w:cs="Times New Roman" w:eastAsia="Times New Roman" w:hAnsi="Times New Roman"/>
                  <w:sz w:val="18"/>
                  <w:szCs w:val="18"/>
                  <w:b w:val="1"/>
                  <w:bCs w:val="1"/>
                  <w:color w:val="0000EE"/>
                  <w:w w:val="99"/>
                </w:rPr>
                <w:t>INCORPORATION OF INFORMATION BY REFERENCE</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6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640" w:type="dxa"/>
            <w:vAlign w:val="bottom"/>
            <w:tcBorders>
              <w:top w:val="single" w:sz="8" w:color="0000EE"/>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40"/>
          </w:cols>
          <w:pgMar w:left="240" w:top="752" w:right="2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31"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up to a maximum aggregate offering price of $125,000,000.</w:t>
      </w:r>
    </w:p>
    <w:p>
      <w:pPr>
        <w:spacing w:after="0" w:line="7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29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4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7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and the accompanying prospectus supplement to “Veracyte,” the “company,” “we,” “us” and “our” refer to Veracyte, Inc.</w:t>
      </w:r>
    </w:p>
    <w:p>
      <w:pPr>
        <w:spacing w:after="0" w:line="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Veracyte, the Veracyte logo, Afirma, Percepta, Envisia and our other registered or common law trademarks, service marks, or trade names appearing in this prospectus are the property of Veracyte, Inc.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We are a leading genomic diagnostics company that provides trustworthy and actionable answers that fundamentally improve patient care when current diagnostic test results are uncertain. Our products uniquely combine genomic technology, clinical science and machine learning to provide answers that give physicians and patients a clear path forward without risky, costly surgery that is often unnecessary. Our vision is to lead a transformation of diagnostics with a new genomic standard of truth, providing answers that illuminate the pathway to health. Our goal is to drive stockholder value by improving patient outcomes and reducing the cost of healthcare.</w:t>
      </w:r>
    </w:p>
    <w:p>
      <w:pPr>
        <w:spacing w:after="0" w:line="143"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Since our founding in 2008, we have commercialized three genomic classifiers that we believe are transforming diagnostics: the next-generation Afirma Genomic Sequencing Classifier, and its predecessor, the Afirma Gene Expression Classifier, for thyroid cancer; the Percepta Bronchial Genomic Classifier for lung cancer; and the Envisia Genomic Classifier for idiopathic pulmonary fibrosis. Collectively, we believe these three tests address a $2 billion global market opportunity. Patients typically access our tests through their physician during the diagnostic process. All of our testing services are made available through our clinical reference laboratories located in San Francisco, California and Austin, Texas, which are each certified under the Clinical Laboratory Improvement Amendments of 1988.</w:t>
      </w:r>
    </w:p>
    <w:p>
      <w:pPr>
        <w:spacing w:after="0" w:line="14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the company to set new standards in genomic test reimbursement. Our Afirma genomic classifier is now covered by every major health plan in the United States, covering more than 275 million people, for use in thyroid cancer diagnosis. It is available as an in-network, contracted offering</w:t>
      </w:r>
    </w:p>
    <w:p>
      <w:pPr>
        <w:spacing w:after="0" w:line="31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5" w:name="page6"/>
    <w:bookmarkEnd w:id="5"/>
    <w:p>
      <w:pPr>
        <w:ind w:right="280"/>
        <w:spacing w:after="0" w:line="282" w:lineRule="auto"/>
        <w:rPr>
          <w:sz w:val="20"/>
          <w:szCs w:val="20"/>
          <w:color w:val="auto"/>
        </w:rPr>
      </w:pPr>
      <w:r>
        <w:rPr>
          <w:rFonts w:ascii="Times New Roman" w:cs="Times New Roman" w:eastAsia="Times New Roman" w:hAnsi="Times New Roman"/>
          <w:sz w:val="18"/>
          <w:szCs w:val="18"/>
          <w:color w:val="auto"/>
        </w:rPr>
        <w:t>to more than 175 million people nationwide through their insurers. Our second commercial product, the Percepta classifier, is the first genomic test to gain Medicare coverage for improved lung cancer screening and diagnosis, making it a covered benefit for more than 60 million people.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31" w:lineRule="exact"/>
        <w:rPr>
          <w:sz w:val="20"/>
          <w:szCs w:val="20"/>
          <w:color w:val="auto"/>
        </w:rPr>
      </w:pPr>
    </w:p>
    <w:p>
      <w:pPr>
        <w:ind w:right="300" w:firstLine="648"/>
        <w:spacing w:after="0" w:line="255" w:lineRule="auto"/>
        <w:rPr>
          <w:sz w:val="20"/>
          <w:szCs w:val="20"/>
          <w:color w:val="auto"/>
        </w:rPr>
      </w:pPr>
      <w:r>
        <w:rPr>
          <w:rFonts w:ascii="Times New Roman" w:cs="Times New Roman" w:eastAsia="Times New Roman" w:hAnsi="Times New Roman"/>
          <w:sz w:val="18"/>
          <w:szCs w:val="18"/>
          <w:color w:val="auto"/>
        </w:rPr>
        <w:t>The ratio of earnings to fixed charges for each of the periods indicated are set forth in the following table. Our earnings were insufficient to cover fixed charges for each of those periods. For the periods indicated, we had no outstanding shares of preferred stock with required dividend payments. Therefore, earnings were insufficient to cover combined fixed charges and preferred stock dividends by the same amounts referenced in footnote 1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920" w:type="dxa"/>
            <w:vAlign w:val="bottom"/>
          </w:tcPr>
          <w:p>
            <w:pPr>
              <w:ind w:left="300"/>
              <w:spacing w:after="0" w:line="181" w:lineRule="exact"/>
              <w:rPr>
                <w:sz w:val="20"/>
                <w:szCs w:val="20"/>
                <w:color w:val="auto"/>
              </w:rPr>
            </w:pPr>
            <w:r>
              <w:rPr>
                <w:rFonts w:ascii="Times New Roman" w:cs="Times New Roman" w:eastAsia="Times New Roman" w:hAnsi="Times New Roman"/>
                <w:sz w:val="16"/>
                <w:szCs w:val="16"/>
                <w:b w:val="1"/>
                <w:bCs w:val="1"/>
                <w:color w:val="auto"/>
              </w:rPr>
              <w:t>2013</w:t>
            </w:r>
          </w:p>
        </w:tc>
        <w:tc>
          <w:tcPr>
            <w:tcW w:w="920" w:type="dxa"/>
            <w:vAlign w:val="bottom"/>
          </w:tcPr>
          <w:p>
            <w:pPr>
              <w:ind w:left="300"/>
              <w:spacing w:after="0" w:line="181" w:lineRule="exact"/>
              <w:rPr>
                <w:sz w:val="20"/>
                <w:szCs w:val="20"/>
                <w:color w:val="auto"/>
              </w:rPr>
            </w:pPr>
            <w:r>
              <w:rPr>
                <w:rFonts w:ascii="Times New Roman" w:cs="Times New Roman" w:eastAsia="Times New Roman" w:hAnsi="Times New Roman"/>
                <w:sz w:val="16"/>
                <w:szCs w:val="16"/>
                <w:b w:val="1"/>
                <w:bCs w:val="1"/>
                <w:color w:val="auto"/>
              </w:rPr>
              <w:t>2014</w:t>
            </w:r>
          </w:p>
        </w:tc>
        <w:tc>
          <w:tcPr>
            <w:tcW w:w="9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2015</w:t>
            </w:r>
          </w:p>
        </w:tc>
        <w:tc>
          <w:tcPr>
            <w:tcW w:w="900" w:type="dxa"/>
            <w:vAlign w:val="bottom"/>
          </w:tcPr>
          <w:p>
            <w:pPr>
              <w:ind w:left="280"/>
              <w:spacing w:after="0" w:line="181" w:lineRule="exact"/>
              <w:rPr>
                <w:sz w:val="20"/>
                <w:szCs w:val="20"/>
                <w:color w:val="auto"/>
              </w:rPr>
            </w:pPr>
            <w:r>
              <w:rPr>
                <w:rFonts w:ascii="Times New Roman" w:cs="Times New Roman" w:eastAsia="Times New Roman" w:hAnsi="Times New Roman"/>
                <w:sz w:val="16"/>
                <w:szCs w:val="16"/>
                <w:b w:val="1"/>
                <w:bCs w:val="1"/>
                <w:color w:val="auto"/>
              </w:rPr>
              <w:t>2016</w:t>
            </w:r>
          </w:p>
        </w:tc>
        <w:tc>
          <w:tcPr>
            <w:tcW w:w="900" w:type="dxa"/>
            <w:vAlign w:val="bottom"/>
          </w:tcPr>
          <w:p>
            <w:pPr>
              <w:ind w:left="300"/>
              <w:spacing w:after="0" w:line="181" w:lineRule="exact"/>
              <w:rPr>
                <w:sz w:val="20"/>
                <w:szCs w:val="20"/>
                <w:color w:val="auto"/>
              </w:rPr>
            </w:pPr>
            <w:r>
              <w:rPr>
                <w:rFonts w:ascii="Times New Roman" w:cs="Times New Roman" w:eastAsia="Times New Roman" w:hAnsi="Times New Roman"/>
                <w:sz w:val="16"/>
                <w:szCs w:val="16"/>
                <w:b w:val="1"/>
                <w:bCs w:val="1"/>
                <w:color w:val="auto"/>
              </w:rPr>
              <w:t>2017</w:t>
            </w: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6D9F1"/>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6D9F1"/>
          </w:tcPr>
          <w:p>
            <w:pPr>
              <w:ind w:left="840"/>
              <w:spacing w:after="0"/>
              <w:rPr>
                <w:sz w:val="20"/>
                <w:szCs w:val="20"/>
                <w:color w:val="auto"/>
              </w:rPr>
            </w:pPr>
            <w:r>
              <w:rPr>
                <w:rFonts w:ascii="Times New Roman" w:cs="Times New Roman" w:eastAsia="Times New Roman" w:hAnsi="Times New Roman"/>
                <w:sz w:val="16"/>
                <w:szCs w:val="16"/>
                <w:color w:val="auto"/>
              </w:rPr>
              <w:t>Ratio of earnings to fixed charges(1)(2)</w:t>
            </w:r>
          </w:p>
        </w:tc>
        <w:tc>
          <w:tcPr>
            <w:tcW w:w="920" w:type="dxa"/>
            <w:vAlign w:val="bottom"/>
            <w:shd w:val="clear" w:color="auto" w:fill="C6D9F1"/>
          </w:tcPr>
          <w:p>
            <w:pPr>
              <w:ind w:left="340"/>
              <w:spacing w:after="0"/>
              <w:rPr>
                <w:sz w:val="20"/>
                <w:szCs w:val="20"/>
                <w:color w:val="auto"/>
              </w:rPr>
            </w:pPr>
            <w:r>
              <w:rPr>
                <w:rFonts w:ascii="Times New Roman" w:cs="Times New Roman" w:eastAsia="Times New Roman" w:hAnsi="Times New Roman"/>
                <w:sz w:val="16"/>
                <w:szCs w:val="16"/>
                <w:color w:val="auto"/>
              </w:rPr>
              <w:t>NM</w:t>
            </w:r>
          </w:p>
        </w:tc>
        <w:tc>
          <w:tcPr>
            <w:tcW w:w="920" w:type="dxa"/>
            <w:vAlign w:val="bottom"/>
            <w:shd w:val="clear" w:color="auto" w:fill="C6D9F1"/>
          </w:tcPr>
          <w:p>
            <w:pPr>
              <w:ind w:left="340"/>
              <w:spacing w:after="0"/>
              <w:rPr>
                <w:sz w:val="20"/>
                <w:szCs w:val="20"/>
                <w:color w:val="auto"/>
              </w:rPr>
            </w:pPr>
            <w:r>
              <w:rPr>
                <w:rFonts w:ascii="Times New Roman" w:cs="Times New Roman" w:eastAsia="Times New Roman" w:hAnsi="Times New Roman"/>
                <w:sz w:val="16"/>
                <w:szCs w:val="16"/>
                <w:color w:val="auto"/>
              </w:rPr>
              <w:t>NM</w:t>
            </w:r>
          </w:p>
        </w:tc>
        <w:tc>
          <w:tcPr>
            <w:tcW w:w="920" w:type="dxa"/>
            <w:vAlign w:val="bottom"/>
            <w:shd w:val="clear" w:color="auto" w:fill="C6D9F1"/>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900" w:type="dxa"/>
            <w:vAlign w:val="bottom"/>
            <w:shd w:val="clear" w:color="auto" w:fill="C6D9F1"/>
          </w:tcPr>
          <w:p>
            <w:pPr>
              <w:ind w:left="320"/>
              <w:spacing w:after="0"/>
              <w:rPr>
                <w:sz w:val="20"/>
                <w:szCs w:val="20"/>
                <w:color w:val="auto"/>
              </w:rPr>
            </w:pPr>
            <w:r>
              <w:rPr>
                <w:rFonts w:ascii="Times New Roman" w:cs="Times New Roman" w:eastAsia="Times New Roman" w:hAnsi="Times New Roman"/>
                <w:sz w:val="16"/>
                <w:szCs w:val="16"/>
                <w:color w:val="auto"/>
              </w:rPr>
              <w:t>NM</w:t>
            </w:r>
          </w:p>
        </w:tc>
        <w:tc>
          <w:tcPr>
            <w:tcW w:w="900" w:type="dxa"/>
            <w:vAlign w:val="bottom"/>
            <w:shd w:val="clear" w:color="auto" w:fill="C6D9F1"/>
          </w:tcPr>
          <w:p>
            <w:pPr>
              <w:ind w:left="320"/>
              <w:spacing w:after="0"/>
              <w:rPr>
                <w:sz w:val="20"/>
                <w:szCs w:val="20"/>
                <w:color w:val="auto"/>
              </w:rPr>
            </w:pPr>
            <w:r>
              <w:rPr>
                <w:rFonts w:ascii="Times New Roman" w:cs="Times New Roman" w:eastAsia="Times New Roman" w:hAnsi="Times New Roman"/>
                <w:sz w:val="16"/>
                <w:szCs w:val="16"/>
                <w:color w:val="auto"/>
              </w:rPr>
              <w:t>NM</w:t>
            </w:r>
          </w:p>
        </w:tc>
        <w:tc>
          <w:tcPr>
            <w:tcW w:w="1940" w:type="dxa"/>
            <w:vAlign w:val="bottom"/>
            <w:shd w:val="clear" w:color="auto" w:fill="C6D9F1"/>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492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940" w:type="dxa"/>
            <w:vAlign w:val="bottom"/>
            <w:shd w:val="clear" w:color="auto" w:fill="C6D9F1"/>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291465</wp:posOffset>
            </wp:positionV>
            <wp:extent cx="182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60" w:right="100" w:hanging="652"/>
        <w:spacing w:after="0" w:line="255" w:lineRule="auto"/>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earnings to fixed charges is computed by dividing loss before taxes plus fixed charges by fixed charges. Fixed charges consist of interest expense (including interest expense from capital leases), debt financing expense, end-of-term debt obligation and prepayment penalty expense and the estimated portion of rental expense deemed by us to be representative of the interest factor of rental payments under operating leases. Earnings were insufficient to cover fixed charges by approximately $25.6 million, $29.4 million, $33.7 million, $31.4 million, $31.0 million and $9.2 million for the years ended December 31, 2013, 2014, 2015, 2016 and 2017 and the three months ended March 31, 2018, respectively.</w:t>
      </w:r>
    </w:p>
    <w:p>
      <w:pPr>
        <w:spacing w:after="0" w:line="193"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2018,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18"/>
          <w:szCs w:val="18"/>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81"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3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3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intend to use the net proceeds from the sale of the securities offered by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31"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7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have 125,000,000 shares of authorized common stock. As of March 31, 2018, there were 34,326,808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r>
        <w:rPr>
          <w:rFonts w:ascii="Times New Roman" w:cs="Times New Roman" w:eastAsia="Times New Roman" w:hAnsi="Times New Roman"/>
          <w:sz w:val="18"/>
          <w:szCs w:val="18"/>
          <w:color w:val="auto"/>
        </w:rPr>
        <w:t>. Our restated certificate of incorporation and amended and restated bylaws include provisions that:</w:t>
      </w:r>
    </w:p>
    <w:p>
      <w:pPr>
        <w:spacing w:after="0" w:line="11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 shares of undesignated preferred stock;</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84"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576" w:right="259" w:bottom="1440" w:gutter="0" w:footer="0" w:header="0"/>
        </w:sectPr>
      </w:pPr>
    </w:p>
    <w:bookmarkStart w:id="7" w:name="page8"/>
    <w:bookmarkEnd w:id="7"/>
    <w:p>
      <w:pPr>
        <w:ind w:right="5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Delaware Law</w:t>
      </w:r>
      <w:r>
        <w:rPr>
          <w:rFonts w:ascii="Times New Roman" w:cs="Times New Roman" w:eastAsia="Times New Roman" w:hAnsi="Times New Roman"/>
          <w:sz w:val="18"/>
          <w:szCs w:val="18"/>
          <w:color w:val="auto"/>
        </w:rPr>
        <w:t>. We are subject to the provisions of Section 203 of the General Corporation Law of the State of Delaware regulating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67"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of the corporation before the date the interested stockholder attained that status;</w:t>
      </w:r>
    </w:p>
    <w:p>
      <w:pPr>
        <w:spacing w:after="0" w:line="184" w:lineRule="exact"/>
        <w:rPr>
          <w:rFonts w:ascii="Times New Roman" w:cs="Times New Roman" w:eastAsia="Times New Roman" w:hAnsi="Times New Roman"/>
          <w:sz w:val="18"/>
          <w:szCs w:val="18"/>
          <w:color w:val="auto"/>
        </w:rPr>
      </w:pPr>
    </w:p>
    <w:p>
      <w:pPr>
        <w:ind w:left="980" w:right="60" w:hanging="324"/>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4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defines “business combination” to include the following:</w:t>
      </w:r>
    </w:p>
    <w:p>
      <w:pPr>
        <w:spacing w:after="0" w:line="117"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84"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2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2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21"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5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Inc.</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2018,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78" w:lineRule="exact"/>
        <w:rPr>
          <w:sz w:val="20"/>
          <w:szCs w:val="20"/>
          <w:color w:val="auto"/>
        </w:rPr>
      </w:pPr>
    </w:p>
    <w:p>
      <w:pPr>
        <w:ind w:left="1160" w:hanging="50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designation of each series and the number of shares that will constitute the series;</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shares of the series and the terms and conditions of the voting rights;</w:t>
      </w:r>
    </w:p>
    <w:p>
      <w:pPr>
        <w:spacing w:after="0" w:line="184"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121"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and the terms and conditions on which, the shares of the series may be redeemed, if the shares are redeemable;</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2" w:right="239" w:bottom="1440" w:gutter="0" w:footer="0" w:header="0"/>
        </w:sectPr>
      </w:pPr>
    </w:p>
    <w:bookmarkStart w:id="8" w:name="page9"/>
    <w:bookmarkEnd w:id="8"/>
    <w:p>
      <w:pPr>
        <w:ind w:left="1160" w:hanging="504"/>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sinking or purchase fund for the purchase or redemption of shares of the series, if such a fund is provided;</w:t>
      </w:r>
    </w:p>
    <w:p>
      <w:pPr>
        <w:spacing w:after="0" w:line="18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preferential amount payable upon shares of the series in the event of the liquidation, dissolution or winding up of, or upon the distribution of any of our assets; and</w:t>
      </w:r>
    </w:p>
    <w:p>
      <w:pPr>
        <w:spacing w:after="0" w:line="12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general terms of the debt securities.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72" w:lineRule="exact"/>
        <w:rPr>
          <w:sz w:val="20"/>
          <w:szCs w:val="20"/>
          <w:color w:val="auto"/>
        </w:rPr>
      </w:pPr>
    </w:p>
    <w:p>
      <w:pPr>
        <w:ind w:right="1360" w:firstLine="648"/>
        <w:spacing w:after="0" w:line="375" w:lineRule="auto"/>
        <w:rPr>
          <w:sz w:val="20"/>
          <w:szCs w:val="20"/>
          <w:color w:val="auto"/>
        </w:rPr>
      </w:pPr>
      <w:r>
        <w:rPr>
          <w:rFonts w:ascii="Times New Roman" w:cs="Times New Roman" w:eastAsia="Times New Roman" w:hAnsi="Times New Roman"/>
          <w:sz w:val="18"/>
          <w:szCs w:val="18"/>
          <w:color w:val="auto"/>
        </w:rPr>
        <w:t xml:space="preserve">As used in this section only, “we,” “us” and “our” refer to Veracyte, Inc., unless expressly stated or the context otherwise requires. </w:t>
      </w:r>
      <w:r>
        <w:rPr>
          <w:rFonts w:ascii="Times New Roman" w:cs="Times New Roman" w:eastAsia="Times New Roman" w:hAnsi="Times New Roman"/>
          <w:sz w:val="18"/>
          <w:szCs w:val="18"/>
          <w:b w:val="1"/>
          <w:bCs w:val="1"/>
          <w:color w:val="auto"/>
        </w:rPr>
        <w:t>General Terms of the Indenture</w:t>
      </w:r>
    </w:p>
    <w:p>
      <w:pPr>
        <w:spacing w:after="0" w:line="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5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is payable;</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dates from which interest, if any, on the debt securities of that series will accrue, and the dates when interest is payable and the maturity;</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the extensions;</w:t>
      </w:r>
    </w:p>
    <w:p>
      <w:pPr>
        <w:spacing w:after="0" w:line="184"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3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36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364" w:right="259" w:bottom="1440" w:gutter="0" w:footer="0" w:header="0"/>
        </w:sectPr>
      </w:pPr>
    </w:p>
    <w:bookmarkStart w:id="9" w:name="page10"/>
    <w:bookmarkEnd w:id="9"/>
    <w:p>
      <w:pPr>
        <w:ind w:left="980" w:right="6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121"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13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our other debt;</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those debt securities will be issuable, if other than denominations of $1,000 or any integral multiple of that number;</w:t>
      </w:r>
    </w:p>
    <w:p>
      <w:pPr>
        <w:spacing w:after="0" w:line="184"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12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securities of that series are to be issued in whole or in part in the form of one or more global securities and the depositary for those global securities;</w:t>
      </w:r>
    </w:p>
    <w:p>
      <w:pPr>
        <w:spacing w:after="0" w:line="12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13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of default and covenants relating to the debt securities that are in addition to, modify or delete those described in this prospectus;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provisions, if any, including conversion or exchange prices or rates and adjustments thereto;</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 if different from the provisions set forth in the indenture;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security for any secured debt securities;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applicable to any debt securities issued at a discount from their stated principal amount</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indenture;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any debt securities.</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7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38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364"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89"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54"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our ability or the ability of any holder to convert or exchange the debt securities;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8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will be “events of default” under the indenture with respect to any series of debt securities:</w:t>
      </w:r>
    </w:p>
    <w:p>
      <w:pPr>
        <w:spacing w:after="0" w:line="54"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for 30 days after the date payment is due and payable;</w:t>
      </w:r>
    </w:p>
    <w:p>
      <w:pPr>
        <w:spacing w:after="0" w:line="184"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sinking fund payments when due and continuance of such default for a period of 30 days;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other covenants for 60 days after notice that performance was required;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in bankruptcy, insolvency or reorganization relating to us; or</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in the applicable officer’s certificate, resolution of our board of directors or the supplemental indenture under which we issue a series of debt securities.</w:t>
      </w:r>
    </w:p>
    <w:p>
      <w:pPr>
        <w:spacing w:after="0" w:line="121"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6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3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0" w:right="239" w:bottom="1440" w:gutter="0" w:footer="0" w:header="0"/>
        </w:sectPr>
      </w:pPr>
    </w:p>
    <w:bookmarkStart w:id="11" w:name="page12"/>
    <w:bookmarkEnd w:id="11"/>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54"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default and continuance of such default;</w:t>
      </w:r>
    </w:p>
    <w:p>
      <w:pPr>
        <w:spacing w:after="0" w:line="184"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the affected series have requested that the trustee institute the action;</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for the reasonable expenses and liabilities that may be incurred by bringing the action;</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the request and offer of indemnity; and</w:t>
      </w:r>
    </w:p>
    <w:p>
      <w:pPr>
        <w:spacing w:after="0" w:line="18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inconsistent direction by the holders of a majority in principal amount of the outstanding debt securities of the affected series.</w:t>
      </w:r>
    </w:p>
    <w:p>
      <w:pPr>
        <w:spacing w:after="0" w:line="12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 discharge or decrease our obligations under the indenture as stated below.</w:t>
      </w:r>
    </w:p>
    <w:p>
      <w:pPr>
        <w:spacing w:after="0" w:line="11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72" w:lineRule="exact"/>
        <w:rPr>
          <w:sz w:val="20"/>
          <w:szCs w:val="20"/>
          <w:color w:val="auto"/>
        </w:rPr>
      </w:pPr>
    </w:p>
    <w:p>
      <w:pPr>
        <w:ind w:left="980" w:right="1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135"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4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6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provides that we and the trustee may enter into supplemental indentures without the consent of the holders of debt securities to, among other things:</w:t>
      </w:r>
    </w:p>
    <w:p>
      <w:pPr>
        <w:spacing w:after="0" w:line="54"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assumption by a successor entity of our obligations;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for the benefit of the holders of debt securities, or to surrender any rights or power conferred upon us;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364" w:right="259" w:bottom="1440" w:gutter="0" w:footer="0" w:header="0"/>
        </w:sectPr>
      </w:pPr>
    </w:p>
    <w:bookmarkStart w:id="12" w:name="page13"/>
    <w:bookmarkEnd w:id="12"/>
    <w:p>
      <w:pPr>
        <w:ind w:left="980" w:right="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or secure any debt securities;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forms or terms of debt securities of any series;</w:t>
      </w:r>
    </w:p>
    <w:p>
      <w:pPr>
        <w:spacing w:after="0" w:line="184"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inconsistency or defect in the indenture;</w:t>
      </w:r>
    </w:p>
    <w:p>
      <w:pPr>
        <w:spacing w:after="0" w:line="184"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3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3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7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final maturity of any debt security;</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premium, if any;</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of payment of interest;</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principal of any debt security issued with an original issue discount that is payable upon acceleration;</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principal, and any premium or interest, is payable;</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any debt security when due;</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adversely affect the right of a holder to convert or exchange a debt security; or</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68" w:lineRule="exact"/>
        <w:rPr>
          <w:sz w:val="20"/>
          <w:szCs w:val="20"/>
          <w:color w:val="auto"/>
        </w:rPr>
      </w:pPr>
    </w:p>
    <w:p>
      <w:pPr>
        <w:ind w:left="1160" w:hanging="504"/>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premium and any interest on, or principal of, any such debt security held by a nonconsenting holder; or</w:t>
      </w:r>
    </w:p>
    <w:p>
      <w:pPr>
        <w:spacing w:after="0" w:line="184"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respect of a covenant or provision of the indenture that cannot be modified or amended without the consent of the holder of each outstanding debt security of each series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 and Book Entry System</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76"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registered global security may not be transferred except as a whole:</w:t>
      </w:r>
    </w:p>
    <w:p>
      <w:pPr>
        <w:spacing w:after="0" w:line="29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364" w:right="259" w:bottom="1440" w:gutter="0" w:footer="0" w:header="0"/>
        </w:sectPr>
      </w:pPr>
    </w:p>
    <w:bookmarkStart w:id="13" w:name="page14"/>
    <w:bookmarkEnd w:id="13"/>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for the registered global security to its nominee;</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nominee of the depositary to the depositary or another nominee of the depositary; or</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its nominee to a successor of the depositary or a nominee of the successor.</w:t>
      </w:r>
    </w:p>
    <w:p>
      <w:pPr>
        <w:spacing w:after="0" w:line="18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68" w:lineRule="exact"/>
        <w:rPr>
          <w:sz w:val="20"/>
          <w:szCs w:val="20"/>
          <w:color w:val="auto"/>
        </w:rPr>
      </w:pPr>
    </w:p>
    <w:p>
      <w:pPr>
        <w:ind w:left="980" w:right="420" w:hanging="324"/>
        <w:spacing w:after="0" w:line="282" w:lineRule="auto"/>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12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135"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dealers, underwriters, or agents participating in the distribution of the debt securities will designate the accounts to be credited; and</w:t>
      </w:r>
    </w:p>
    <w:p>
      <w:pPr>
        <w:spacing w:after="0" w:line="184"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5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68" w:lineRule="exact"/>
        <w:rPr>
          <w:sz w:val="20"/>
          <w:szCs w:val="20"/>
          <w:color w:val="auto"/>
        </w:rPr>
      </w:pPr>
    </w:p>
    <w:p>
      <w:pPr>
        <w:ind w:left="1160" w:hanging="504"/>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represented by a registered global security registered in their names;</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the debt securities in the definitive form; and</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securities under the relevant indenture.</w:t>
      </w:r>
    </w:p>
    <w:p>
      <w:pPr>
        <w:spacing w:after="0" w:line="18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6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7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3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364" w:right="259" w:bottom="1440" w:gutter="0" w:footer="0" w:header="0"/>
        </w:sectPr>
      </w:pPr>
    </w:p>
    <w:bookmarkStart w:id="14" w:name="page15"/>
    <w:bookmarkEnd w:id="14"/>
    <w:p>
      <w:pPr>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6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31"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6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particular issue of warrants will describe the terms of the warrants, including, as applicable, the following:</w:t>
      </w:r>
    </w:p>
    <w:p>
      <w:pPr>
        <w:spacing w:after="0" w:line="54"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terms and number of shares of common stock, preferred stock or debt securities purchasable upon exercise of the warrants;</w:t>
      </w:r>
    </w:p>
    <w:p>
      <w:pPr>
        <w:spacing w:after="0" w:line="184"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offered securities, if any, with which the warrants are issued and the number of the warrants issued with each offered security;</w:t>
      </w:r>
    </w:p>
    <w:p>
      <w:pPr>
        <w:spacing w:after="0" w:line="36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364" w:right="259" w:bottom="1440" w:gutter="0" w:footer="0" w:header="0"/>
        </w:sectPr>
      </w:pPr>
    </w:p>
    <w:bookmarkStart w:id="15" w:name="page16"/>
    <w:bookmarkEnd w:id="15"/>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common stock, preferred stock or debt securities will be separately transferable;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share of common stock, preferred stock or debt securities purchasable upon exercise of the warrants may be purchased;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shall commence and the date on which that right shall expire;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the warrants which may be exercised at any one time;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18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31"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78"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7"/>
          <w:szCs w:val="17"/>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30"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subscription rights;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subscription rights distribution;</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subscription rights;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subscription rights issued;</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subscription rights will be separately transferable;</w:t>
      </w:r>
    </w:p>
    <w:p>
      <w:pPr>
        <w:spacing w:after="0" w:line="184"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subscription right to exercise the subscription rights will commence and the date on which the subscription right will expire; and</w:t>
      </w:r>
    </w:p>
    <w:p>
      <w:pPr>
        <w:spacing w:after="0" w:line="12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terms, procedures and limitations relating to the distribution, exchange and exercise of the subscription rights.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7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3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364" w:right="2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3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78"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from the sale;</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compensation to underwriters, dealers or agents;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84"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offered in the prospectus supplement may be listed.</w:t>
      </w:r>
    </w:p>
    <w:p>
      <w:pPr>
        <w:spacing w:after="0" w:line="18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Only those underwriters identified in such prospectus supplement are deemed to be underwriters in connection with the securities offered in the prospectus supplement. 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7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will provide in the applicable prospectus supplement information regarding any underwriting discounts or other compensation that we pay to underwriters or agents in connection with the securities offering, and any discounts, concessions or commissions that underwriters allow to dealers. Underwriters, dealers and agents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3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900" w:right="239" w:bottom="1440" w:gutter="0" w:footer="0" w:header="0"/>
        </w:sectPr>
      </w:pPr>
    </w:p>
    <w:bookmarkStart w:id="17" w:name="page18"/>
    <w:bookmarkEnd w:id="17"/>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31"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2017,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3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8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31"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8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2017, filed with the SEC on February 27, 2018;</w:t>
      </w:r>
    </w:p>
    <w:p>
      <w:pPr>
        <w:spacing w:after="0" w:line="184"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specifically incorporated by reference into our Annual Report on Form 10-K for the year ended December 31, 2017 from our definitive proxy statement on Schedule 14A, which was filed with the SEC on April 19, 2018;</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March 31, 2018, filed with the SEC on May 1, 2018;</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4" w:right="239" w:bottom="1440" w:gutter="0" w:footer="0" w:header="0"/>
        </w:sectPr>
      </w:pPr>
    </w:p>
    <w:bookmarkStart w:id="18" w:name="page19"/>
    <w:bookmarkEnd w:id="18"/>
    <w:p>
      <w:pPr>
        <w:ind w:left="980" w:right="30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January 8, 2018 (only the portion disclosed pursuant to Item 8.01) and February 28, 2018; and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on October 28, 2013, including any amendment or report filed for the purpose of updating such description.</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under the terms of Section 13(a), 13(c), 14 or 15(d) of the Exchange Act that are made after the initial filing date of the registration statement of which this prospectus is a part and the effectiveness of the registration statement, as well as between the date of this prospectus and the termination of any offering of securities offered by this prospectus. We are not, however, incorporating, in each case, any documents or information that we are deemed to furnish and not file in accordance with SEC rules.</w:t>
      </w:r>
    </w:p>
    <w:p>
      <w:pPr>
        <w:spacing w:after="0" w:line="14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3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364" w:right="279" w:bottom="1440" w:gutter="0" w:footer="0" w:header="0"/>
        </w:sectPr>
      </w:pPr>
    </w:p>
    <w:bookmarkStart w:id="19" w:name="page20"/>
    <w:bookmarkEnd w:id="19"/>
    <w:p>
      <w:pPr>
        <w:ind w:left="53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9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statement of estimated expenses in connection with the issuance and distribution of the securities being registered, other than underwriting discounts and commissions.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Fee(1)</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15,562.50</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19,250.00</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and Trustee Fees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80" w:type="dxa"/>
            <w:vAlign w:val="bottom"/>
            <w:vMerge w:val="continue"/>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These fees are calculated based on the securities offered and the number of issuances and, accordingly, cannot be estimated at this time.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w:t>
      </w:r>
    </w:p>
    <w:p>
      <w:pPr>
        <w:spacing w:after="0" w:line="3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certificate of incorporation contains provisions that eliminate the personal liability of its directors for monetary damages for any breach of fiduciary duties as a director, except liability for the following:</w:t>
      </w:r>
    </w:p>
    <w:p>
      <w:pPr>
        <w:spacing w:after="0" w:line="12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(regarding unlawful dividends and stock purchases);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the Delaware General Corporation Law, the Registrant’s amended and restated bylaws provide that:</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executive officers to the fullest extent permitted by the Delaware General Corporation Law, subject to very limited exceptions;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Delaware General Corporation Law;</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executive officers in connection with a legal proceeding to the fullest extent permitted by the Delaware General Corporation Law, subject to very limited exceptions;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amended and restated bylaws are not exclusive.</w:t>
      </w:r>
    </w:p>
    <w:p>
      <w:pPr>
        <w:spacing w:after="0" w:line="347"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amended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amended and restated bylaws and the indemnification agreements entered into between the Registrant and each of its directors and executive officers may be sufficiently broad to permit indemnification of the Registrant’s directors and executive officers for liabilities arising under the Securities Act of 1933.</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00"/>
          </w:cols>
          <w:pgMar w:left="240" w:top="752"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16. Exhibits.</w:t>
            </w: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6"/>
        </w:trPr>
        <w:tc>
          <w:tcPr>
            <w:tcW w:w="4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5"/>
              </w:rPr>
              <w:t>1.1*</w:t>
            </w:r>
          </w:p>
        </w:tc>
        <w:tc>
          <w:tcPr>
            <w:tcW w:w="1620" w:type="dxa"/>
            <w:vAlign w:val="bottom"/>
          </w:tcPr>
          <w:p>
            <w:pPr>
              <w:spacing w:after="0"/>
              <w:rPr>
                <w:sz w:val="20"/>
                <w:szCs w:val="20"/>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30"/>
        </w:trPr>
        <w:tc>
          <w:tcPr>
            <w:tcW w:w="260" w:type="dxa"/>
            <w:vAlign w:val="bottom"/>
            <w:gridSpan w:val="2"/>
          </w:tcPr>
          <w:p>
            <w:pPr>
              <w:ind w:left="40"/>
              <w:spacing w:after="0"/>
              <w:rPr>
                <w:rFonts w:ascii="Times New Roman" w:cs="Times New Roman" w:eastAsia="Times New Roman" w:hAnsi="Times New Roman"/>
                <w:sz w:val="18"/>
                <w:szCs w:val="18"/>
                <w:color w:val="0000FF"/>
                <w:w w:val="88"/>
              </w:rPr>
            </w:pPr>
            <w:hyperlink r:id="rId13">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1</w:t>
              </w:r>
            </w:hyperlink>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20" w:type="dxa"/>
            <w:vAlign w:val="bottom"/>
            <w:gridSpan w:val="12"/>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Restated Certificate of Incorporation (incorporated by reference to Exhibit 3.1 of the Registrant’s Current Report on Form 8-K</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filed November 8, 2013 (No. 001-36156)).</w:t>
              </w:r>
            </w:hyperlink>
          </w:p>
        </w:tc>
        <w:tc>
          <w:tcPr>
            <w:tcW w:w="6040" w:type="dxa"/>
            <w:vAlign w:val="bottom"/>
            <w:tcBorders>
              <w:top w:val="single" w:sz="8" w:color="0000FF"/>
            </w:tcBorders>
            <w:gridSpan w:val="5"/>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250"/>
        </w:trPr>
        <w:tc>
          <w:tcPr>
            <w:tcW w:w="260" w:type="dxa"/>
            <w:vAlign w:val="bottom"/>
            <w:gridSpan w:val="2"/>
          </w:tcPr>
          <w:p>
            <w:pPr>
              <w:ind w:left="40"/>
              <w:spacing w:after="0"/>
              <w:rPr>
                <w:rFonts w:ascii="Times New Roman" w:cs="Times New Roman" w:eastAsia="Times New Roman" w:hAnsi="Times New Roman"/>
                <w:sz w:val="18"/>
                <w:szCs w:val="18"/>
                <w:color w:val="0000FF"/>
                <w:w w:val="88"/>
              </w:rPr>
            </w:pPr>
            <w:hyperlink r:id="rId14">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hyperlink>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420" w:type="dxa"/>
            <w:vAlign w:val="bottom"/>
            <w:gridSpan w:val="12"/>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Amended and Restated Bylaws (incorporated by reference to Exhibit 3.2 of the Registrant’s Current Report on Form 8-K filed</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10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November 8, 2013 (No. 001-36156)).</w:t>
              </w:r>
            </w:hyperlink>
          </w:p>
        </w:tc>
        <w:tc>
          <w:tcPr>
            <w:tcW w:w="320" w:type="dxa"/>
            <w:vAlign w:val="bottom"/>
            <w:gridSpan w:val="3"/>
          </w:tcPr>
          <w:p>
            <w:pPr>
              <w:spacing w:after="0"/>
              <w:rPr>
                <w:sz w:val="17"/>
                <w:szCs w:val="17"/>
                <w:color w:val="auto"/>
              </w:rPr>
            </w:pPr>
          </w:p>
        </w:tc>
      </w:tr>
      <w:tr>
        <w:trPr>
          <w:trHeight w:val="25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Form of Indenture.</w:t>
            </w:r>
          </w:p>
        </w:tc>
        <w:tc>
          <w:tcPr>
            <w:tcW w:w="6720" w:type="dxa"/>
            <w:vAlign w:val="bottom"/>
            <w:gridSpan w:val="8"/>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5"/>
              </w:rPr>
              <w:t>4.2*</w:t>
            </w:r>
          </w:p>
        </w:tc>
        <w:tc>
          <w:tcPr>
            <w:tcW w:w="162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270"/>
        </w:trPr>
        <w:tc>
          <w:tcPr>
            <w:tcW w:w="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5"/>
              </w:rPr>
              <w:t>4.3*</w:t>
            </w:r>
          </w:p>
        </w:tc>
        <w:tc>
          <w:tcPr>
            <w:tcW w:w="1620" w:type="dxa"/>
            <w:vAlign w:val="bottom"/>
          </w:tcPr>
          <w:p>
            <w:pPr>
              <w:spacing w:after="0"/>
              <w:rPr>
                <w:sz w:val="23"/>
                <w:szCs w:val="23"/>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Warrant Agreement and Warrant Certificate.</w:t>
            </w:r>
          </w:p>
        </w:tc>
      </w:tr>
      <w:tr>
        <w:trPr>
          <w:trHeight w:val="270"/>
        </w:trPr>
        <w:tc>
          <w:tcPr>
            <w:tcW w:w="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5"/>
              </w:rPr>
              <w:t>4.4*</w:t>
            </w:r>
          </w:p>
        </w:tc>
        <w:tc>
          <w:tcPr>
            <w:tcW w:w="1620" w:type="dxa"/>
            <w:vAlign w:val="bottom"/>
          </w:tcPr>
          <w:p>
            <w:pPr>
              <w:spacing w:after="0"/>
              <w:rPr>
                <w:sz w:val="23"/>
                <w:szCs w:val="23"/>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Specimen Preferred Stock Certificate.</w:t>
            </w:r>
          </w:p>
        </w:tc>
      </w:tr>
      <w:tr>
        <w:trPr>
          <w:trHeight w:val="270"/>
        </w:trPr>
        <w:tc>
          <w:tcPr>
            <w:tcW w:w="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5"/>
              </w:rPr>
              <w:t>4.5*</w:t>
            </w:r>
          </w:p>
        </w:tc>
        <w:tc>
          <w:tcPr>
            <w:tcW w:w="1620" w:type="dxa"/>
            <w:vAlign w:val="bottom"/>
          </w:tcPr>
          <w:p>
            <w:pPr>
              <w:spacing w:after="0"/>
              <w:rPr>
                <w:sz w:val="23"/>
                <w:szCs w:val="23"/>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Subscription Rights Agreement and Subscription Rights Certificate.</w:t>
            </w:r>
          </w:p>
        </w:tc>
      </w:tr>
      <w:tr>
        <w:trPr>
          <w:trHeight w:val="270"/>
        </w:trPr>
        <w:tc>
          <w:tcPr>
            <w:tcW w:w="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5"/>
              </w:rPr>
              <w:t>4.6*</w:t>
            </w:r>
          </w:p>
        </w:tc>
        <w:tc>
          <w:tcPr>
            <w:tcW w:w="1620" w:type="dxa"/>
            <w:vAlign w:val="bottom"/>
          </w:tcPr>
          <w:p>
            <w:pPr>
              <w:spacing w:after="0"/>
              <w:rPr>
                <w:sz w:val="23"/>
                <w:szCs w:val="23"/>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Unit Agreement and Unit Certificate.</w:t>
            </w:r>
          </w:p>
        </w:tc>
      </w:tr>
      <w:tr>
        <w:trPr>
          <w:trHeight w:val="230"/>
        </w:trPr>
        <w:tc>
          <w:tcPr>
            <w:tcW w:w="260" w:type="dxa"/>
            <w:vAlign w:val="bottom"/>
            <w:gridSpan w:val="2"/>
          </w:tcPr>
          <w:p>
            <w:pPr>
              <w:ind w:left="40"/>
              <w:spacing w:after="0"/>
              <w:rPr>
                <w:rFonts w:ascii="Times New Roman" w:cs="Times New Roman" w:eastAsia="Times New Roman" w:hAnsi="Times New Roman"/>
                <w:sz w:val="18"/>
                <w:szCs w:val="18"/>
                <w:color w:val="0000FF"/>
                <w:w w:val="88"/>
              </w:rPr>
            </w:pPr>
            <w:hyperlink r:id="rId15">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7</w:t>
              </w:r>
            </w:hyperlink>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20" w:type="dxa"/>
            <w:vAlign w:val="bottom"/>
            <w:gridSpan w:val="12"/>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Specimen Common Stock Certificate (incorporated by reference to Exhibit 4.1 to the Registrant’s Registration Statement on Form</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38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S-1/A (File No. 333-191282)).</w:t>
              </w:r>
            </w:hyperlink>
          </w:p>
        </w:tc>
        <w:tc>
          <w:tcPr>
            <w:tcW w:w="4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r>
      <w:tr>
        <w:trPr>
          <w:trHeight w:val="25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w w:val="88"/>
              </w:rPr>
              <w:t>5.</w:t>
            </w:r>
            <w:r>
              <w:rPr>
                <w:rFonts w:ascii="Times New Roman" w:cs="Times New Roman" w:eastAsia="Times New Roman" w:hAnsi="Times New Roman"/>
                <w:sz w:val="18"/>
                <w:szCs w:val="18"/>
                <w:u w:val="single" w:color="auto"/>
                <w:color w:val="0000FF"/>
                <w:w w:val="88"/>
              </w:rPr>
              <w:t>1</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Opinion of Fenwick &amp; West LLP.</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r>
      <w:tr>
        <w:trPr>
          <w:trHeight w:val="250"/>
        </w:trPr>
        <w:tc>
          <w:tcPr>
            <w:tcW w:w="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5"/>
              </w:rPr>
              <w:t>12.</w:t>
            </w:r>
            <w:r>
              <w:rPr>
                <w:rFonts w:ascii="Times New Roman" w:cs="Times New Roman" w:eastAsia="Times New Roman" w:hAnsi="Times New Roman"/>
                <w:sz w:val="18"/>
                <w:szCs w:val="18"/>
                <w:u w:val="single" w:color="auto"/>
                <w:color w:val="0000FF"/>
                <w:w w:val="95"/>
              </w:rPr>
              <w:t>1</w:t>
            </w:r>
          </w:p>
        </w:tc>
        <w:tc>
          <w:tcPr>
            <w:tcW w:w="1620" w:type="dxa"/>
            <w:vAlign w:val="bottom"/>
          </w:tcPr>
          <w:p>
            <w:pPr>
              <w:spacing w:after="0"/>
              <w:rPr>
                <w:sz w:val="21"/>
                <w:szCs w:val="21"/>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Statement Regarding Computation of Ratio of Earnings to Fixed Charges.</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r>
      <w:tr>
        <w:trPr>
          <w:trHeight w:val="250"/>
        </w:trPr>
        <w:tc>
          <w:tcPr>
            <w:tcW w:w="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620" w:type="dxa"/>
            <w:vAlign w:val="bottom"/>
          </w:tcPr>
          <w:p>
            <w:pPr>
              <w:spacing w:after="0"/>
              <w:rPr>
                <w:sz w:val="21"/>
                <w:szCs w:val="21"/>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Fenwick &amp; West LLP (included in Exhibit 5.1).</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r>
      <w:tr>
        <w:trPr>
          <w:trHeight w:val="250"/>
        </w:trPr>
        <w:tc>
          <w:tcPr>
            <w:tcW w:w="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3</w:t>
            </w:r>
          </w:p>
        </w:tc>
        <w:tc>
          <w:tcPr>
            <w:tcW w:w="1620" w:type="dxa"/>
            <w:vAlign w:val="bottom"/>
          </w:tcPr>
          <w:p>
            <w:pPr>
              <w:spacing w:after="0"/>
              <w:rPr>
                <w:sz w:val="21"/>
                <w:szCs w:val="21"/>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Times New Roman" w:cs="Times New Roman" w:eastAsia="Times New Roman" w:hAnsi="Times New Roman"/>
                <w:sz w:val="18"/>
                <w:szCs w:val="18"/>
                <w:color w:val="0000EE"/>
                <w:w w:val="95"/>
              </w:rPr>
            </w:pPr>
            <w:hyperlink w:anchor="page24">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hyperlink>
          </w:p>
        </w:tc>
        <w:tc>
          <w:tcPr>
            <w:tcW w:w="1620" w:type="dxa"/>
            <w:vAlign w:val="bottom"/>
          </w:tcPr>
          <w:p>
            <w:pPr>
              <w:spacing w:after="0"/>
              <w:rPr>
                <w:sz w:val="21"/>
                <w:szCs w:val="21"/>
                <w:color w:val="auto"/>
              </w:rPr>
            </w:pPr>
          </w:p>
        </w:tc>
        <w:tc>
          <w:tcPr>
            <w:tcW w:w="9420" w:type="dxa"/>
            <w:vAlign w:val="bottom"/>
            <w:gridSpan w:val="1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Power of Attorney (included on the signature page hereto).</w:t>
              </w:r>
            </w:hyperlink>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shd w:val="clear" w:color="auto" w:fill="0000EE"/>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r>
      <w:tr>
        <w:trPr>
          <w:trHeight w:val="291"/>
        </w:trPr>
        <w:tc>
          <w:tcPr>
            <w:tcW w:w="1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25.1+</w:t>
            </w: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under the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308610</wp:posOffset>
            </wp:positionV>
            <wp:extent cx="182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700" w:firstLine="8"/>
        <w:spacing w:after="0" w:line="282" w:lineRule="auto"/>
        <w:tabs>
          <w:tab w:leader="none" w:pos="10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pursuant to a report to be filed pursuant to Section 13 or 15(d) of the Securities Exchange Act of 1934, if applicable, and incorporated herein by reference. + To be filed in accordance with the requirements of Section 305(b)(2) of the Trust Indenture Act of 1939 and Rule 5b-3 thereunder.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1040" w:hanging="384"/>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660" w:firstLine="645"/>
        <w:spacing w:after="0" w:line="255" w:lineRule="auto"/>
        <w:tabs>
          <w:tab w:leader="none" w:pos="17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Times New Roman" w:cs="Times New Roman" w:eastAsia="Times New Roman" w:hAnsi="Times New Roman"/>
          <w:sz w:val="18"/>
          <w:szCs w:val="18"/>
          <w:color w:val="auto"/>
        </w:rPr>
      </w:pPr>
    </w:p>
    <w:p>
      <w:pPr>
        <w:ind w:left="660" w:right="220" w:firstLine="645"/>
        <w:spacing w:after="0" w:line="282" w:lineRule="auto"/>
        <w:tabs>
          <w:tab w:leader="none" w:pos="17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paragraphs (i), (ii) and (iii)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2" w:lineRule="exact"/>
        <w:rPr>
          <w:sz w:val="20"/>
          <w:szCs w:val="20"/>
          <w:color w:val="auto"/>
        </w:rPr>
      </w:pPr>
    </w:p>
    <w:p>
      <w:pPr>
        <w:ind w:firstLine="656"/>
        <w:spacing w:after="0" w:line="266" w:lineRule="auto"/>
        <w:tabs>
          <w:tab w:leader="none" w:pos="10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00"/>
          </w:cols>
          <w:pgMar w:left="240" w:top="1009" w:right="259" w:bottom="1440" w:gutter="0" w:footer="0" w:header="0"/>
        </w:sectPr>
      </w:pPr>
    </w:p>
    <w:bookmarkStart w:id="21" w:name="page22"/>
    <w:bookmarkEnd w:id="21"/>
    <w:p>
      <w:pPr>
        <w:ind w:left="-20" w:right="700" w:firstLine="656"/>
        <w:spacing w:after="0" w:line="282" w:lineRule="auto"/>
        <w:tabs>
          <w:tab w:leader="none" w:pos="10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640" w:right="320" w:firstLine="645"/>
        <w:spacing w:after="0" w:line="282" w:lineRule="auto"/>
        <w:tabs>
          <w:tab w:leader="none" w:pos="163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640" w:right="40" w:firstLine="645"/>
        <w:spacing w:after="0" w:line="253" w:lineRule="auto"/>
        <w:tabs>
          <w:tab w:leader="none" w:pos="168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4" w:lineRule="exact"/>
        <w:rPr>
          <w:rFonts w:ascii="Times New Roman" w:cs="Times New Roman" w:eastAsia="Times New Roman" w:hAnsi="Times New Roman"/>
          <w:sz w:val="18"/>
          <w:szCs w:val="18"/>
          <w:color w:val="auto"/>
        </w:rPr>
      </w:pPr>
    </w:p>
    <w:p>
      <w:pPr>
        <w:ind w:left="-20" w:right="40" w:firstLine="656"/>
        <w:spacing w:after="0" w:line="258" w:lineRule="auto"/>
        <w:tabs>
          <w:tab w:leader="none" w:pos="10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620" w:hanging="335"/>
        <w:spacing w:after="0"/>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98" w:lineRule="exact"/>
        <w:rPr>
          <w:rFonts w:ascii="Times New Roman" w:cs="Times New Roman" w:eastAsia="Times New Roman" w:hAnsi="Times New Roman"/>
          <w:sz w:val="18"/>
          <w:szCs w:val="18"/>
          <w:color w:val="auto"/>
        </w:rPr>
      </w:pPr>
    </w:p>
    <w:p>
      <w:pPr>
        <w:ind w:left="640" w:firstLine="645"/>
        <w:spacing w:after="0" w:line="282" w:lineRule="auto"/>
        <w:tabs>
          <w:tab w:leader="none" w:pos="167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640" w:right="560" w:firstLine="645"/>
        <w:spacing w:after="0" w:line="282" w:lineRule="auto"/>
        <w:tabs>
          <w:tab w:leader="none" w:pos="17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720" w:hanging="435"/>
        <w:spacing w:after="0"/>
        <w:tabs>
          <w:tab w:leader="none" w:pos="17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17" w:lineRule="exact"/>
        <w:rPr>
          <w:rFonts w:ascii="Times New Roman" w:cs="Times New Roman" w:eastAsia="Times New Roman" w:hAnsi="Times New Roman"/>
          <w:sz w:val="18"/>
          <w:szCs w:val="18"/>
          <w:color w:val="auto"/>
        </w:rPr>
      </w:pPr>
    </w:p>
    <w:p>
      <w:pPr>
        <w:ind w:left="-20" w:right="160" w:firstLine="656"/>
        <w:spacing w:after="0" w:line="258" w:lineRule="auto"/>
        <w:tabs>
          <w:tab w:leader="none" w:pos="10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8"/>
          <w:szCs w:val="18"/>
          <w:color w:val="auto"/>
        </w:rPr>
      </w:pPr>
    </w:p>
    <w:p>
      <w:pPr>
        <w:ind w:left="-20" w:right="40" w:firstLine="656"/>
        <w:spacing w:after="0" w:line="258" w:lineRule="auto"/>
        <w:tabs>
          <w:tab w:leader="none" w:pos="10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75" w:lineRule="exact"/>
        <w:rPr>
          <w:rFonts w:ascii="Times New Roman" w:cs="Times New Roman" w:eastAsia="Times New Roman" w:hAnsi="Times New Roman"/>
          <w:sz w:val="18"/>
          <w:szCs w:val="18"/>
          <w:color w:val="auto"/>
        </w:rPr>
      </w:pPr>
    </w:p>
    <w:p>
      <w:pPr>
        <w:ind w:left="-20" w:right="40" w:firstLine="656"/>
        <w:spacing w:after="0" w:line="255" w:lineRule="auto"/>
        <w:tabs>
          <w:tab w:leader="none" w:pos="10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7" w:lineRule="exact"/>
        <w:rPr>
          <w:rFonts w:ascii="Times New Roman" w:cs="Times New Roman" w:eastAsia="Times New Roman" w:hAnsi="Times New Roman"/>
          <w:sz w:val="18"/>
          <w:szCs w:val="18"/>
          <w:color w:val="auto"/>
        </w:rPr>
      </w:pPr>
    </w:p>
    <w:p>
      <w:pPr>
        <w:ind w:left="-20" w:right="680" w:firstLine="656"/>
        <w:spacing w:after="0" w:line="282" w:lineRule="auto"/>
        <w:tabs>
          <w:tab w:leader="none" w:pos="10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or the Act, in accordance with the rules and regulations prescribed by the Commission under Section 305(b)(2) of the Act.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00"/>
          </w:cols>
          <w:pgMar w:left="260" w:top="364" w:right="239" w:bottom="1440" w:gutter="0" w:footer="0" w:header="0"/>
        </w:sectPr>
      </w:pPr>
    </w:p>
    <w:bookmarkStart w:id="22" w:name="page23"/>
    <w:bookmarkEnd w:id="22"/>
    <w:p>
      <w:pPr>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Registrant hereby undertakes to supplement the prospectus, after the expiration of the subscription period (if any),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80"/>
          </w:cols>
          <w:pgMar w:left="240" w:top="364" w:right="2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this 1st day of May, 2018.</w:t>
      </w:r>
    </w:p>
    <w:p>
      <w:pPr>
        <w:spacing w:after="0" w:line="3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7" w:lineRule="exact"/>
        <w:rPr>
          <w:sz w:val="20"/>
          <w:szCs w:val="20"/>
          <w:color w:val="auto"/>
        </w:rPr>
      </w:pPr>
    </w:p>
    <w:p>
      <w:pPr>
        <w:ind w:left="608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2872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2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Bonnie H. Anderson and Keith Kennedy,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 in fact and agents or their substitute or substitutes may lawfully do or cause to be done by virtue hereof.</w:t>
      </w:r>
    </w:p>
    <w:p>
      <w:pPr>
        <w:spacing w:after="0" w:line="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566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9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BONNIE H. ANDERSON</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 (Principal Executive Officer)</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May 1, 2018</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Bonnie H. Anderson</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2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KEITH KENNEDY</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May 1, 2018</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Keith Kennedy</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2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JOHN L. BISHOP</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May 1, 2018</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L. Bishop</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2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FRED E. COHEN, M.D., D.PHIL.</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May 1, 2018</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Fred E. Cohen, M.D., D. Phil</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KARIN EASTHAM</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May 1, 2018</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Karin Eastham</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ROBERT S. EPSTEIN, M.D.,M.S.</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May 1, 2018</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S. Epstein, M.D., M.S</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KEVIN K. GORDON</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May 1, 2018</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K. Gordon</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EVAN JONES</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May 1, 2018</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Evan Jones</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TINA S. NOVA, PH.D.</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May 1, 2018</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Tina S. Nova, Ph. D.</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JESSE I. TREU, PH.D.</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May 1, 2018</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Jesse I. Treu, Ph.D.</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ectPr>
          <w:pgSz w:w="11900" w:h="16838" w:orient="portrait"/>
          <w:cols w:equalWidth="0" w:num="1">
            <w:col w:w="11400"/>
          </w:cols>
          <w:pgMar w:left="240" w:top="752" w:right="25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213360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i w:val="1"/>
          <w:i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770255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3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i w:val="1"/>
          <w:i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344805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636270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1073785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9240" w:type="dxa"/>
            <w:vAlign w:val="bottom"/>
            <w:gridSpan w:val="3"/>
          </w:tcPr>
          <w:p>
            <w:pPr>
              <w:jc w:val="center"/>
              <w:ind w:right="2108"/>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r>
      <w:tr>
        <w:trPr>
          <w:trHeight w:val="216"/>
        </w:trPr>
        <w:tc>
          <w:tcPr>
            <w:tcW w:w="2120" w:type="dxa"/>
            <w:vAlign w:val="bottom"/>
          </w:tcPr>
          <w:p>
            <w:pPr>
              <w:spacing w:after="0"/>
              <w:rPr>
                <w:sz w:val="18"/>
                <w:szCs w:val="18"/>
                <w:color w:val="auto"/>
              </w:rPr>
            </w:pPr>
          </w:p>
        </w:tc>
        <w:tc>
          <w:tcPr>
            <w:tcW w:w="9240" w:type="dxa"/>
            <w:vAlign w:val="bottom"/>
            <w:gridSpan w:val="3"/>
          </w:tcPr>
          <w:p>
            <w:pPr>
              <w:jc w:val="center"/>
              <w:ind w:right="2108"/>
              <w:spacing w:after="0"/>
              <w:rPr>
                <w:sz w:val="20"/>
                <w:szCs w:val="20"/>
                <w:color w:val="auto"/>
              </w:rPr>
            </w:pPr>
            <w:r>
              <w:rPr>
                <w:rFonts w:ascii="Times New Roman" w:cs="Times New Roman" w:eastAsia="Times New Roman" w:hAnsi="Times New Roman"/>
                <w:sz w:val="18"/>
                <w:szCs w:val="18"/>
                <w:b w:val="1"/>
                <w:bCs w:val="1"/>
                <w:color w:val="auto"/>
                <w:w w:val="99"/>
              </w:rPr>
              <w:t>Reconciliation and tie between Trust Indenture Act of 1939 and</w:t>
            </w:r>
          </w:p>
        </w:tc>
      </w:tr>
      <w:tr>
        <w:trPr>
          <w:trHeight w:val="238"/>
        </w:trPr>
        <w:tc>
          <w:tcPr>
            <w:tcW w:w="2120" w:type="dxa"/>
            <w:vAlign w:val="bottom"/>
          </w:tcPr>
          <w:p>
            <w:pPr>
              <w:spacing w:after="0"/>
              <w:rPr>
                <w:sz w:val="20"/>
                <w:szCs w:val="20"/>
                <w:color w:val="auto"/>
              </w:rPr>
            </w:pPr>
          </w:p>
        </w:tc>
        <w:tc>
          <w:tcPr>
            <w:tcW w:w="9240" w:type="dxa"/>
            <w:vAlign w:val="bottom"/>
            <w:gridSpan w:val="3"/>
          </w:tcPr>
          <w:p>
            <w:pPr>
              <w:jc w:val="center"/>
              <w:ind w:right="2088"/>
              <w:spacing w:after="0"/>
              <w:rPr>
                <w:sz w:val="20"/>
                <w:szCs w:val="20"/>
                <w:color w:val="auto"/>
              </w:rPr>
            </w:pPr>
            <w:r>
              <w:rPr>
                <w:rFonts w:ascii="Times New Roman" w:cs="Times New Roman" w:eastAsia="Times New Roman" w:hAnsi="Times New Roman"/>
                <w:sz w:val="18"/>
                <w:szCs w:val="18"/>
                <w:b w:val="1"/>
                <w:bCs w:val="1"/>
                <w:color w:val="auto"/>
                <w:w w:val="99"/>
              </w:rPr>
              <w:t>Indenture, dated as of , 20</w:t>
            </w:r>
          </w:p>
        </w:tc>
      </w:tr>
      <w:tr>
        <w:trPr>
          <w:trHeight w:val="544"/>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Trust Indenture</w:t>
            </w:r>
          </w:p>
        </w:tc>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tc>
      </w:tr>
      <w:tr>
        <w:trPr>
          <w:trHeight w:val="432"/>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Act Section</w:t>
            </w:r>
          </w:p>
        </w:tc>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Sections</w:t>
            </w:r>
          </w:p>
        </w:tc>
      </w:tr>
      <w:tr>
        <w:trPr>
          <w:trHeight w:val="240"/>
        </w:trPr>
        <w:tc>
          <w:tcPr>
            <w:tcW w:w="21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700" w:type="dxa"/>
            <w:vAlign w:val="bottom"/>
            <w:shd w:val="clear" w:color="auto" w:fill="CCEEFF"/>
          </w:tcPr>
          <w:p>
            <w:pPr>
              <w:jc w:val="right"/>
              <w:ind w:right="3770"/>
              <w:spacing w:after="0"/>
              <w:rPr>
                <w:sz w:val="20"/>
                <w:szCs w:val="20"/>
                <w:color w:val="auto"/>
              </w:rPr>
            </w:pPr>
            <w:r>
              <w:rPr>
                <w:rFonts w:ascii="Times New Roman" w:cs="Times New Roman" w:eastAsia="Times New Roman" w:hAnsi="Times New Roman"/>
                <w:sz w:val="18"/>
                <w:szCs w:val="18"/>
                <w:color w:val="auto"/>
              </w:rPr>
              <w:t>§ 310(a)(1)</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609</w:t>
            </w:r>
          </w:p>
        </w:tc>
      </w:tr>
      <w:tr>
        <w:trPr>
          <w:trHeight w:val="245"/>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spacing w:after="0"/>
              <w:rPr>
                <w:sz w:val="21"/>
                <w:szCs w:val="21"/>
                <w:color w:val="auto"/>
              </w:rPr>
            </w:pPr>
          </w:p>
        </w:tc>
      </w:tr>
      <w:tr>
        <w:trPr>
          <w:trHeight w:val="243"/>
        </w:trPr>
        <w:tc>
          <w:tcPr>
            <w:tcW w:w="4700" w:type="dxa"/>
            <w:vAlign w:val="bottom"/>
          </w:tcPr>
          <w:p>
            <w:pPr>
              <w:jc w:val="right"/>
              <w:ind w:right="3770"/>
              <w:spacing w:after="0"/>
              <w:rPr>
                <w:sz w:val="20"/>
                <w:szCs w:val="20"/>
                <w:color w:val="auto"/>
              </w:rPr>
            </w:pPr>
            <w:r>
              <w:rPr>
                <w:rFonts w:ascii="Times New Roman" w:cs="Times New Roman" w:eastAsia="Times New Roman" w:hAnsi="Times New Roman"/>
                <w:sz w:val="18"/>
                <w:szCs w:val="18"/>
                <w:color w:val="auto"/>
              </w:rPr>
              <w:t>(a)(2)</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609</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jc w:val="right"/>
              <w:ind w:right="3770"/>
              <w:spacing w:after="0"/>
              <w:rPr>
                <w:sz w:val="20"/>
                <w:szCs w:val="20"/>
                <w:color w:val="auto"/>
              </w:rPr>
            </w:pPr>
            <w:r>
              <w:rPr>
                <w:rFonts w:ascii="Times New Roman" w:cs="Times New Roman" w:eastAsia="Times New Roman" w:hAnsi="Times New Roman"/>
                <w:sz w:val="18"/>
                <w:szCs w:val="18"/>
                <w:color w:val="auto"/>
              </w:rPr>
              <w:t>(a)(3)</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jc w:val="right"/>
              <w:ind w:right="3770"/>
              <w:spacing w:after="0"/>
              <w:rPr>
                <w:sz w:val="20"/>
                <w:szCs w:val="20"/>
                <w:color w:val="auto"/>
              </w:rPr>
            </w:pPr>
            <w:r>
              <w:rPr>
                <w:rFonts w:ascii="Times New Roman" w:cs="Times New Roman" w:eastAsia="Times New Roman" w:hAnsi="Times New Roman"/>
                <w:sz w:val="18"/>
                <w:szCs w:val="18"/>
                <w:color w:val="auto"/>
              </w:rPr>
              <w:t>(a)(4)</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jc w:val="right"/>
              <w:ind w:right="3770"/>
              <w:spacing w:after="0"/>
              <w:rPr>
                <w:sz w:val="20"/>
                <w:szCs w:val="20"/>
                <w:color w:val="auto"/>
              </w:rPr>
            </w:pPr>
            <w:r>
              <w:rPr>
                <w:rFonts w:ascii="Times New Roman" w:cs="Times New Roman" w:eastAsia="Times New Roman" w:hAnsi="Times New Roman"/>
                <w:sz w:val="18"/>
                <w:szCs w:val="18"/>
                <w:color w:val="auto"/>
              </w:rPr>
              <w:t>(a)(5)</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609</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608</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610</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jc w:val="right"/>
              <w:ind w:right="3990"/>
              <w:spacing w:after="0"/>
              <w:rPr>
                <w:sz w:val="20"/>
                <w:szCs w:val="20"/>
                <w:color w:val="auto"/>
              </w:rPr>
            </w:pPr>
            <w:r>
              <w:rPr>
                <w:rFonts w:ascii="Times New Roman" w:cs="Times New Roman" w:eastAsia="Times New Roman" w:hAnsi="Times New Roman"/>
                <w:sz w:val="18"/>
                <w:szCs w:val="18"/>
                <w:color w:val="auto"/>
                <w:w w:val="99"/>
              </w:rPr>
              <w:t>§ 311(a)</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613(a)</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613(b)</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(b)(2)</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703(a)(2)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703(b)</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jc w:val="right"/>
              <w:ind w:right="3970"/>
              <w:spacing w:after="0"/>
              <w:rPr>
                <w:sz w:val="20"/>
                <w:szCs w:val="20"/>
                <w:color w:val="auto"/>
              </w:rPr>
            </w:pPr>
            <w:r>
              <w:rPr>
                <w:rFonts w:ascii="Times New Roman" w:cs="Times New Roman" w:eastAsia="Times New Roman" w:hAnsi="Times New Roman"/>
                <w:sz w:val="18"/>
                <w:szCs w:val="18"/>
                <w:color w:val="auto"/>
              </w:rPr>
              <w:t>§ 312(a)</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701</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702(a)</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bl>
    <w:p>
      <w:pPr>
        <w:sectPr>
          <w:pgSz w:w="11900" w:h="16838" w:orient="portrait"/>
          <w:cols w:equalWidth="0" w:num="1">
            <w:col w:w="11360"/>
          </w:cols>
          <w:pgMar w:left="300" w:top="576"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702(b)</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702(c)</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313(a)</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703(a)</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703(b)</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703(a), 703(b)</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703(c)</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314(a)</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704, 1004</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(c)(1)</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102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(c)(2)</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102</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(c)(3)</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102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315(a)</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601(a)</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602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703(a)(7)</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66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601(b)</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w:t>
            </w:r>
          </w:p>
        </w:tc>
        <w:tc>
          <w:tcPr>
            <w:tcW w:w="66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601(c)</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bl>
    <w:p>
      <w:pPr>
        <w:sectPr>
          <w:pgSz w:w="11900" w:h="16838" w:orient="portrait"/>
          <w:cols w:equalWidth="0" w:num="1">
            <w:col w:w="11360"/>
          </w:cols>
          <w:pgMar w:left="300" w:top="526" w:right="239" w:bottom="1440" w:gutter="0" w:footer="0" w:header="0"/>
        </w:sectPr>
      </w:pPr>
    </w:p>
    <w:bookmarkStart w:id="27" w:name="page28"/>
    <w:bookmarkEnd w:id="27"/>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(d)(l)</w:t>
            </w:r>
          </w:p>
        </w:tc>
        <w:tc>
          <w:tcPr>
            <w:tcW w:w="65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601(a)(1)</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(d)(2)</w:t>
            </w:r>
          </w:p>
        </w:tc>
        <w:tc>
          <w:tcPr>
            <w:tcW w:w="65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601(c)(2)</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(d)(3)</w:t>
            </w:r>
          </w:p>
        </w:tc>
        <w:tc>
          <w:tcPr>
            <w:tcW w:w="65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601(c)(3)</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w:t>
            </w:r>
          </w:p>
        </w:tc>
        <w:tc>
          <w:tcPr>
            <w:tcW w:w="65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514</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316(a)</w:t>
            </w:r>
          </w:p>
        </w:tc>
        <w:tc>
          <w:tcPr>
            <w:tcW w:w="65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101</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(a)(1)(A)</w:t>
            </w:r>
          </w:p>
        </w:tc>
        <w:tc>
          <w:tcPr>
            <w:tcW w:w="65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502</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spacing w:after="0"/>
              <w:rPr>
                <w:sz w:val="21"/>
                <w:szCs w:val="21"/>
                <w:color w:val="auto"/>
              </w:rPr>
            </w:pPr>
          </w:p>
        </w:tc>
        <w:tc>
          <w:tcPr>
            <w:tcW w:w="65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512</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(a)(1)(B)</w:t>
            </w:r>
          </w:p>
        </w:tc>
        <w:tc>
          <w:tcPr>
            <w:tcW w:w="65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513</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(a)(2)</w:t>
            </w:r>
          </w:p>
        </w:tc>
        <w:tc>
          <w:tcPr>
            <w:tcW w:w="65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65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508</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65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104(e)</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317(a)(l)</w:t>
            </w:r>
          </w:p>
        </w:tc>
        <w:tc>
          <w:tcPr>
            <w:tcW w:w="65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503</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(a)(2)</w:t>
            </w:r>
          </w:p>
        </w:tc>
        <w:tc>
          <w:tcPr>
            <w:tcW w:w="65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504</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65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1003</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318(a)</w:t>
            </w:r>
          </w:p>
        </w:tc>
        <w:tc>
          <w:tcPr>
            <w:tcW w:w="65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6480810</wp:posOffset>
            </wp:positionH>
            <wp:positionV relativeFrom="paragraph">
              <wp:posOffset>170815</wp:posOffset>
            </wp:positionV>
            <wp:extent cx="7200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OTHER PROVISIONS OF GENERAL APPLICATION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Compliance Certificates and Opinions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Form of Documents Delivered to Trustee</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Acts of Holders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Notices, Etc. to Trustee and Company</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Notice to Holders; Waiver</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Conflict With Trust Indenture Act</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Effect of Headings and Table of Contents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Successors and Assigns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Separability Clause</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320"/>
          </w:cols>
          <w:pgMar w:left="320" w:top="738" w:right="25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Benefits of Indenture</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Legal Holidays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Rules by Trustee and Agents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No Recourse Against Others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TWO</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SECURITY FORMS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Forms Generally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Form of Trustee’s Certificate of Authentication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THREE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580" w:val="left"/>
          <w:tab w:leader="none" w:pos="1112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i w:val="1"/>
          <w:iCs w:val="1"/>
          <w:color w:val="auto"/>
        </w:rPr>
        <w:t>Amount Unlimited; Issuable in Series</w:t>
      </w:r>
      <w:r>
        <w:rPr>
          <w:sz w:val="20"/>
          <w:szCs w:val="20"/>
          <w:color w:val="auto"/>
        </w:rPr>
        <w:tab/>
      </w:r>
      <w:r>
        <w:rPr>
          <w:rFonts w:ascii="Times New Roman" w:cs="Times New Roman" w:eastAsia="Times New Roman" w:hAnsi="Times New Roman"/>
          <w:sz w:val="18"/>
          <w:szCs w:val="18"/>
          <w:color w:val="auto"/>
        </w:rPr>
        <w:t>10</w:t>
      </w:r>
    </w:p>
    <w:p>
      <w:pPr>
        <w:sectPr>
          <w:pgSz w:w="11900" w:h="16838" w:orient="portrait"/>
          <w:cols w:equalWidth="0" w:num="1">
            <w:col w:w="11320"/>
          </w:cols>
          <w:pgMar w:left="320" w:top="524"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Denominations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Execution, Authentication, Delivery and Dating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Temporary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Registration, Registration of Transfer and Exchange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Mutilated, Destroyed, Lost and Stolen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Payment of Interest; Interest Rights Preserved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Persons Deemed Owners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Cancellation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Computation of Interest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Global Securities; Exchanges; Registration and Registration of Transfer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219075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24" w:right="259" w:bottom="1440" w:gutter="0" w:footer="0" w:header="0"/>
        </w:sectPr>
      </w:pPr>
    </w:p>
    <w:bookmarkStart w:id="31" w:name="page32"/>
    <w:bookmarkEnd w:id="31"/>
    <w:p>
      <w:pPr>
        <w:spacing w:after="0"/>
        <w:tabs>
          <w:tab w:leader="none" w:pos="1580" w:val="left"/>
          <w:tab w:leader="none" w:pos="11120"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8"/>
          <w:szCs w:val="18"/>
          <w:i w:val="1"/>
          <w:iCs w:val="1"/>
          <w:color w:val="auto"/>
        </w:rPr>
        <w:t>Extension of Interest Payment</w:t>
      </w:r>
      <w:r>
        <w:rPr>
          <w:sz w:val="20"/>
          <w:szCs w:val="20"/>
          <w:color w:val="auto"/>
        </w:rPr>
        <w:tab/>
      </w:r>
      <w:r>
        <w:rPr>
          <w:rFonts w:ascii="Times New Roman" w:cs="Times New Roman" w:eastAsia="Times New Roman" w:hAnsi="Times New Roman"/>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FOUR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Termination of Company’s Obligations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Defeasance and Discharge of Indenture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Defeasance of Certain Obligations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Conditions to Defeasance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Application of Trust Money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Reinstatement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FIVE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REMEDIES</w:t>
      </w:r>
    </w:p>
    <w:p>
      <w:pPr>
        <w:sectPr>
          <w:pgSz w:w="11900" w:h="16838" w:orient="portrait"/>
          <w:cols w:equalWidth="0" w:num="1">
            <w:col w:w="11320"/>
          </w:cols>
          <w:pgMar w:left="320" w:top="740"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Events of Default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Acceleration of Maturity; Rescission and Annulment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Collection of Indebtedness and Suits for Enforcement by Trustee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Trustee May File Proofs of Claim</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Trustee May Enforce Claims Without Possession of Securities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Application of Money Collected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Limitation on Suits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Unconditional Right of Holders to Receive Principal, Premium and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Restoration of Rights and Remedies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Rights and Remedies Cumulative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Delay or Omission Not Waiver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Control by Holders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Waiver of Past Defaults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Undertaking for Costs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Waiver of Stay or Extension Laws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SIX</w:t>
      </w:r>
    </w:p>
    <w:p>
      <w:pPr>
        <w:sectPr>
          <w:pgSz w:w="11900" w:h="16838" w:orient="portrait"/>
          <w:cols w:equalWidth="0" w:num="1">
            <w:col w:w="11320"/>
          </w:cols>
          <w:pgMar w:left="320" w:top="524" w:right="2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THE TRUSTEE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Certain Duties and Responsibilities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Notice of Defaults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Certain Rights of Trustee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Not Responsible for Recitals or Issuance of Securities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May Hold Securities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Money Held in Trust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Compensation and Reimbursement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Disqualification; Conflicting Interests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Corporate Trustee Required; Eligibility</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219075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26"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Resignation and Removal; Appointment of Successor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Acceptance of Appointment by Successor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Merger, Conversion, Consolidation or Succession to Business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Preferential Collection of Claims Against Company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Appointment of Authenticating Agent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SEVEN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HOLDERS’ LISTS AND REPORTS BY TRUSTEE AND COMPANY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Company to Furnish Trustee Names and Addresses of Holders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Preservation of Information; Communications to Holders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Reports by Trustee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Reports by Company</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EIGHT</w:t>
      </w:r>
    </w:p>
    <w:p>
      <w:pPr>
        <w:sectPr>
          <w:pgSz w:w="11900" w:h="16838" w:orient="portrait"/>
          <w:cols w:equalWidth="0" w:num="1">
            <w:col w:w="11320"/>
          </w:cols>
          <w:pgMar w:left="320" w:top="740" w:right="2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CONSOLIDATION, MERGER, CONVEYANCE OR TRANSFER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Company May Consolidate, Etc. Only on Certain Terms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Successor Substituted for the Company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NINE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INDENTURES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Supplemental Indentures Without Consent of Holders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Supplemental Indentures With Consent of Holders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Execution of Supplemental Indentures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Effect of Supplemental Indentures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Conformity With Trust Indenture Act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Reference in Securities to Supplemental Indentures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Revocation and Effect of Consents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Modification Without Supplemental Indenture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320"/>
          </w:cols>
          <w:pgMar w:left="320" w:top="526" w:right="2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ARTICLE TEN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Payment of Principal, Premium and Interest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50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Maintenance of Office or Agency</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50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Money for Securities Payments to Be Held in Trust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50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Statement as to Compliance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50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Existence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50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Waiver of Certain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219075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26" w:right="2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ARTICLE ELEVEN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OF SECURITIES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Applicability of Article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50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Election to Redeem; Notice to Trustee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50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Selection by Trustee of Securities to Be Redeemed</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50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Notice of Redemption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50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Securities Payable on Redemption Date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50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Securities Redeemed in Part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TWELVE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REPAYMENT OF SECURITIES AT OPTION OF HOLDERS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Applicability of Article</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50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Notice of Repayment Date</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ectPr>
          <w:pgSz w:w="11900" w:h="16838" w:orient="portrait"/>
          <w:cols w:equalWidth="0" w:num="1">
            <w:col w:w="11320"/>
          </w:cols>
          <w:pgMar w:left="320" w:top="742" w:right="25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Securities Payable on Repayment Date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50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Securities Repaid in Part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219075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24" w:right="259" w:bottom="1440" w:gutter="0" w:footer="0" w:header="0"/>
        </w:sectPr>
      </w:pPr>
    </w:p>
    <w:bookmarkStart w:id="39" w:name="page40"/>
    <w:bookmarkEnd w:id="39"/>
    <w:p>
      <w:pPr>
        <w:ind w:right="180" w:firstLine="693"/>
        <w:spacing w:after="0" w:line="261" w:lineRule="auto"/>
        <w:rPr>
          <w:sz w:val="20"/>
          <w:szCs w:val="20"/>
          <w:color w:val="auto"/>
        </w:rPr>
      </w:pPr>
      <w:r>
        <w:rPr>
          <w:rFonts w:ascii="Times New Roman" w:cs="Times New Roman" w:eastAsia="Times New Roman" w:hAnsi="Times New Roman"/>
          <w:sz w:val="18"/>
          <w:szCs w:val="18"/>
          <w:color w:val="auto"/>
        </w:rPr>
        <w:t>INDENTURE, dated as of , 20 , between VERACYTE, INC., a corporation duly organized and existing under the laws of Delaware (herein called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having its principal office at , and [TRUSTEE] (herein called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jc w:val="center"/>
        <w:ind w:left="1360"/>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07" w:lineRule="exact"/>
        <w:rPr>
          <w:sz w:val="20"/>
          <w:szCs w:val="20"/>
          <w:color w:val="auto"/>
        </w:rPr>
      </w:pPr>
    </w:p>
    <w:p>
      <w:pPr>
        <w:ind w:firstLine="1297"/>
        <w:spacing w:after="0" w:line="266"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from time to time of its unsecured debentures, notes or other evidences of indebtedness (each herein called a “</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in an unlimited aggregate principal amount to be issued in one or more series as in this Indenture provided.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all purposes of this Indenture, except as otherwise expressly provided or unless the context otherwise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requires;</w:t>
      </w:r>
    </w:p>
    <w:p>
      <w:pPr>
        <w:spacing w:after="0" w:line="225" w:lineRule="exact"/>
        <w:rPr>
          <w:sz w:val="20"/>
          <w:szCs w:val="20"/>
          <w:color w:val="auto"/>
        </w:rPr>
      </w:pPr>
    </w:p>
    <w:p>
      <w:pPr>
        <w:ind w:left="1520" w:hanging="215"/>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65"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that are defined in the Trust Indenture Act, either directly or by reference therein, have the meanings assigned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them therein;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all accounting terms not otherwise defined herein have the meanings assigned to them in accordance with generally accepted accounting</w:t>
      </w:r>
    </w:p>
    <w:p>
      <w:pPr>
        <w:spacing w:after="0" w:line="4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principles, and, except as otherwise herein expressly provided, the term “</w:t>
      </w:r>
      <w:r>
        <w:rPr>
          <w:rFonts w:ascii="Times New Roman" w:cs="Times New Roman" w:eastAsia="Times New Roman" w:hAnsi="Times New Roman"/>
          <w:sz w:val="18"/>
          <w:szCs w:val="18"/>
          <w:b w:val="1"/>
          <w:bCs w:val="1"/>
          <w:i w:val="1"/>
          <w:iCs w:val="1"/>
          <w:color w:val="auto"/>
        </w:rPr>
        <w:t>generally accepted accounting principles</w:t>
      </w:r>
      <w:r>
        <w:rPr>
          <w:rFonts w:ascii="Times New Roman" w:cs="Times New Roman" w:eastAsia="Times New Roman" w:hAnsi="Times New Roman"/>
          <w:sz w:val="18"/>
          <w:szCs w:val="18"/>
          <w:color w:val="auto"/>
        </w:rPr>
        <w:t>” with respect to any computation required or permitted hereunder shall mean such accounting principles as are generally accepted in the United States at the date of such computation or, at the election of the Company from time to time, at the date of the execution and delivery of this Indenture;</w:t>
      </w:r>
    </w:p>
    <w:p>
      <w:pPr>
        <w:spacing w:after="0" w:line="175" w:lineRule="exact"/>
        <w:rPr>
          <w:sz w:val="20"/>
          <w:szCs w:val="20"/>
          <w:color w:val="auto"/>
        </w:rPr>
      </w:pPr>
    </w:p>
    <w:p>
      <w:pPr>
        <w:ind w:left="1520" w:hanging="215"/>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 and</w:t>
      </w:r>
    </w:p>
    <w:p>
      <w:pPr>
        <w:spacing w:after="0" w:line="265" w:lineRule="exact"/>
        <w:rPr>
          <w:rFonts w:ascii="Times New Roman" w:cs="Times New Roman" w:eastAsia="Times New Roman" w:hAnsi="Times New Roman"/>
          <w:sz w:val="18"/>
          <w:szCs w:val="18"/>
          <w:color w:val="auto"/>
        </w:rPr>
      </w:pPr>
    </w:p>
    <w:p>
      <w:pPr>
        <w:ind w:right="640" w:firstLine="1305"/>
        <w:spacing w:after="0" w:line="329" w:lineRule="auto"/>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Certain terms, used principally in Article Six, are defined in that Article.</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25" w:lineRule="exact"/>
        <w:rPr>
          <w:sz w:val="20"/>
          <w:szCs w:val="20"/>
          <w:color w:val="auto"/>
        </w:rPr>
      </w:pPr>
    </w:p>
    <w:p>
      <w:pPr>
        <w:ind w:right="60"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any Person authorized by the Trustee to act on behalf of the Trustee to authenticate Securities.</w:t>
      </w:r>
    </w:p>
    <w:p>
      <w:pPr>
        <w:spacing w:after="0" w:line="225"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Authorized Newspaper</w:t>
      </w:r>
      <w:r>
        <w:rPr>
          <w:rFonts w:ascii="Times New Roman" w:cs="Times New Roman" w:eastAsia="Times New Roman" w:hAnsi="Times New Roman"/>
          <w:sz w:val="18"/>
          <w:szCs w:val="18"/>
          <w:color w:val="auto"/>
        </w:rPr>
        <w:t>” means a newspaper in an official language of the country of publication or in the English language, customarily published on each Business Day, whether or not published on Saturdays, Sundays or holidays, and of general circulation in the place in connection with which the term is used. Whenever successive publications are required to be made in Authorized Newspapers, the successive publications may be made in the same or in different newspapers in the same city meeting the foregoing requirements and in each case on any Business Day. If it shall be impossible or impractical to make any publication of any notice required by this Indenture in the manner herein provided, any publication or other notice in lieu thereof that is made or given by the Trustee shall constitute a sufficient publication of such notice.</w:t>
      </w:r>
    </w:p>
    <w:p>
      <w:pPr>
        <w:spacing w:after="0" w:line="183" w:lineRule="exact"/>
        <w:rPr>
          <w:sz w:val="20"/>
          <w:szCs w:val="20"/>
          <w:color w:val="auto"/>
        </w:rPr>
      </w:pPr>
    </w:p>
    <w:p>
      <w:pPr>
        <w:ind w:right="20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Authorized Officer</w:t>
      </w:r>
      <w:r>
        <w:rPr>
          <w:rFonts w:ascii="Times New Roman" w:cs="Times New Roman" w:eastAsia="Times New Roman" w:hAnsi="Times New Roman"/>
          <w:sz w:val="18"/>
          <w:szCs w:val="18"/>
          <w:color w:val="auto"/>
        </w:rPr>
        <w:t>” means the Chief Executive Officer, the President, any Vice President (whether or not designated by a number or numbers or word or words added before or after the title “Vice President”), the Chief Financial Officer, the Treasurer, the Secretary, any Assistant Treasurer or any Assistant Secretary of the Company.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either the board of directors of the Company or any duly authorized committee of that board.</w:t>
      </w:r>
    </w:p>
    <w:p>
      <w:pPr>
        <w:spacing w:after="0" w:line="225" w:lineRule="exact"/>
        <w:rPr>
          <w:sz w:val="20"/>
          <w:szCs w:val="20"/>
          <w:color w:val="auto"/>
        </w:rPr>
      </w:pPr>
    </w:p>
    <w:p>
      <w:pPr>
        <w:ind w:right="48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when used with reference to the Company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1" w:lineRule="exact"/>
        <w:rPr>
          <w:sz w:val="20"/>
          <w:szCs w:val="20"/>
          <w:color w:val="auto"/>
        </w:rPr>
      </w:pPr>
    </w:p>
    <w:p>
      <w:pPr>
        <w:ind w:right="40"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when used with respect to any Place of Payment or any other particular location specified in the Securities or this Indenture, means each Monday, Tuesday, Wednesday, Thursday and Friday that is not a day on which banking institutions in that Place of Payment, such other location or the city in which the Corporate Trust Office of the Trustee is located, are authorized or obligated by law to close, except as may be otherwise specified as contemplated by Section 301(b).</w:t>
      </w:r>
    </w:p>
    <w:p>
      <w:pPr>
        <w:spacing w:after="0" w:line="177" w:lineRule="exact"/>
        <w:rPr>
          <w:sz w:val="20"/>
          <w:szCs w:val="20"/>
          <w:color w:val="auto"/>
        </w:rPr>
      </w:pPr>
    </w:p>
    <w:p>
      <w:pPr>
        <w:jc w:val="both"/>
        <w:ind w:right="28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right="16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the Person named as the “Company” in the first paragraph of this instrument until a successor Person has become such pursuant to the applicable provisions of this Indenture, and thereafter “Company” shall mean such successor Person.</w:t>
      </w:r>
    </w:p>
    <w:p>
      <w:pPr>
        <w:spacing w:after="0" w:line="155" w:lineRule="exact"/>
        <w:rPr>
          <w:sz w:val="20"/>
          <w:szCs w:val="20"/>
          <w:color w:val="auto"/>
        </w:rPr>
      </w:pPr>
    </w:p>
    <w:p>
      <w:pPr>
        <w:ind w:right="18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Company Order</w:t>
      </w:r>
      <w:r>
        <w:rPr>
          <w:rFonts w:ascii="Times New Roman" w:cs="Times New Roman" w:eastAsia="Times New Roman" w:hAnsi="Times New Roman"/>
          <w:sz w:val="18"/>
          <w:szCs w:val="18"/>
          <w:color w:val="auto"/>
        </w:rPr>
        <w:t>” means a written request or order signed in the name of the Company by an Authorized Officer and delivered to the Trustee.</w:t>
      </w:r>
    </w:p>
    <w:p>
      <w:pPr>
        <w:spacing w:after="0" w:line="155" w:lineRule="exact"/>
        <w:rPr>
          <w:sz w:val="20"/>
          <w:szCs w:val="20"/>
          <w:color w:val="auto"/>
        </w:rPr>
      </w:pPr>
    </w:p>
    <w:p>
      <w:pPr>
        <w:ind w:right="38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and which at the date hereof is located at •.</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means a corporation, association, joint stock company, limited liability company or business trust.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ind w:right="2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the form of a Global Security, the Person designated as Depositary by the Company in Section 301(b) until a successor Depositary shall have become such pursuant to the applicable provisions of this Indenture, and thereafter “Depositary” shall mean or include each Person who is then a Depositary hereunder, and if at any time there is more than one such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Person, “Depositary” as used with respect to the Securities of any such series shall mean the Depositary with respect to the Securities of that series.</w:t>
      </w:r>
    </w:p>
    <w:p>
      <w:pPr>
        <w:spacing w:after="0" w:line="221" w:lineRule="exact"/>
        <w:rPr>
          <w:sz w:val="20"/>
          <w:szCs w:val="20"/>
          <w:color w:val="auto"/>
        </w:rPr>
      </w:pPr>
    </w:p>
    <w:p>
      <w:pPr>
        <w:ind w:right="14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a dollar or other equivalent unit in such coin or currency of the United States of America that is legal tender for the payment of public and private debts at the time of payment.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Obligations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540" w:hanging="235"/>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Securities denominated in Dollars, U.S. Government Obligations; or</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Securities denominated in a currency other than Dollars or in a composite currency, such other obligations or instruments as shall be specified with respect to such Securities, as contemplated by Section 301(b).</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if any, issued to evidence all or a part of a series of Securities in accordance with Section 301.</w:t>
      </w:r>
    </w:p>
    <w:p>
      <w:pPr>
        <w:spacing w:after="0" w:line="225" w:lineRule="exact"/>
        <w:rPr>
          <w:sz w:val="20"/>
          <w:szCs w:val="20"/>
          <w:color w:val="auto"/>
        </w:rPr>
      </w:pPr>
    </w:p>
    <w:p>
      <w:pPr>
        <w:ind w:right="18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Obligations</w:t>
      </w:r>
      <w:r>
        <w:rPr>
          <w:rFonts w:ascii="Times New Roman" w:cs="Times New Roman" w:eastAsia="Times New Roman" w:hAnsi="Times New Roman"/>
          <w:sz w:val="18"/>
          <w:szCs w:val="18"/>
          <w:color w:val="auto"/>
        </w:rPr>
        <w:t>” means, with respect to any Person, the obligations of such Person under (i) interest rate swap agreements, interest rate cap agreements and interest rate collar agreements and (ii) other agreements or arrangements designed to protect such Person against fluctuations in interest rates.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with respect to a Security, a Person in whose name such Security is registered in the Security Register.</w:t>
      </w:r>
    </w:p>
    <w:p>
      <w:pPr>
        <w:spacing w:after="0" w:line="225" w:lineRule="exact"/>
        <w:rPr>
          <w:sz w:val="20"/>
          <w:szCs w:val="20"/>
          <w:color w:val="auto"/>
        </w:rPr>
      </w:pPr>
    </w:p>
    <w:p>
      <w:pPr>
        <w:ind w:right="4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and as it may from time to time be supplemented or amended by one or more indentures supplemental hereto entered into pursuant to the applicable provisions hereof and shall include the form and terms of particular series of Securities established as contemplated by Section 301.</w:t>
      </w:r>
    </w:p>
    <w:p>
      <w:pPr>
        <w:spacing w:after="0" w:line="171" w:lineRule="exact"/>
        <w:rPr>
          <w:sz w:val="20"/>
          <w:szCs w:val="20"/>
          <w:color w:val="auto"/>
        </w:rPr>
      </w:pPr>
    </w:p>
    <w:p>
      <w:pPr>
        <w:ind w:right="8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Indexed Security</w:t>
      </w:r>
      <w:r>
        <w:rPr>
          <w:rFonts w:ascii="Times New Roman" w:cs="Times New Roman" w:eastAsia="Times New Roman" w:hAnsi="Times New Roman"/>
          <w:sz w:val="18"/>
          <w:szCs w:val="18"/>
          <w:color w:val="auto"/>
        </w:rPr>
        <w:t>” means a Security the terms of which provide that the principal amount thereof payable at Stated Maturity may be more or less than the principal face amount thereof at original issuance.</w:t>
      </w:r>
    </w:p>
    <w:p>
      <w:pPr>
        <w:spacing w:after="0" w:line="155" w:lineRule="exact"/>
        <w:rPr>
          <w:sz w:val="20"/>
          <w:szCs w:val="20"/>
          <w:color w:val="auto"/>
        </w:rPr>
      </w:pPr>
    </w:p>
    <w:p>
      <w:pPr>
        <w:ind w:right="8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when used with respect to an Original Issue Discount Security that by its terms bears interest only after Maturity, means interest payable after Maturity.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right="4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upon call for redemption, exercise of repayment option or otherwise.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 Authorized Officer and delivered to the Trustee.</w:t>
      </w:r>
    </w:p>
    <w:p>
      <w:pPr>
        <w:spacing w:after="0" w:line="225" w:lineRule="exact"/>
        <w:rPr>
          <w:sz w:val="20"/>
          <w:szCs w:val="20"/>
          <w:color w:val="auto"/>
        </w:rPr>
      </w:pPr>
    </w:p>
    <w:p>
      <w:pPr>
        <w:ind w:right="12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 written opinion of counsel, who may be an employee of, or counsel for, the Company or an Affiliate of the Company, and who shall be reasonably acceptable to the Trustee.</w:t>
      </w:r>
    </w:p>
    <w:p>
      <w:pPr>
        <w:spacing w:after="0" w:line="155" w:lineRule="exact"/>
        <w:rPr>
          <w:sz w:val="20"/>
          <w:szCs w:val="20"/>
          <w:color w:val="auto"/>
        </w:rPr>
      </w:pPr>
    </w:p>
    <w:p>
      <w:pPr>
        <w:ind w:right="240" w:firstLine="1297"/>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Issue Discount Security</w:t>
      </w:r>
      <w:r>
        <w:rPr>
          <w:rFonts w:ascii="Times New Roman" w:cs="Times New Roman" w:eastAsia="Times New Roman" w:hAnsi="Times New Roman"/>
          <w:sz w:val="18"/>
          <w:szCs w:val="18"/>
          <w:color w:val="auto"/>
        </w:rPr>
        <w:t>” means any Security that provides for an amount less than the principal amount thereof to be due and payable upon a declaration of acceleration of the Maturity thereof pursuant to Section 502.</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2" w:name="page43"/>
    <w:bookmarkEnd w:id="42"/>
    <w:p>
      <w:pPr>
        <w:ind w:right="66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xml:space="preserve">”, when used with respect to Securities of any series, means, as of the date of determination, all Securities theretofore authenticated and delivered under this Indenture,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520" w:hanging="215"/>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the Trustee or delivered to the Trustee for cancellation;</w:t>
      </w:r>
    </w:p>
    <w:p>
      <w:pPr>
        <w:spacing w:after="0" w:line="265"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portions thereof for whose payment or redemption money or Eligible Obligations (or any combination of money and</w:t>
      </w:r>
    </w:p>
    <w:p>
      <w:pPr>
        <w:spacing w:after="0" w:line="50"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 xml:space="preserve">Eligible Obligations) in the necessary amount has been theretofore deposited with the Trustee or any Paying Agent (other than the Company or any other obligor on such Security) in trust or set aside and segregated in trust by the Company or any other obligor on such Security (if the Company or any other obligor on such Security acts as its own Paying Agent) for the Holders of such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Securities, or portions thereof, are to be redeemed prior to the Stated Maturity thereof, notice of such redemption has been duly given pursuant to this Indenture or provision therefor satisfactory to the Trustee has been made;</w:t>
      </w:r>
    </w:p>
    <w:p>
      <w:pPr>
        <w:spacing w:after="0" w:line="184" w:lineRule="exact"/>
        <w:rPr>
          <w:sz w:val="20"/>
          <w:szCs w:val="20"/>
          <w:color w:val="auto"/>
        </w:rPr>
      </w:pPr>
    </w:p>
    <w:p>
      <w:pPr>
        <w:ind w:left="1520" w:hanging="215"/>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as to which the Company has effected defeasance as provided in Section 402;</w:t>
      </w:r>
    </w:p>
    <w:p>
      <w:pPr>
        <w:spacing w:after="0" w:line="265"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that have been paid pursuant to Section 306 or in exchange for or in lieu of which other Securities have been authenticated and</w:t>
      </w:r>
    </w:p>
    <w:p>
      <w:pPr>
        <w:spacing w:after="0" w:line="61"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delivered pursuant to this Indenture, other than any such Securities in respect of which there have been presented to the Trustee proof satisfactory to it and the Company that such Securities are held by a bona fide purchaser in whose hands such Securities are valid obligations of the Company;</w:t>
      </w:r>
    </w:p>
    <w:p>
      <w:pPr>
        <w:spacing w:after="0" w:line="160"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made or taken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demand, authorization, direction, notice, consent, waiver or other action hereunder,</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Securities owned by the Company or any other obligor upon the Securities or any Affiliate of the Company or of such other obligor</w:t>
      </w:r>
    </w:p>
    <w:p>
      <w:pPr>
        <w:spacing w:after="0" w:line="50"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(unless the Company, such Affiliate or such obligor owns (x) all Securities Outstanding under this Indenture or (y) except for the purposes of actions to be taken by Holders of more than one series or Tranche voting as a class, all Outstanding Securities of each such series and each such Tranche, as the case may be, determined without regard to this clause) shall be disregarded and deemed not to be Outstanding, except that, in determining whether the Trustee shall be protected in relying upon any such request, demand, authorization, direction, notice, consent or waiver, only Securities that the Trustee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in determining whether the Holders of the requisite principal amount of Securities of any series or Tranche have concurred in any</w:t>
      </w:r>
    </w:p>
    <w:p>
      <w:pPr>
        <w:spacing w:after="0" w:line="5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direction, waiver or consent, the principal amount of Original Issue Discount Securities that shall be deemed to be outstanding shall be the amount of the principal thereof that would be due and payable as of the date of such determination upon acceleration of the maturity thereof pursuant to Section 502;</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in the case of any Security the principal of that is payable from time to time without presentment or surrender, the principal amount of</w:t>
      </w:r>
    </w:p>
    <w:p>
      <w:pPr>
        <w:spacing w:after="0" w:line="50"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such Security that shall be deemed to be Outstanding at any time for all purposes of this Indenture shall be the original principal amount thereof less the aggregate amount of principal thereof theretofore paid;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in the case of Securities having been denominated in a currency other than Dollars and remaining outstanding contemporaneously with</w:t>
      </w:r>
    </w:p>
    <w:p>
      <w:pPr>
        <w:spacing w:after="0" w:line="50"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Securities denominated in Dollars, the principal amount of any Security that is denominated in a currency other than Dollars or in a composite currency that shall be deemed to be Outstanding for such purposes shall be determined as contemplated by Section 301(b).</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43" w:name="page44"/>
    <w:bookmarkEnd w:id="43"/>
    <w:p>
      <w:pPr>
        <w:ind w:right="30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means any Person, including the Company, authorized by the Company to pay the principal of (and premium, if any) or interest on any Securities on behalf of the Company.</w:t>
      </w:r>
    </w:p>
    <w:p>
      <w:pPr>
        <w:spacing w:after="0" w:line="155" w:lineRule="exact"/>
        <w:rPr>
          <w:sz w:val="20"/>
          <w:szCs w:val="20"/>
          <w:color w:val="auto"/>
        </w:rPr>
      </w:pPr>
    </w:p>
    <w:p>
      <w:pPr>
        <w:ind w:right="200"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Periodic Offering</w:t>
      </w:r>
      <w:r>
        <w:rPr>
          <w:rFonts w:ascii="Times New Roman" w:cs="Times New Roman" w:eastAsia="Times New Roman" w:hAnsi="Times New Roman"/>
          <w:sz w:val="18"/>
          <w:szCs w:val="18"/>
          <w:color w:val="auto"/>
        </w:rPr>
        <w:t>” means an offering of Securities of a series from time to time any or all of the specific terms of which Securities, including without limitation the rate or rates of interest, if any, thereon, the Stated Maturity or Maturities thereof and the redemption provisions, if any, with respect thereto, are to be determined by the Company or its agents from time to time subsequent to the initial request for the authentication and delivery of such Securities by the Trustee, all as contemplated in Sections 301 and 303.</w:t>
      </w:r>
    </w:p>
    <w:p>
      <w:pPr>
        <w:spacing w:after="0" w:line="177" w:lineRule="exact"/>
        <w:rPr>
          <w:sz w:val="20"/>
          <w:szCs w:val="20"/>
          <w:color w:val="auto"/>
        </w:rPr>
      </w:pPr>
    </w:p>
    <w:p>
      <w:pPr>
        <w:ind w:right="14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trust, unincorporated organization or government or any agency or political subdivision thereof.</w:t>
      </w:r>
    </w:p>
    <w:p>
      <w:pPr>
        <w:spacing w:after="0" w:line="155" w:lineRule="exact"/>
        <w:rPr>
          <w:sz w:val="20"/>
          <w:szCs w:val="20"/>
          <w:color w:val="auto"/>
        </w:rPr>
      </w:pPr>
    </w:p>
    <w:p>
      <w:pPr>
        <w:ind w:right="160" w:firstLine="1297"/>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Place of Payment</w:t>
      </w:r>
      <w:r>
        <w:rPr>
          <w:rFonts w:ascii="Times New Roman" w:cs="Times New Roman" w:eastAsia="Times New Roman" w:hAnsi="Times New Roman"/>
          <w:sz w:val="17"/>
          <w:szCs w:val="17"/>
          <w:color w:val="auto"/>
        </w:rPr>
        <w:t>”, when used with respect to the Securities of any series, or any Tranche thereof, means the place or places where the principal of (and premium, if any) and interest, if any, on the Securities of that series or Tranche are payable as specified as contemplated by Section 301(b).</w:t>
      </w:r>
    </w:p>
    <w:p>
      <w:pPr>
        <w:spacing w:after="0" w:line="132" w:lineRule="exact"/>
        <w:rPr>
          <w:sz w:val="20"/>
          <w:szCs w:val="20"/>
          <w:color w:val="auto"/>
        </w:rPr>
      </w:pPr>
    </w:p>
    <w:p>
      <w:pPr>
        <w:ind w:right="14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Indenture.</w:t>
      </w:r>
    </w:p>
    <w:p>
      <w:pPr>
        <w:spacing w:after="0" w:line="203" w:lineRule="exact"/>
        <w:rPr>
          <w:sz w:val="20"/>
          <w:szCs w:val="20"/>
          <w:color w:val="auto"/>
        </w:rPr>
      </w:pPr>
    </w:p>
    <w:p>
      <w:pPr>
        <w:ind w:right="8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when used with respect to any Security to be redeemed, means the price at which it is to be redeemed pursuant to this Indenture, exclusive of accrued and unpaid interest, if any.</w:t>
      </w:r>
    </w:p>
    <w:p>
      <w:pPr>
        <w:spacing w:after="0" w:line="155" w:lineRule="exact"/>
        <w:rPr>
          <w:sz w:val="20"/>
          <w:szCs w:val="20"/>
          <w:color w:val="auto"/>
        </w:rPr>
      </w:pPr>
    </w:p>
    <w:p>
      <w:pPr>
        <w:ind w:right="24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Regular Record Date</w:t>
      </w:r>
      <w:r>
        <w:rPr>
          <w:rFonts w:ascii="Times New Roman" w:cs="Times New Roman" w:eastAsia="Times New Roman" w:hAnsi="Times New Roman"/>
          <w:sz w:val="18"/>
          <w:szCs w:val="18"/>
          <w:color w:val="auto"/>
        </w:rPr>
        <w:t>” for the interest payable on any Interest Payment Date on the Securities of any series means the date specified for that purpose as contemplated by Section 301(b).</w:t>
      </w:r>
    </w:p>
    <w:p>
      <w:pPr>
        <w:spacing w:after="0" w:line="155" w:lineRule="exact"/>
        <w:rPr>
          <w:sz w:val="20"/>
          <w:szCs w:val="20"/>
          <w:color w:val="auto"/>
        </w:rPr>
      </w:pPr>
    </w:p>
    <w:p>
      <w:pPr>
        <w:ind w:right="12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Repayment Date</w:t>
      </w:r>
      <w:r>
        <w:rPr>
          <w:rFonts w:ascii="Times New Roman" w:cs="Times New Roman" w:eastAsia="Times New Roman" w:hAnsi="Times New Roman"/>
          <w:sz w:val="18"/>
          <w:szCs w:val="18"/>
          <w:color w:val="auto"/>
        </w:rPr>
        <w:t>”, when used with respect to any Security of any series to be repaid or repurchased, means the date, if any, fixed for such repayment or for such repurchase (whether at the option of the Holders or otherwise) pursuant to this Indenture.</w:t>
      </w:r>
    </w:p>
    <w:p>
      <w:pPr>
        <w:spacing w:after="0" w:line="155" w:lineRule="exact"/>
        <w:rPr>
          <w:sz w:val="20"/>
          <w:szCs w:val="20"/>
          <w:color w:val="auto"/>
        </w:rPr>
      </w:pPr>
    </w:p>
    <w:p>
      <w:pPr>
        <w:ind w:right="32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Repayment Price</w:t>
      </w:r>
      <w:r>
        <w:rPr>
          <w:rFonts w:ascii="Times New Roman" w:cs="Times New Roman" w:eastAsia="Times New Roman" w:hAnsi="Times New Roman"/>
          <w:sz w:val="18"/>
          <w:szCs w:val="18"/>
          <w:color w:val="auto"/>
        </w:rPr>
        <w:t>”, when used with respect to any Security of any series to be repaid, means the price, if any, at which it is to be repaid pursuant to Section 301(b).</w:t>
      </w:r>
    </w:p>
    <w:p>
      <w:pPr>
        <w:spacing w:after="0" w:line="155" w:lineRule="exact"/>
        <w:rPr>
          <w:sz w:val="20"/>
          <w:szCs w:val="20"/>
          <w:color w:val="auto"/>
        </w:rPr>
      </w:pPr>
    </w:p>
    <w:p>
      <w:pPr>
        <w:ind w:right="280"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department or any other successor group of the Trustee, including any vice president, assistant vice president, assistant secretary or any other officer of the Trustee customarily performing functions similar to those performed by any of the above designated officers and also means, with respect to a particular corporate trust matter, any other officer of the Trustee to whom such matter is referred because of his or her knowledge of and familiarity with the particular subject.</w:t>
      </w:r>
    </w:p>
    <w:p>
      <w:pPr>
        <w:spacing w:after="0" w:line="177" w:lineRule="exact"/>
        <w:rPr>
          <w:sz w:val="20"/>
          <w:szCs w:val="20"/>
          <w:color w:val="auto"/>
        </w:rPr>
      </w:pPr>
    </w:p>
    <w:p>
      <w:pPr>
        <w:ind w:right="70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Security or Securities authenticated and delivered under this Indenture.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series of Securities</w:t>
      </w:r>
      <w:r>
        <w:rPr>
          <w:rFonts w:ascii="Times New Roman" w:cs="Times New Roman" w:eastAsia="Times New Roman" w:hAnsi="Times New Roman"/>
          <w:sz w:val="18"/>
          <w:szCs w:val="18"/>
          <w:color w:val="auto"/>
        </w:rPr>
        <w:t>” means a series of Securities issued under this Indenture as determined by Board Resolution or as otherwise determined under this Indenture.</w:t>
      </w:r>
    </w:p>
    <w:p>
      <w:pPr>
        <w:spacing w:after="0" w:line="155"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Record Date</w:t>
      </w:r>
      <w:r>
        <w:rPr>
          <w:rFonts w:ascii="Times New Roman" w:cs="Times New Roman" w:eastAsia="Times New Roman" w:hAnsi="Times New Roman"/>
          <w:sz w:val="18"/>
          <w:szCs w:val="18"/>
          <w:color w:val="auto"/>
        </w:rPr>
        <w:t>” for the payment of any Defaulted Interest means a date fixed by the Company pursuant to Section 307.</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4" w:name="page45"/>
    <w:bookmarkEnd w:id="44"/>
    <w:p>
      <w:pPr>
        <w:ind w:right="60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55" w:lineRule="exact"/>
        <w:rPr>
          <w:sz w:val="20"/>
          <w:szCs w:val="20"/>
          <w:color w:val="auto"/>
        </w:rPr>
      </w:pPr>
    </w:p>
    <w:p>
      <w:pPr>
        <w:ind w:right="40" w:firstLine="12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any Person means (a) any corporation, association or other business entity of which more than 50% of the outstanding total voting power ordinarily entitled (without regard to the occurrence of any contingency) to vote in the election of directors, managers, trustees or other voting members of the governing body thereof is at the time owned or controlled, directly or indirectly, by the Company or by one or more other Subsidiaries, or by the Company and one or more other Subsidiaries or (b) any partnership the sole general partner or the managing general partner of which is the Company or a Subsidiary of the Company or the only general partners of which are the Company or of one or more Subsidiaries of the Company (or any combination thereof).</w:t>
      </w:r>
    </w:p>
    <w:p>
      <w:pPr>
        <w:spacing w:after="0" w:line="183" w:lineRule="exact"/>
        <w:rPr>
          <w:sz w:val="20"/>
          <w:szCs w:val="20"/>
          <w:color w:val="auto"/>
        </w:rPr>
      </w:pPr>
    </w:p>
    <w:p>
      <w:pPr>
        <w:ind w:right="8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Tranche</w:t>
      </w:r>
      <w:r>
        <w:rPr>
          <w:rFonts w:ascii="Times New Roman" w:cs="Times New Roman" w:eastAsia="Times New Roman" w:hAnsi="Times New Roman"/>
          <w:sz w:val="18"/>
          <w:szCs w:val="18"/>
          <w:color w:val="auto"/>
        </w:rPr>
        <w:t>” means a group of Securities which (a) are of the same series and (b) have identical terms to other Tranches of such series except as to principal amount, date of issuance or first interest payment date, each of which may vary among Tranches of any one series.</w:t>
      </w:r>
    </w:p>
    <w:p>
      <w:pPr>
        <w:spacing w:after="0" w:line="155" w:lineRule="exact"/>
        <w:rPr>
          <w:sz w:val="20"/>
          <w:szCs w:val="20"/>
          <w:color w:val="auto"/>
        </w:rPr>
      </w:pPr>
    </w:p>
    <w:p>
      <w:pPr>
        <w:ind w:right="60"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been appointed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7" w:lineRule="exact"/>
        <w:rPr>
          <w:sz w:val="20"/>
          <w:szCs w:val="20"/>
          <w:color w:val="auto"/>
        </w:rPr>
      </w:pPr>
    </w:p>
    <w:p>
      <w:pPr>
        <w:ind w:right="32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in force at the date as of which this instrument was executed, except as provided in Section 905.</w:t>
      </w:r>
    </w:p>
    <w:p>
      <w:pPr>
        <w:spacing w:after="0" w:line="155"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Obligations</w:t>
      </w:r>
      <w:r>
        <w:rPr>
          <w:rFonts w:ascii="Times New Roman" w:cs="Times New Roman" w:eastAsia="Times New Roman" w:hAnsi="Times New Roman"/>
          <w:sz w:val="18"/>
          <w:szCs w:val="18"/>
          <w:color w:val="auto"/>
        </w:rPr>
        <w:t>” means (x) any security that is (i) a direct obligation of the United States of America for the payment of which the full faith and credit of the United States of America are pledged or (ii) an obligation of a Person controlled or supervised by and acting as an agency or instrumentality of the United States of America the payment of which is unconditionally guaranteed as a full faith and credit obligation by the United States of America, and (y) any depositary receipt issued by a bank (as defined in Section 3(a)(2) of the Securities Act of 1933) as custodian with respect to any U.S. Government Obligation that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of or interest on the U.S. Government Obligation evidenced by such depositary receipt.</w:t>
      </w:r>
    </w:p>
    <w:p>
      <w:pPr>
        <w:spacing w:after="0" w:line="182" w:lineRule="exact"/>
        <w:rPr>
          <w:sz w:val="20"/>
          <w:szCs w:val="20"/>
          <w:color w:val="auto"/>
        </w:rPr>
      </w:pPr>
    </w:p>
    <w:p>
      <w:pPr>
        <w:ind w:right="8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Vice President</w:t>
      </w:r>
      <w:r>
        <w:rPr>
          <w:rFonts w:ascii="Times New Roman" w:cs="Times New Roman" w:eastAsia="Times New Roman" w:hAnsi="Times New Roman"/>
          <w:sz w:val="18"/>
          <w:szCs w:val="18"/>
          <w:color w:val="auto"/>
        </w:rPr>
        <w:t>”, when used with respect to the Company or the Trustee, means any vice president, whether or not designated by a number or a word or words added before or after the title “vice president”.</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i w:val="1"/>
          <w:iCs w:val="1"/>
          <w:color w:val="auto"/>
        </w:rPr>
        <w:t>Compliance Certificates and Opinions</w:t>
      </w:r>
      <w:r>
        <w:rPr>
          <w:rFonts w:ascii="Times New Roman" w:cs="Times New Roman" w:eastAsia="Times New Roman" w:hAnsi="Times New Roman"/>
          <w:sz w:val="17"/>
          <w:szCs w:val="17"/>
          <w:color w:val="auto"/>
        </w:rPr>
        <w:t>. (a) Except as otherwise expressly provided in this Indenture, upon any application or</w:t>
      </w:r>
    </w:p>
    <w:p>
      <w:pPr>
        <w:spacing w:after="0" w:line="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request by the Company to the Trustee to take any action under any provision of this Indenture, the Company shall, if requested by the Trustee,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4" w:lineRule="exact"/>
        <w:rPr>
          <w:sz w:val="20"/>
          <w:szCs w:val="20"/>
          <w:color w:val="auto"/>
        </w:rPr>
      </w:pPr>
    </w:p>
    <w:p>
      <w:pPr>
        <w:ind w:right="840" w:firstLine="1305"/>
        <w:spacing w:after="0" w:line="329" w:lineRule="auto"/>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(except for certificates provided for in Section 1004) shall include: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 a statement that each individual signing such certificate or opinion has read such covenant or condition and the definitions herein relating</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5" w:name="page46"/>
    <w:bookmarkEnd w:id="45"/>
    <w:p>
      <w:pPr>
        <w:ind w:left="660" w:right="100" w:firstLine="645"/>
        <w:spacing w:after="0" w:line="329" w:lineRule="auto"/>
        <w:tabs>
          <w:tab w:leader="none" w:pos="15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21" w:lineRule="exact"/>
        <w:rPr>
          <w:rFonts w:ascii="Times New Roman" w:cs="Times New Roman" w:eastAsia="Times New Roman" w:hAnsi="Times New Roman"/>
          <w:sz w:val="18"/>
          <w:szCs w:val="18"/>
          <w:color w:val="auto"/>
        </w:rPr>
      </w:pPr>
    </w:p>
    <w:p>
      <w:pPr>
        <w:ind w:left="660" w:right="180" w:firstLine="645"/>
        <w:spacing w:after="0" w:line="329" w:lineRule="auto"/>
        <w:tabs>
          <w:tab w:leader="none" w:pos="15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i w:val="1"/>
          <w:iCs w:val="1"/>
          <w:color w:val="auto"/>
        </w:rPr>
        <w:t>Form of Documents Delivered to Trustee</w:t>
      </w:r>
      <w:r>
        <w:rPr>
          <w:rFonts w:ascii="Times New Roman" w:cs="Times New Roman" w:eastAsia="Times New Roman" w:hAnsi="Times New Roman"/>
          <w:sz w:val="17"/>
          <w:szCs w:val="17"/>
          <w:color w:val="auto"/>
        </w:rPr>
        <w:t>. (a) In any case where several matters are required to be certified by, or covered by</w:t>
      </w:r>
    </w:p>
    <w:p>
      <w:pPr>
        <w:spacing w:after="0" w:line="6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certificate, statement or opinion of an officer of the Company may be based, insofar as it relates to legal matters, upon a certificate</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 an Opinion of Counsel, or representations by counsel. Any such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Any certificate, statement or opinion of an officer of the Company or of counsel may be based, insofar as it relates to accounting matters, upon a certificate, statement or opinion of, or representations by, an accountant or firm of accountants in the employ of the Company. Any certificate, statement or opinion of, or representations by, any independent firm of public accountants filed with the Trustee shall contain a statement that such firm is independent.</w:t>
      </w:r>
    </w:p>
    <w:p>
      <w:pPr>
        <w:spacing w:after="0" w:line="188" w:lineRule="exact"/>
        <w:rPr>
          <w:sz w:val="20"/>
          <w:szCs w:val="20"/>
          <w:color w:val="auto"/>
        </w:rPr>
      </w:pPr>
    </w:p>
    <w:p>
      <w:pPr>
        <w:ind w:right="100" w:firstLine="1305"/>
        <w:spacing w:after="0" w:line="329" w:lineRule="auto"/>
        <w:tabs>
          <w:tab w:leader="none" w:pos="15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Acts of Holders</w:t>
      </w:r>
      <w:r>
        <w:rPr>
          <w:rFonts w:ascii="Times New Roman" w:cs="Times New Roman" w:eastAsia="Times New Roman" w:hAnsi="Times New Roman"/>
          <w:sz w:val="18"/>
          <w:szCs w:val="18"/>
          <w:color w:val="auto"/>
        </w:rPr>
        <w:t>. (a) Any request, demand, authorization, direction, notice, consent, waiver or other action provided or</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permitted by this Indenture to be made,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fact and date of the execution by any Person of any such instrument or writing may be proved by the affidavit of a witness of such</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acceptable to the Trustee.</w:t>
      </w:r>
    </w:p>
    <w:p>
      <w:pPr>
        <w:spacing w:after="0" w:line="180" w:lineRule="exact"/>
        <w:rPr>
          <w:sz w:val="20"/>
          <w:szCs w:val="20"/>
          <w:color w:val="auto"/>
        </w:rPr>
      </w:pPr>
    </w:p>
    <w:p>
      <w:pPr>
        <w:ind w:right="560" w:firstLine="1305"/>
        <w:spacing w:after="0" w:line="329" w:lineRule="auto"/>
        <w:tabs>
          <w:tab w:leader="none" w:pos="15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(except as otherwise contemplated in clause (ii) of the proviso to the definition of “Outstanding”) and serial numbers of Securities held by any Person, and the date of holding the same, shall be proved by the Security Register.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(d) Any request, demand, authorization, direction, notice, consent, election, waiver or other Act of the Holder of any Security shall bind</w:t>
      </w:r>
    </w:p>
    <w:p>
      <w:pPr>
        <w:spacing w:after="0" w:line="5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Company may set a record date for purposes of determining the identity of Holders of any Outstanding Securities of any series</w:t>
      </w:r>
    </w:p>
    <w:p>
      <w:pPr>
        <w:spacing w:after="0" w:line="5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entitled to vote or consent to any action by vote or consent authorized or permitted by Section 512 or 513. Such record date shall be not less than 10 nor more than 60 days prior to the first solicitation of such consent or the date of the most recent list of Holders of such Securities furnished to the Trustee pursuant to Section 701 prior to such solicitation.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If the Company solicits from Holders any request, demand, authorization, direction, notice, consent, election, waiver or other Act, the</w:t>
      </w:r>
    </w:p>
    <w:p>
      <w:pPr>
        <w:spacing w:after="0" w:line="50"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Company may, at its option, fix in advance a record date for the determination of Holders entitled to give such request, demand, authorization, direction, notice, consent, election, waiver or other Act, but the Company shall have no obligation to do so. If such a record date is fixed, such request, demand, authorization, direction, notice, consent, election, waiver or other Act may be given before or after such record date, but only the Holders of record at the close of business on the record date shall be deemed to be Holders for the purposes of determining whether Holders of the requisite proportion of the Outstanding Securities have authorized or agreed or consented to such request, demand, authorization, direction, notice, consent, election, waiver or other Act, and for that purpose the Outstanding Securities shall be computed as of the record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i w:val="1"/>
          <w:iCs w:val="1"/>
          <w:color w:val="auto"/>
        </w:rPr>
        <w:t>Notices, Etc. to Trustee and Company</w:t>
      </w:r>
      <w:r>
        <w:rPr>
          <w:rFonts w:ascii="Times New Roman" w:cs="Times New Roman" w:eastAsia="Times New Roman" w:hAnsi="Times New Roman"/>
          <w:sz w:val="18"/>
          <w:szCs w:val="18"/>
          <w:color w:val="auto"/>
        </w:rPr>
        <w:t>. Except as otherwise provided herein, any request, demand, authorization, direction,</w:t>
      </w:r>
    </w:p>
    <w:p>
      <w:pPr>
        <w:spacing w:after="0" w:line="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notice, consent, election, waiver or Act of Holders or other document provided or permitted by this Indenture to be made upon, given or furnished to, or filed with,</w:t>
      </w:r>
    </w:p>
    <w:p>
      <w:pPr>
        <w:spacing w:after="0" w:line="162" w:lineRule="exact"/>
        <w:rPr>
          <w:sz w:val="20"/>
          <w:szCs w:val="20"/>
          <w:color w:val="auto"/>
        </w:rPr>
      </w:pPr>
    </w:p>
    <w:p>
      <w:pPr>
        <w:ind w:left="660" w:firstLine="645"/>
        <w:spacing w:after="0" w:line="329" w:lineRule="auto"/>
        <w:tabs>
          <w:tab w:leader="none" w:pos="15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by any Holder or by the Company shall be sufficient for every purpose hereunder if made, given, furnished or filed in writing to or with the Trustee at its Corporate Trust Office, Attention: •, or</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w:t>
      </w:r>
    </w:p>
    <w:p>
      <w:pPr>
        <w:spacing w:after="0" w:line="50"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provided) if in writing and mailed, first-class postage prepaid, to the Company addressed to it at the address of its principal office specified in the first paragraph of this instrument or at any other address furnished in writing to the Trustee by the Company prior to such mailing.</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i w:val="1"/>
          <w:iCs w:val="1"/>
          <w:color w:val="auto"/>
        </w:rPr>
        <w:t>Notice to Holders; Waiver</w:t>
      </w:r>
      <w:r>
        <w:rPr>
          <w:rFonts w:ascii="Times New Roman" w:cs="Times New Roman" w:eastAsia="Times New Roman" w:hAnsi="Times New Roman"/>
          <w:sz w:val="18"/>
          <w:szCs w:val="18"/>
          <w:color w:val="auto"/>
        </w:rPr>
        <w:t>. (a) Except as otherwise expressly provided herein, where this Indenture provides for notice of</w:t>
      </w:r>
    </w:p>
    <w:p>
      <w:pPr>
        <w:spacing w:after="0" w:line="5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any event or reports to Holders, such notice or report shall be sufficiently given if in writing and mailed, first-class postage prepaid or electronically in the case of Global Securities, to each Holder of Securities affected by such event, at the address of such Holder as it appears in the Security Register and to addresses filed with the Trustee or preserved on the Trustee’s list pursuant to Section 702(a) for other Holders (and to such other addressees as may be required in the case of such notice or report under Section 313(c) of the Trust Indenture Act), not later than the latest date, and not earlier than the earliest date, prescribed for the giving of such notice or report.</w:t>
      </w:r>
    </w:p>
    <w:p>
      <w:pPr>
        <w:spacing w:after="0" w:line="184" w:lineRule="exact"/>
        <w:rPr>
          <w:sz w:val="20"/>
          <w:szCs w:val="20"/>
          <w:color w:val="auto"/>
        </w:rPr>
      </w:pPr>
    </w:p>
    <w:p>
      <w:pPr>
        <w:ind w:right="260" w:firstLine="1305"/>
        <w:spacing w:after="0" w:line="329" w:lineRule="auto"/>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where notice to Holders is given by mail, neither the failure to mail such notice, nor any defect in any notice so mailed, to any particular Holder shall affect the sufficiency of such notice with respect to other Holders.</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8"/>
          <w:szCs w:val="18"/>
          <w:color w:val="auto"/>
        </w:rPr>
        <w:t>(d) Notwithstanding any other provision of this Indenture or any Security, where this Indenture or any Security provides for notice of any</w:t>
      </w:r>
    </w:p>
    <w:p>
      <w:pPr>
        <w:spacing w:after="0" w:line="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event (including any notice of redemption) to a holder of a Global Security (whether by mail or otherwise), such notice shall be sufficiently given if given to the Depositary for such Security (or its designee) pursuant to the applicable procedures of the Depositary.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i w:val="1"/>
          <w:iCs w:val="1"/>
          <w:color w:val="auto"/>
        </w:rPr>
        <w:t>Conflict With Trust Indenture Act</w:t>
      </w:r>
      <w:r>
        <w:rPr>
          <w:rFonts w:ascii="Times New Roman" w:cs="Times New Roman" w:eastAsia="Times New Roman" w:hAnsi="Times New Roman"/>
          <w:sz w:val="18"/>
          <w:szCs w:val="18"/>
          <w:color w:val="auto"/>
        </w:rPr>
        <w:t>. If any provision hereof limits, qualifies or conflicts with a provision of the Trust</w:t>
      </w:r>
    </w:p>
    <w:p>
      <w:pPr>
        <w:spacing w:after="0" w:line="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74" w:lineRule="exact"/>
        <w:rPr>
          <w:sz w:val="20"/>
          <w:szCs w:val="20"/>
          <w:color w:val="auto"/>
        </w:rPr>
      </w:pPr>
    </w:p>
    <w:p>
      <w:pPr>
        <w:ind w:right="58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i w:val="1"/>
          <w:iCs w:val="1"/>
          <w:color w:val="auto"/>
        </w:rPr>
        <w:t>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18" w:lineRule="exact"/>
        <w:rPr>
          <w:sz w:val="20"/>
          <w:szCs w:val="20"/>
          <w:color w:val="auto"/>
        </w:rPr>
      </w:pPr>
    </w:p>
    <w:p>
      <w:pPr>
        <w:ind w:right="46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All covenants and agreements in this Indenture by the Company shall bind its successors and assigns, whether so expressed or not.</w:t>
      </w:r>
    </w:p>
    <w:p>
      <w:pPr>
        <w:spacing w:after="0" w:line="118" w:lineRule="exact"/>
        <w:rPr>
          <w:sz w:val="20"/>
          <w:szCs w:val="20"/>
          <w:color w:val="auto"/>
        </w:rPr>
      </w:pPr>
    </w:p>
    <w:p>
      <w:pPr>
        <w:ind w:right="46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i w:val="1"/>
          <w:iCs w:val="1"/>
          <w:color w:val="auto"/>
        </w:rPr>
        <w:t>Separability Clause</w:t>
      </w:r>
      <w:r>
        <w:rPr>
          <w:rFonts w:ascii="Times New Roman" w:cs="Times New Roman" w:eastAsia="Times New Roman" w:hAnsi="Times New Roman"/>
          <w:sz w:val="18"/>
          <w:szCs w:val="18"/>
          <w:color w:val="auto"/>
        </w:rPr>
        <w:t>. In case any provision in this Indenture or in the Securities is invalid, illegal or unenforceable, the validity, legality and enforceability of the remaining provisions shall not in any way be affected or impaired thereby.</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i w:val="1"/>
          <w:iCs w:val="1"/>
          <w:color w:val="auto"/>
        </w:rPr>
        <w:t>Benefits of Indenture</w:t>
      </w:r>
      <w:r>
        <w:rPr>
          <w:rFonts w:ascii="Times New Roman" w:cs="Times New Roman" w:eastAsia="Times New Roman" w:hAnsi="Times New Roman"/>
          <w:sz w:val="18"/>
          <w:szCs w:val="18"/>
          <w:color w:val="auto"/>
        </w:rPr>
        <w:t>. Nothing in this Indenture or in the Securities, express or implied, shall give to any Person, other than</w:t>
      </w:r>
    </w:p>
    <w:p>
      <w:pPr>
        <w:spacing w:after="0" w:line="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parties hereto (including any Paying Agent appointed pursuant to Section 1002 and Authenticating Agent appointed pursuant to Section 614 to the extent provided herein) and their successors hereunder and the Holders, any benefit or any legal or equitable right, remedy or claim under this Indenture.</w:t>
      </w:r>
    </w:p>
    <w:p>
      <w:pPr>
        <w:spacing w:after="0" w:line="160" w:lineRule="exact"/>
        <w:rPr>
          <w:sz w:val="20"/>
          <w:szCs w:val="20"/>
          <w:color w:val="auto"/>
        </w:rPr>
      </w:pPr>
    </w:p>
    <w:p>
      <w:pPr>
        <w:ind w:right="26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Indenture and the Securities shall be governed by and construed in accordance with the laws of the State of New York in the United States, but without giving effect to the conflicts of laws principles thereof.</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113. </w:t>
      </w:r>
      <w:r>
        <w:rPr>
          <w:rFonts w:ascii="Times New Roman" w:cs="Times New Roman" w:eastAsia="Times New Roman" w:hAnsi="Times New Roman"/>
          <w:sz w:val="17"/>
          <w:szCs w:val="17"/>
          <w:i w:val="1"/>
          <w:iCs w:val="1"/>
          <w:color w:val="auto"/>
        </w:rPr>
        <w:t>Legal Holidays</w:t>
      </w:r>
      <w:r>
        <w:rPr>
          <w:rFonts w:ascii="Times New Roman" w:cs="Times New Roman" w:eastAsia="Times New Roman" w:hAnsi="Times New Roman"/>
          <w:sz w:val="17"/>
          <w:szCs w:val="17"/>
          <w:color w:val="auto"/>
        </w:rPr>
        <w:t>. In any case where any Interest Payment Date, Redemption Date, Repayment Date or Stated Maturity of any</w:t>
      </w:r>
    </w:p>
    <w:p>
      <w:pPr>
        <w:spacing w:after="0" w:line="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Security is not a Business Day at any Place of Payment or the city in which the Corporate Trust Office of the Trustee is located, then (notwithstanding any other provision of this Indenture or of the Securities, other than a provision in Securities of any series, or in the Board Resolution, Supplemental Indenture or Officer’s Certificate that establishes the terms of such Securities, that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Repayment Date, or at the Stated Maturity, and such extension of time shall in such case be (1) excluded in the computation of interest, if any, accruing on such Security at a fixed rate and (2) included in the computation of interest, if any, accruing on such Security at a floating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extension would cause payment of interest at a floating rate to be made in the next following calendar month, such payment shall be made on the next preceding Business Day.</w:t>
      </w:r>
    </w:p>
    <w:p>
      <w:pPr>
        <w:spacing w:after="0" w:line="183" w:lineRule="exact"/>
        <w:rPr>
          <w:sz w:val="20"/>
          <w:szCs w:val="20"/>
          <w:color w:val="auto"/>
        </w:rPr>
      </w:pPr>
    </w:p>
    <w:p>
      <w:pPr>
        <w:ind w:right="38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i w:val="1"/>
          <w:iCs w:val="1"/>
          <w:color w:val="auto"/>
        </w:rPr>
        <w:t>Rules by Trustee and Agents</w:t>
      </w:r>
      <w:r>
        <w:rPr>
          <w:rFonts w:ascii="Times New Roman" w:cs="Times New Roman" w:eastAsia="Times New Roman" w:hAnsi="Times New Roman"/>
          <w:sz w:val="18"/>
          <w:szCs w:val="18"/>
          <w:color w:val="auto"/>
        </w:rPr>
        <w:t>. The Trustee may make reasonable rules for action by or at a meeting of Holders of one or more series. The Paying Agent or Security Registrar may make reasonable rules and set reasonable requirements for its functions.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 past, present or future director, officer, stockholder or employee, as such, of the Company</w:t>
      </w:r>
    </w:p>
    <w:p>
      <w:pPr>
        <w:spacing w:after="0" w:line="5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or any of its Affiliates or any successor corporation shall have any liability for any obligation, covenant or agreement of the Company under this Indenture or any indenture supplemental hereto, or in the Securities, or for any claim based on, in respect of or by reason of such obligations, covenants or agreements or their creation. Each Holder by accepting a Security waives and releases all such</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liability. The waiver and release are part of the consideration for the execution and delivery of this Indenture and the issue of the Securities.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SECURITY FORMS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Forms Generally</w:t>
      </w:r>
      <w:r>
        <w:rPr>
          <w:rFonts w:ascii="Times New Roman" w:cs="Times New Roman" w:eastAsia="Times New Roman" w:hAnsi="Times New Roman"/>
          <w:sz w:val="18"/>
          <w:szCs w:val="18"/>
          <w:color w:val="auto"/>
        </w:rPr>
        <w:t>. (a) The Securities of each series shall be in substantially such form as shall be established by or pursuant</w:t>
      </w:r>
    </w:p>
    <w:p>
      <w:pPr>
        <w:spacing w:after="0" w:line="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a Board Resolution, and set forth in an Officer’s Certificate, or established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any rules or regulations pursuant thereto, or with any rules of any securities exchange or to conform with general usage, all as may, consistently herewith, be determined by the officers executing such Securities, as evidenced by their execution of the Securities. When the form of Securities of any series is established by action taken pursuant to a Board Resolution, a copy of an appropriate record of such action shall be delivered to the Trustee at or prior to the delivery of the Company Order contemplated by Section 303 for the authentication and delivery of such Securities.</w:t>
      </w:r>
    </w:p>
    <w:p>
      <w:pPr>
        <w:spacing w:after="0" w:line="189" w:lineRule="exact"/>
        <w:rPr>
          <w:sz w:val="20"/>
          <w:szCs w:val="20"/>
          <w:color w:val="auto"/>
        </w:rPr>
      </w:pPr>
    </w:p>
    <w:p>
      <w:pPr>
        <w:ind w:right="120" w:firstLine="1305"/>
        <w:spacing w:after="0" w:line="329" w:lineRule="auto"/>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definitive Securities shall be produced in such manner or combination of manners, all as determined by the officers executing such Securities, as evidenced by their execution of such Securities.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Form of Trustee’s Certificate of Authentication</w:t>
      </w:r>
      <w:r>
        <w:rPr>
          <w:rFonts w:ascii="Times New Roman" w:cs="Times New Roman" w:eastAsia="Times New Roman" w:hAnsi="Times New Roman"/>
          <w:sz w:val="18"/>
          <w:szCs w:val="18"/>
          <w:color w:val="auto"/>
        </w:rPr>
        <w:t>. The Trustee’s certificate of authentication shall be in substantially the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form: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 referred to in the within-mentioned Indenture.</w:t>
      </w:r>
    </w:p>
    <w:p>
      <w:pPr>
        <w:spacing w:after="0" w:line="38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9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180340</wp:posOffset>
            </wp:positionV>
            <wp:extent cx="3387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7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27" w:lineRule="exact"/>
        <w:rPr>
          <w:sz w:val="20"/>
          <w:szCs w:val="20"/>
          <w:color w:val="auto"/>
        </w:rPr>
      </w:pPr>
    </w:p>
    <w:p>
      <w:pPr>
        <w:ind w:right="46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Amount Unlimited; Issuable in Series</w:t>
      </w:r>
      <w:r>
        <w:rPr>
          <w:rFonts w:ascii="Times New Roman" w:cs="Times New Roman" w:eastAsia="Times New Roman" w:hAnsi="Times New Roman"/>
          <w:sz w:val="18"/>
          <w:szCs w:val="18"/>
          <w:color w:val="auto"/>
        </w:rPr>
        <w:t>. (a) The aggregate principal amount of Securities that may be authenticated and delivered under this Indenture is unlimited.</w:t>
      </w:r>
    </w:p>
    <w:p>
      <w:pPr>
        <w:sectPr>
          <w:pgSz w:w="11900" w:h="16838" w:orient="portrait"/>
          <w:cols w:equalWidth="0" w:num="1">
            <w:col w:w="11380"/>
          </w:cols>
          <w:pgMar w:left="240" w:top="580" w:right="279" w:bottom="1440" w:gutter="0" w:footer="0" w:header="0"/>
        </w:sectPr>
      </w:pPr>
    </w:p>
    <w:bookmarkStart w:id="49" w:name="page50"/>
    <w:bookmarkEnd w:id="49"/>
    <w:p>
      <w:pPr>
        <w:ind w:left="-240" w:firstLine="1305"/>
        <w:spacing w:after="0" w:line="329"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be issued in one or more series. There shall be established in or pursuant to a Board Resolution, and set forth in an Officer’s Certificate, or established in one or more indentures supplemental hereto, prior to the issuance of Securities of any series,</w:t>
      </w:r>
    </w:p>
    <w:p>
      <w:pPr>
        <w:spacing w:after="0" w:line="121" w:lineRule="exact"/>
        <w:rPr>
          <w:sz w:val="20"/>
          <w:szCs w:val="20"/>
          <w:color w:val="auto"/>
        </w:rPr>
      </w:pPr>
    </w:p>
    <w:p>
      <w:pPr>
        <w:ind w:left="1280" w:hanging="215"/>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such series (which shall distinguish the Securities of the series from all other Securities);</w:t>
      </w:r>
    </w:p>
    <w:p>
      <w:pPr>
        <w:spacing w:after="0" w:line="265" w:lineRule="exact"/>
        <w:rPr>
          <w:rFonts w:ascii="Times New Roman" w:cs="Times New Roman" w:eastAsia="Times New Roman" w:hAnsi="Times New Roman"/>
          <w:sz w:val="18"/>
          <w:szCs w:val="18"/>
          <w:color w:val="auto"/>
        </w:rPr>
      </w:pPr>
    </w:p>
    <w:p>
      <w:pPr>
        <w:ind w:left="420" w:right="440" w:firstLine="645"/>
        <w:spacing w:after="0" w:line="329" w:lineRule="auto"/>
        <w:tabs>
          <w:tab w:leader="none" w:pos="12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such series that may be authenticated and delivered under this Indenture (except for Securities authenticated and delivered upon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219075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60"/>
          </w:cols>
          <w:pgMar w:left="480" w:top="580" w:right="459" w:bottom="1440" w:gutter="0" w:footer="0" w:header="0"/>
        </w:sectPr>
      </w:pPr>
    </w:p>
    <w:bookmarkStart w:id="50" w:name="page51"/>
    <w:bookmarkEnd w:id="50"/>
    <w:p>
      <w:pPr>
        <w:ind w:right="180"/>
        <w:spacing w:after="0" w:line="282" w:lineRule="auto"/>
        <w:rPr>
          <w:sz w:val="20"/>
          <w:szCs w:val="20"/>
          <w:color w:val="auto"/>
        </w:rPr>
      </w:pPr>
      <w:r>
        <w:rPr>
          <w:rFonts w:ascii="Times New Roman" w:cs="Times New Roman" w:eastAsia="Times New Roman" w:hAnsi="Times New Roman"/>
          <w:sz w:val="18"/>
          <w:szCs w:val="18"/>
          <w:color w:val="auto"/>
        </w:rPr>
        <w:t>registration of transfer of, or in exchange for, or in lieu of, other Securities of such series pursuant to Section 304, 305, 306, 906, 1107 or 1204 and except for any Securities that, pursuant to Section 303, are deemed never to have been authenticated and delivered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 the date or dates on which the principal and premium, if any, of the Securities of such series, or any Tranche thereof, is payable or any</w:t>
      </w:r>
    </w:p>
    <w:p>
      <w:pPr>
        <w:spacing w:after="0" w:line="5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formula or other method or other means by which such date or dates shall be determined, by reference to an index or other fact or event ascertainable outside of this Indenture or otherwise (without regard to any provisions for redemption, prepayment, acceleration, purchase or extension);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 the rate or rates at which the Securities of such series, or any Tranche thereof, shall bear interest, if any (including the rate or rates at</w:t>
      </w:r>
    </w:p>
    <w:p>
      <w:pPr>
        <w:spacing w:after="0" w:line="5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which overdue principal shall bear interest, if different from the rate or rates at which such Securities shall bear interest prior to Maturity, and, if applicable, the rate or rates at which overdue premium or interest shall bear interest, if any), or any formula or other method or other means by which such rate or rates shall be determined, by reference to an index or other fact or event ascertainable outside of this Indenture or otherwise; the date or dates from which such interest shall accrue; the Interest Payment Dates on which such interest shall be payable and the Regular Record Date, if any, for the interest payable on such Securities on any Interest Payment Date; the right of the Company, if any, to extend the interest payment periods and the duration of any such extension as contemplated by Section 312; and the basis of computation of interest, if other than as provided in Section 310;</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 the place or places where the principal of and premium, if any, and interest, if any, on Securities of such series, or any Tranche thereof,</w:t>
      </w:r>
    </w:p>
    <w:p>
      <w:pPr>
        <w:spacing w:after="0" w:line="5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shall be payable, where the Securities of such series, or any Tranche thereof, may be surrendered for registration of transferor for exchange, and where notices and demands to or upon the Company in respect of the Securities of such series, or any Tranche thereof, and this Indenture may be served and notices to Holders pursuant to Section 106 will be published; the Security Registrar and any Paying Agent or Agents for such series or Tranche; and if such is the case, that the principal of such Securities shall be payable without presentment or surrender thereof;</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 if applicable, the period or periods within which, the price or prices at which and the terms and conditions upon which Securities of such</w:t>
      </w:r>
    </w:p>
    <w:p>
      <w:pPr>
        <w:spacing w:after="0" w:line="5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series, or any Tranche thereof, may be redeemed, in whole or in part, at the option of the Company and, if other than by a Board Resolution, the manner in which any election by the Company to redeem such Securities shall be evidenced;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the obligation, if any, of the Company to redeem or purchase Securities of such series, or any Tranche thereof, pursuant to any sinking</w:t>
      </w:r>
    </w:p>
    <w:p>
      <w:pPr>
        <w:spacing w:after="0" w:line="5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fund or analogous provisions or at the option of the Holder thereof and the period or periods within which, the price or prices at which and the terms and conditions upon which Securities of such series, or any Tranche thereof, shall be redeemed or purchased, in whole or in part, pursuant to such obligation;</w:t>
      </w:r>
    </w:p>
    <w:p>
      <w:pPr>
        <w:spacing w:after="0" w:line="176" w:lineRule="exact"/>
        <w:rPr>
          <w:sz w:val="20"/>
          <w:szCs w:val="20"/>
          <w:color w:val="auto"/>
        </w:rPr>
      </w:pPr>
    </w:p>
    <w:p>
      <w:pPr>
        <w:ind w:left="860" w:hanging="215"/>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Securities of such series will be subordinate in right and priority of payment to other debt of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25" w:lineRule="exact"/>
        <w:rPr>
          <w:rFonts w:ascii="Times New Roman" w:cs="Times New Roman" w:eastAsia="Times New Roman" w:hAnsi="Times New Roman"/>
          <w:sz w:val="18"/>
          <w:szCs w:val="18"/>
          <w:color w:val="auto"/>
        </w:rPr>
      </w:pPr>
    </w:p>
    <w:p>
      <w:pPr>
        <w:ind w:right="560" w:firstLine="645"/>
        <w:spacing w:after="0" w:line="329" w:lineRule="auto"/>
        <w:tabs>
          <w:tab w:leader="none" w:pos="8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any Securities of such series shall be issuable, if other than denominations of $1,000 and any integral multiple thereof;</w:t>
      </w:r>
    </w:p>
    <w:p>
      <w:pPr>
        <w:spacing w:after="0" w:line="121" w:lineRule="exact"/>
        <w:rPr>
          <w:rFonts w:ascii="Times New Roman" w:cs="Times New Roman" w:eastAsia="Times New Roman" w:hAnsi="Times New Roman"/>
          <w:sz w:val="18"/>
          <w:szCs w:val="18"/>
          <w:color w:val="auto"/>
        </w:rPr>
      </w:pPr>
    </w:p>
    <w:p>
      <w:pPr>
        <w:ind w:right="300" w:firstLine="645"/>
        <w:spacing w:after="0" w:line="329" w:lineRule="auto"/>
        <w:tabs>
          <w:tab w:leader="none" w:pos="9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such series that shall be payable upon declaration of acceleration of the Maturity thereof pursuant to Section 502;</w:t>
      </w:r>
    </w:p>
    <w:p>
      <w:pPr>
        <w:spacing w:after="0" w:line="121"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of America, the currency or currencies, including composite currencies, in which the</w:t>
      </w:r>
    </w:p>
    <w:p>
      <w:pPr>
        <w:spacing w:after="0" w:line="5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principal of or any premium or interest on the Securities of such series shall be payable and the manner of determining the equivalent of any such amount in Dollars is to be determined for any purpose, including for the purpose of determining the principal amount of such Securities deemed to be Outstanding at any time;</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219075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40"/>
          </w:cols>
          <w:pgMar w:left="900" w:top="580" w:right="25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8"/>
          <w:szCs w:val="18"/>
          <w:color w:val="auto"/>
        </w:rPr>
        <w:t>(12) if the principal of or any premium or interest on the Securities of such series is to be payable, or is to be payable at the election of the</w:t>
      </w:r>
    </w:p>
    <w:p>
      <w:pPr>
        <w:spacing w:after="0" w:line="50" w:lineRule="exact"/>
        <w:rPr>
          <w:sz w:val="20"/>
          <w:szCs w:val="20"/>
          <w:color w:val="auto"/>
        </w:rPr>
      </w:pPr>
    </w:p>
    <w:p>
      <w:pPr>
        <w:ind w:left="660" w:right="80"/>
        <w:spacing w:after="0" w:line="313" w:lineRule="auto"/>
        <w:rPr>
          <w:sz w:val="20"/>
          <w:szCs w:val="20"/>
          <w:color w:val="auto"/>
        </w:rPr>
      </w:pPr>
      <w:r>
        <w:rPr>
          <w:rFonts w:ascii="Times New Roman" w:cs="Times New Roman" w:eastAsia="Times New Roman" w:hAnsi="Times New Roman"/>
          <w:sz w:val="17"/>
          <w:szCs w:val="17"/>
          <w:color w:val="auto"/>
        </w:rPr>
        <w:t>Company or a Holder thereof, in securities or other property, the type and amount of such securities or other property, or the manner of determining such amount shall be determined, and the period or periods within which, and the terms and conditions upon which, any such election may be made;</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 the Person to whom any interest on any Security of such series shall be payable, if other than the Person in whose name that Security is</w:t>
      </w:r>
    </w:p>
    <w:p>
      <w:pPr>
        <w:spacing w:after="0" w:line="50"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registered at the close of business on the Regular Record Date for such interest, and the extent to which, or the manner in which, any interest payable on a temporary or permanent Global Security on an interest payment date will be paid;</w:t>
      </w:r>
    </w:p>
    <w:p>
      <w:pPr>
        <w:spacing w:after="0" w:line="162" w:lineRule="exact"/>
        <w:rPr>
          <w:sz w:val="20"/>
          <w:szCs w:val="20"/>
          <w:color w:val="auto"/>
        </w:rPr>
      </w:pPr>
    </w:p>
    <w:p>
      <w:pPr>
        <w:ind w:left="660" w:right="340" w:firstLine="645"/>
        <w:spacing w:after="0" w:line="329" w:lineRule="auto"/>
        <w:tabs>
          <w:tab w:leader="none" w:pos="16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with respect to the Securities of such series, and any addition to or change in the covenants of the Company for the benefit of the Holders of the Securities of such series in addition to those set forth in Article Ten;</w:t>
      </w:r>
    </w:p>
    <w:p>
      <w:pPr>
        <w:spacing w:after="0" w:line="121" w:lineRule="exact"/>
        <w:rPr>
          <w:rFonts w:ascii="Times New Roman" w:cs="Times New Roman" w:eastAsia="Times New Roman" w:hAnsi="Times New Roman"/>
          <w:sz w:val="18"/>
          <w:szCs w:val="18"/>
          <w:color w:val="auto"/>
        </w:rPr>
      </w:pPr>
    </w:p>
    <w:p>
      <w:pPr>
        <w:ind w:left="660" w:right="280" w:firstLine="645"/>
        <w:spacing w:after="0" w:line="329" w:lineRule="auto"/>
        <w:tabs>
          <w:tab w:leader="none" w:pos="16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Securities of such series may be converted into or exchanged for securities or other property of the Company or any other Person;</w:t>
      </w:r>
    </w:p>
    <w:p>
      <w:pPr>
        <w:spacing w:after="0" w:line="121" w:lineRule="exact"/>
        <w:rPr>
          <w:rFonts w:ascii="Times New Roman" w:cs="Times New Roman" w:eastAsia="Times New Roman" w:hAnsi="Times New Roman"/>
          <w:sz w:val="18"/>
          <w:szCs w:val="18"/>
          <w:color w:val="auto"/>
        </w:rPr>
      </w:pPr>
    </w:p>
    <w:p>
      <w:pPr>
        <w:ind w:left="660" w:right="440" w:firstLine="645"/>
        <w:spacing w:after="0" w:line="329" w:lineRule="auto"/>
        <w:tabs>
          <w:tab w:leader="none" w:pos="16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Company’s obligations under this Indenture may be terminated through the deposit of money or Eligible Instruments as provided in Article Four;</w:t>
      </w:r>
    </w:p>
    <w:p>
      <w:pPr>
        <w:spacing w:after="0" w:line="121"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exceptions to Section 113, or variation in the definition of Business Day, with respect to the Securities of such series;</w:t>
      </w:r>
    </w:p>
    <w:p>
      <w:pPr>
        <w:spacing w:after="0" w:line="265"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security, assurance or guaranty for the Securities of such series;</w:t>
      </w:r>
    </w:p>
    <w:p>
      <w:pPr>
        <w:spacing w:after="0" w:line="265"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6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non-applicability of Section 608 to the Securities of such series or any exceptions or modifications of Section 608 with respect to the Securities of such series;</w:t>
      </w:r>
    </w:p>
    <w:p>
      <w:pPr>
        <w:spacing w:after="0" w:line="121"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duties of another Person to assume the obligations of the Company with respect to the Securities of such series (whether</w:t>
      </w:r>
    </w:p>
    <w:p>
      <w:pPr>
        <w:spacing w:after="0" w:line="50"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as joint obligor, primary obligor, secondary obligor or substitute obligor) and any rights or duties to discharge and release any obligor with respect to the Securities of such series or this Indenture to the extent related to such series; and</w:t>
      </w:r>
    </w:p>
    <w:p>
      <w:pPr>
        <w:spacing w:after="0" w:line="162" w:lineRule="exact"/>
        <w:rPr>
          <w:sz w:val="20"/>
          <w:szCs w:val="20"/>
          <w:color w:val="auto"/>
        </w:rPr>
      </w:pPr>
    </w:p>
    <w:p>
      <w:pPr>
        <w:ind w:left="660" w:right="60" w:firstLine="645"/>
        <w:spacing w:after="0" w:line="329" w:lineRule="auto"/>
        <w:tabs>
          <w:tab w:leader="none" w:pos="16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conditions and rights of such series (which terms, conditions and rights shall not be inconsistent with the provisions of this Indenture, except as permitted by Section 901(a)(4)).</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All Securities of any one series (other than Securities offered in a Periodic Offering) shall be substantially identical except as to</w:t>
      </w:r>
    </w:p>
    <w:p>
      <w:pPr>
        <w:spacing w:after="0" w:line="5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denomination and except as may otherwise be provided in or pursuant to such Board Resolution and set forth in such Officer’s Certificate or in any such indenture supplemental hereto and as reasonably acceptable to the Trustee. Securities of different series may differ in any respect.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If the terms and form or forms of any series of Securities are established by or pursuant to a Board Resolution, the Company shall</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deliver a copy of such Board Resolution to the Trustee at or prior to the issuance of such series with (1) the form or forms of Security that have been approved attached thereto, or (2) if such Board Resolution authorizes a specific officer or officers to approve the terms and form or forms of the Securities, a certificate of such officer or officers approving the terms and form or forms of Security with such form or forms of Securities attached thereto. Such Board Resolution or certificate may provide general terms or parameters for Securities of any series and may provide that the specific terms of particular Securities of a series may be determined in accordance with or pursuant to the Company Order referred to in Section 303.</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With respect to Securities of a series subject to a Periodic Offering, the indenture supplemental hereto or the Board Resolution that</w:t>
      </w:r>
    </w:p>
    <w:p>
      <w:pPr>
        <w:spacing w:after="0" w:line="5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establishes such series, or the Officer’s Certificate pursuant to such supplemental indenture or Board Resolution, as the case may be, may provide general terms or parameters for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ind w:right="200"/>
        <w:spacing w:after="0" w:line="282" w:lineRule="auto"/>
        <w:rPr>
          <w:sz w:val="20"/>
          <w:szCs w:val="20"/>
          <w:color w:val="auto"/>
        </w:rPr>
      </w:pPr>
      <w:r>
        <w:rPr>
          <w:rFonts w:ascii="Times New Roman" w:cs="Times New Roman" w:eastAsia="Times New Roman" w:hAnsi="Times New Roman"/>
          <w:sz w:val="18"/>
          <w:szCs w:val="18"/>
          <w:color w:val="auto"/>
        </w:rPr>
        <w:t>Securities of such series and provide either that the specific terms of Securities of such series shall be specified in a Company Order or that such terms shall be determined by the Company or its agents in accordance with procedures specified in a Company Order as contemplated by Section 303(c).</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Unless otherwise specified with respect to a series of Securities pursuant to paragraph (2) of Section 301(b), such series of Securities may</w:t>
      </w:r>
    </w:p>
    <w:p>
      <w:pPr>
        <w:spacing w:after="0" w:line="6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be issued in one or more Tranches with various principal amounts without the consent of any Holders and additional Tranches of such series may be authenticated and delivered pursuant to Section 303.</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i w:val="1"/>
          <w:iCs w:val="1"/>
          <w:color w:val="auto"/>
        </w:rPr>
        <w:t>Denominations</w:t>
      </w:r>
      <w:r>
        <w:rPr>
          <w:rFonts w:ascii="Times New Roman" w:cs="Times New Roman" w:eastAsia="Times New Roman" w:hAnsi="Times New Roman"/>
          <w:sz w:val="17"/>
          <w:szCs w:val="17"/>
          <w:color w:val="auto"/>
        </w:rPr>
        <w:t>. The Securities of each series shall be issuable in registered form in such denominations as shall be specified</w:t>
      </w:r>
    </w:p>
    <w:p>
      <w:pPr>
        <w:spacing w:after="0" w:line="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contemplated by Section 301(b). In the absence of any such provisions with respect to the Securities of any series, the Securities of such series shall be issuable in denominations of $1,000 and any integral multiple thereof.</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Execution, Authentication, Delivery and Dating</w:t>
      </w:r>
      <w:r>
        <w:rPr>
          <w:rFonts w:ascii="Times New Roman" w:cs="Times New Roman" w:eastAsia="Times New Roman" w:hAnsi="Times New Roman"/>
          <w:sz w:val="18"/>
          <w:szCs w:val="18"/>
          <w:color w:val="auto"/>
        </w:rPr>
        <w:t>. (a) The Securities shall be signed on behalf of the Company by an</w:t>
      </w:r>
    </w:p>
    <w:p>
      <w:pPr>
        <w:spacing w:after="0" w:line="5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Authorized Officer and attested by its Secretary or any Assistant Secretary. The signature of any of these officers on the Securities may be manual or facsimile. Typographical and other minor errors or defects in any such signature shall not affect the validity or enforceability of any Security that has been duly authenticated and delivered by the Trustee.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Securities bearing the manual or facsimile signatures of individuals who were at any time the proper officers of the Company shall bind</w:t>
      </w:r>
    </w:p>
    <w:p>
      <w:pPr>
        <w:spacing w:after="0" w:line="5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notwithstanding that such individuals or any of them have ceased to hold such offices prior to the authentication and delivery of such Securities or did not hold such offices at the date of such Securities.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any time and from time to time after the execution and delivery of this Indenture, the Company may deliver Securities of any series</w:t>
      </w:r>
    </w:p>
    <w:p>
      <w:pPr>
        <w:spacing w:after="0" w:line="5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(or any Tranche thereof) executed by the Company to the Trustee for authentication, together with a Company Order for the authentication and delivery of such Securities (or such Tranche), and the Trustee in accordance with the Company Order shall authenticate and deliver such Securities (or such Tranche);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with respect to Securities of a series subject to a Periodic Offering, (i) such Company Order may be delivered by the Company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prior to the delivery to the Trustee of such Securities for authentication and delivery, (ii) the Trustee shall authenticate and deliver Securities of such series for original issue from time to time, in an aggregate principal amount not exceeding the aggregate principal amount established for such series, all pursuant to a Company Order or pursuant to such procedures acceptable to the Trustee as may be specified from time to time by a Company Order, (iii) the maturity date or dates, original issue date or dates, interest rate or rates and any other terms of Securities of such series shall be determined by Company Order or pursuant to such procedures and (iv) if provided for in such procedures, such Company Order may authorize authentication and delivery pursuant to oral or electronic instructions from the Company or its duly authorized agent or agents, which oral instructions shall be promptly confirmed in writing.</w:t>
      </w:r>
    </w:p>
    <w:p>
      <w:pPr>
        <w:spacing w:after="0" w:line="189" w:lineRule="exact"/>
        <w:rPr>
          <w:sz w:val="20"/>
          <w:szCs w:val="20"/>
          <w:color w:val="auto"/>
        </w:rPr>
      </w:pPr>
    </w:p>
    <w:p>
      <w:pPr>
        <w:ind w:right="440" w:firstLine="1305"/>
        <w:spacing w:after="0" w:line="329" w:lineRule="auto"/>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21" w:lineRule="exact"/>
        <w:rPr>
          <w:sz w:val="20"/>
          <w:szCs w:val="20"/>
          <w:color w:val="auto"/>
        </w:rPr>
      </w:pPr>
    </w:p>
    <w:p>
      <w:pPr>
        <w:ind w:left="1480" w:hanging="175"/>
        <w:spacing w:after="0"/>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form of Securities has been established in conformity with the provisions of this Indenture;</w:t>
      </w:r>
    </w:p>
    <w:p>
      <w:pPr>
        <w:spacing w:after="0" w:line="265"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of such Securities have been established in conformity with the provisions of this Indenture; and</w:t>
      </w:r>
    </w:p>
    <w:p>
      <w:pPr>
        <w:spacing w:after="0" w:line="265" w:lineRule="exact"/>
        <w:rPr>
          <w:rFonts w:ascii="Times New Roman" w:cs="Times New Roman" w:eastAsia="Times New Roman" w:hAnsi="Times New Roman"/>
          <w:sz w:val="18"/>
          <w:szCs w:val="18"/>
          <w:color w:val="auto"/>
        </w:rPr>
      </w:pPr>
    </w:p>
    <w:p>
      <w:pPr>
        <w:ind w:left="1580" w:hanging="275"/>
        <w:spacing w:after="0"/>
        <w:tabs>
          <w:tab w:leader="none" w:pos="1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Securities, when authenticated and delivered by the Trustee and issued by the Company in the manner and subject to any</w:t>
      </w:r>
    </w:p>
    <w:p>
      <w:pPr>
        <w:spacing w:after="0" w:line="50"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generally and to general principles of equity.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8"/>
          <w:szCs w:val="18"/>
          <w:color w:val="auto"/>
        </w:rPr>
        <w:t>(e) Notwithstanding the provisions of Section 301 and of the preceding paragraphs of Sections 303(c) and 303(d) in connection with a</w:t>
      </w:r>
    </w:p>
    <w:p>
      <w:pPr>
        <w:spacing w:after="0" w:line="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Periodic Offering, if all Securities of a series are not to be originally issued at one time, it shall not be necessary to deliver an Officer’s Certificate or execute a supplemental indenture otherwise required pursuant to Section 301(b) or the Company Order and Opinion of Counsel otherwise required pursuant to such preceding paragraphs at or prior to the time of authentication of each Security of such series if such documents are delivered at or prior to the authentication upon original issuance of the first Security of such series to be issued.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If such form or terms have been so established, the Trustee shall not be required to authenticate such Securities if the issuance of such</w:t>
      </w:r>
    </w:p>
    <w:p>
      <w:pPr>
        <w:spacing w:after="0" w:line="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Securities pursuant to this Indenture will affect the Trustee’s own rights, duties or immunities under the Securities and this Indenture or otherwise in a manner that is not reasonably acceptable to the Trustee.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No Security shall be entitled to any benefit under this Indenture or be valid or obligatory for any purpose unless there appears on such</w:t>
      </w:r>
    </w:p>
    <w:p>
      <w:pPr>
        <w:spacing w:after="0" w:line="5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Security a certificate of authentication substantially in the form provided for herein executed by the Trustee by manual or facsimile signature, and such certificate upon any Security shall be conclusive evidence, and the only evidence, that such Security has been duly authenticated and delivered hereunder and is entitled to the benefits of this Indenture.</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Temporary Securities</w:t>
      </w:r>
      <w:r>
        <w:rPr>
          <w:rFonts w:ascii="Times New Roman" w:cs="Times New Roman" w:eastAsia="Times New Roman" w:hAnsi="Times New Roman"/>
          <w:sz w:val="18"/>
          <w:szCs w:val="18"/>
          <w:color w:val="auto"/>
        </w:rPr>
        <w:t>. (a) Until definitive Securities of any series (including Global Securities) are ready for delivery, the</w:t>
      </w:r>
    </w:p>
    <w:p>
      <w:pPr>
        <w:spacing w:after="0" w:line="5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Company may execute, and upon Company Order the Trustee shall authenticate and deliver one or more temporary Securities that are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temporary Securities of any series are issued, the Company will cause definitive Securities of that series to be prepared without</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Registration, Registration of Transfer and Exchange</w:t>
      </w:r>
      <w:r>
        <w:rPr>
          <w:rFonts w:ascii="Times New Roman" w:cs="Times New Roman" w:eastAsia="Times New Roman" w:hAnsi="Times New Roman"/>
          <w:sz w:val="18"/>
          <w:szCs w:val="18"/>
          <w:color w:val="auto"/>
        </w:rPr>
        <w:t>. (a) The Company shall cause to be kept at the Corporate Trust Office</w:t>
      </w:r>
    </w:p>
    <w:p>
      <w:pPr>
        <w:spacing w:after="0" w:line="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of the Trustee a register (the register maintained in such office and in any other office or agency of the Company in a Place of Payment being herein sometimes collectively referred to as the “</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Securities and of transfers of Securities. The Trustee is hereby appointed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for the purpose of registering Securities and transfers of Securities as herein provided.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Except in the case of Securities issued in the form of a Global Security, upon surrender for registration of transfer of any Security of any</w:t>
      </w:r>
    </w:p>
    <w:p>
      <w:pPr>
        <w:spacing w:after="0" w:line="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a like aggregate principal amount.</w:t>
      </w:r>
    </w:p>
    <w:p>
      <w:pPr>
        <w:spacing w:after="0" w:line="176" w:lineRule="exact"/>
        <w:rPr>
          <w:sz w:val="20"/>
          <w:szCs w:val="20"/>
          <w:color w:val="auto"/>
        </w:rPr>
      </w:pPr>
    </w:p>
    <w:p>
      <w:pPr>
        <w:ind w:firstLine="1305"/>
        <w:spacing w:after="0" w:line="329" w:lineRule="auto"/>
        <w:tabs>
          <w:tab w:leader="none" w:pos="15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21" w:lineRule="exact"/>
        <w:rPr>
          <w:rFonts w:ascii="Times New Roman" w:cs="Times New Roman" w:eastAsia="Times New Roman" w:hAnsi="Times New Roman"/>
          <w:sz w:val="18"/>
          <w:szCs w:val="18"/>
          <w:color w:val="auto"/>
        </w:rPr>
      </w:pPr>
    </w:p>
    <w:p>
      <w:pPr>
        <w:ind w:right="120" w:firstLine="1305"/>
        <w:spacing w:after="0" w:line="329" w:lineRule="auto"/>
        <w:tabs>
          <w:tab w:leader="none" w:pos="1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or the Trustee) be duly endorsed, or be accompanied by a written instrument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4" w:name="page55"/>
    <w:bookmarkEnd w:id="54"/>
    <w:p>
      <w:pPr>
        <w:ind w:right="400"/>
        <w:spacing w:after="0" w:line="282" w:lineRule="auto"/>
        <w:rPr>
          <w:sz w:val="20"/>
          <w:szCs w:val="20"/>
          <w:color w:val="auto"/>
        </w:rPr>
      </w:pPr>
      <w:r>
        <w:rPr>
          <w:rFonts w:ascii="Times New Roman" w:cs="Times New Roman" w:eastAsia="Times New Roman" w:hAnsi="Times New Roman"/>
          <w:sz w:val="18"/>
          <w:szCs w:val="18"/>
          <w:color w:val="auto"/>
        </w:rPr>
        <w:t>transfer in form satisfactory to the Company and the Security Registrar duly executed by the Holder thereof or such Holder’s attorney duly authorized in writing.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Unless otherwise provided in a Board Resolution or an Officer’s Certificate pursuant to a Board Resolution, or in an indenture</w:t>
      </w:r>
    </w:p>
    <w:p>
      <w:pPr>
        <w:spacing w:after="0" w:line="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supplemental hereto, with respect to Securities of any series, no service charge shall be made to the Holder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1106 or 1204 not involving any transfer.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Company shall not be required (i) to issue, register the transfer of or exchange Securities of any series during a period beginning at</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opening of business 15 days before the day of the mailing of a notice of redemption of Securities of that series selected for redemption under Section 1103 and ending at the close of business on the day of such mailing, or (ii) to register the transfer of or exchange any Security so selected for redemption in whole or in part, except the unredeemed portion of any Security being redeemed in part.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Mutilated, Destroyed, Lost and Stolen Securities</w:t>
      </w:r>
      <w:r>
        <w:rPr>
          <w:rFonts w:ascii="Times New Roman" w:cs="Times New Roman" w:eastAsia="Times New Roman" w:hAnsi="Times New Roman"/>
          <w:sz w:val="18"/>
          <w:szCs w:val="18"/>
          <w:color w:val="auto"/>
        </w:rPr>
        <w:t>. (a) If any mutilated Security is surrendered to the Trustee, the Company</w:t>
      </w:r>
    </w:p>
    <w:p>
      <w:pPr>
        <w:spacing w:after="0" w:line="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shall execute and the Trustee shall authenticate and deliver in exchange therefor a replacement Security of the same series and of like tenor and principal amount and bearing a number not contemporaneously outstanding.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there has been delivered to the Company and the Trustee (i) evidence to their satisfaction of the destruction, loss or theft of any</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Security and (ii) such bond, security or indemnity as may be required by them to save each of them and any agent of either of them harmless, then, in the absence of actual notice to the Company or the Trustee that such Security has been acquired by a bona fide purchaser, the Company shall execute and upon its request the Trustee shall authenticate and deliver, a replacement Security of the same series (and Tranche, if applicable) and of like tenor and principal amount and bearing a number not contemporaneously outstanding.</w:t>
      </w:r>
    </w:p>
    <w:p>
      <w:pPr>
        <w:spacing w:after="0" w:line="180" w:lineRule="exact"/>
        <w:rPr>
          <w:sz w:val="20"/>
          <w:szCs w:val="20"/>
          <w:color w:val="auto"/>
        </w:rPr>
      </w:pPr>
    </w:p>
    <w:p>
      <w:pPr>
        <w:ind w:right="360" w:firstLine="1305"/>
        <w:spacing w:after="0" w:line="329" w:lineRule="auto"/>
        <w:tabs>
          <w:tab w:leader="none" w:pos="15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w:t>
      </w:r>
    </w:p>
    <w:p>
      <w:pPr>
        <w:spacing w:after="0" w:line="5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Every new Security of any series issued pursuant to this Section in lieu of any destroyed, lost or stolen Security shall constitute an</w:t>
      </w:r>
    </w:p>
    <w:p>
      <w:pPr>
        <w:spacing w:after="0" w:line="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original additional contractual obligation of the Company, whether or not the destroyed, lost or stolen Security is at any time enforceable by anyone, and shall be entitled to all the benefits of this Indenture equally and proportionately with any and all other Securities of that series duly issued hereunder.</w:t>
      </w:r>
    </w:p>
    <w:p>
      <w:pPr>
        <w:spacing w:after="0" w:line="162" w:lineRule="exact"/>
        <w:rPr>
          <w:sz w:val="20"/>
          <w:szCs w:val="20"/>
          <w:color w:val="auto"/>
        </w:rPr>
      </w:pPr>
    </w:p>
    <w:p>
      <w:pPr>
        <w:ind w:right="380" w:firstLine="1305"/>
        <w:spacing w:after="0" w:line="329" w:lineRule="auto"/>
        <w:tabs>
          <w:tab w:leader="none" w:pos="14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Payment of Interest; Interest Rights Preserved</w:t>
      </w:r>
      <w:r>
        <w:rPr>
          <w:rFonts w:ascii="Times New Roman" w:cs="Times New Roman" w:eastAsia="Times New Roman" w:hAnsi="Times New Roman"/>
          <w:sz w:val="18"/>
          <w:szCs w:val="18"/>
          <w:color w:val="auto"/>
        </w:rPr>
        <w:t>. (a) Unless otherwise provided as contemplated by Section 301(b) with</w:t>
      </w:r>
    </w:p>
    <w:p>
      <w:pPr>
        <w:spacing w:after="0" w:line="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respect to the Securities of any series, interest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interest payable at Maturity will be paid to the Person to whom principal is payable.</w:t>
      </w:r>
    </w:p>
    <w:p>
      <w:pPr>
        <w:spacing w:after="0" w:line="176" w:lineRule="exact"/>
        <w:rPr>
          <w:sz w:val="20"/>
          <w:szCs w:val="20"/>
          <w:color w:val="auto"/>
        </w:rPr>
      </w:pPr>
    </w:p>
    <w:p>
      <w:pPr>
        <w:ind w:right="140" w:firstLine="1305"/>
        <w:spacing w:after="0" w:line="329" w:lineRule="auto"/>
        <w:tabs>
          <w:tab w:leader="none" w:pos="1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any Security of any series that is payable, but is not punctually paid or duly provided for, on any Interest Payment Date (herein called “</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shall forthwith cease to be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5" w:name="page56"/>
    <w:bookmarkEnd w:id="55"/>
    <w:p>
      <w:pPr>
        <w:ind w:right="20"/>
        <w:spacing w:after="0" w:line="282" w:lineRule="auto"/>
        <w:rPr>
          <w:sz w:val="20"/>
          <w:szCs w:val="20"/>
          <w:color w:val="auto"/>
        </w:rPr>
      </w:pPr>
      <w:r>
        <w:rPr>
          <w:rFonts w:ascii="Times New Roman" w:cs="Times New Roman" w:eastAsia="Times New Roman" w:hAnsi="Times New Roman"/>
          <w:sz w:val="18"/>
          <w:szCs w:val="18"/>
          <w:color w:val="auto"/>
        </w:rPr>
        <w:t>payable to the Holder on the relevant Regular Record Date by virtue of having been such Holder, and such Defaulted Interest may be paid by the Company, at its election in each case, as provided in clause (i) or (ii) below: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Company may elect to make payment of any Defaulted Interest to the Persons in whose names the Securities of such series (or their</w:t>
      </w:r>
    </w:p>
    <w:p>
      <w:pPr>
        <w:spacing w:after="0" w:line="50"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shall cause notice of the proposed payment of such Defaulted Interest and the Special Record Date therefor to be mailed, first-class postage prepaid, to each Holder of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(ii).</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Company may make payment of any Defaulted Interest on the Securities of any series in any other lawful manner not inconsistent</w:t>
      </w:r>
    </w:p>
    <w:p>
      <w:pPr>
        <w:spacing w:after="0" w:line="50"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with the requirements of any securities exchange on which such Securities may be listed, and upon such notice as may be required by such exchange, if, after notice given by the Company to the Trustee of the proposed payment pursuant to this clause (ii), such manner of payment shall be deemed practicable by the Trustee.</w:t>
      </w:r>
    </w:p>
    <w:p>
      <w:pPr>
        <w:spacing w:after="0" w:line="176" w:lineRule="exact"/>
        <w:rPr>
          <w:sz w:val="20"/>
          <w:szCs w:val="20"/>
          <w:color w:val="auto"/>
        </w:rPr>
      </w:pPr>
    </w:p>
    <w:p>
      <w:pPr>
        <w:ind w:right="280" w:firstLine="1305"/>
        <w:spacing w:after="0" w:line="329" w:lineRule="auto"/>
        <w:tabs>
          <w:tab w:leader="none" w:pos="151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Prior to due presentment of a Security for registration of transfer, the Company, the Trustee and</w:t>
      </w:r>
    </w:p>
    <w:p>
      <w:pPr>
        <w:spacing w:after="0" w:line="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any agent of the Company or the Trustee may treat the Person in whose name such Security is registered as the owner of such Security for the purpose of receiving payment of principal of (and any premium) and (subject to Section 301 and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0" w:lineRule="exact"/>
        <w:rPr>
          <w:sz w:val="20"/>
          <w:szCs w:val="20"/>
          <w:color w:val="auto"/>
        </w:rPr>
      </w:pPr>
    </w:p>
    <w:p>
      <w:pPr>
        <w:ind w:right="20" w:firstLine="1297"/>
        <w:spacing w:after="0" w:line="282" w:lineRule="auto"/>
        <w:rPr>
          <w:sz w:val="20"/>
          <w:szCs w:val="20"/>
          <w:color w:val="auto"/>
        </w:rPr>
      </w:pPr>
      <w:r>
        <w:rPr>
          <w:rFonts w:ascii="Times New Roman" w:cs="Times New Roman" w:eastAsia="Times New Roman" w:hAnsi="Times New Roman"/>
          <w:sz w:val="18"/>
          <w:szCs w:val="18"/>
          <w:color w:val="auto"/>
        </w:rPr>
        <w:t>Ownership of Securities of a series shall be proved by the computerized book-entry system of the Depositary in the case of Securities issued in the form of a Global Security.</w:t>
      </w:r>
    </w:p>
    <w:p>
      <w:pPr>
        <w:spacing w:after="0" w:line="162" w:lineRule="exact"/>
        <w:rPr>
          <w:sz w:val="20"/>
          <w:szCs w:val="20"/>
          <w:color w:val="auto"/>
        </w:rPr>
      </w:pPr>
    </w:p>
    <w:p>
      <w:pPr>
        <w:ind w:right="40" w:firstLine="1297"/>
        <w:spacing w:after="0" w:line="266" w:lineRule="auto"/>
        <w:rPr>
          <w:sz w:val="20"/>
          <w:szCs w:val="20"/>
          <w:color w:val="auto"/>
        </w:rPr>
      </w:pPr>
      <w:r>
        <w:rPr>
          <w:rFonts w:ascii="Times New Roman" w:cs="Times New Roman" w:eastAsia="Times New Roman" w:hAnsi="Times New Roman"/>
          <w:sz w:val="18"/>
          <w:szCs w:val="18"/>
          <w:color w:val="auto"/>
        </w:rPr>
        <w:t>None of the Company, the Trustee, any Paying Agent or the Security Registrar shall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Except as otherwise specified as contemplated by Section 301(b) for Securities of any series, all Securities</w:t>
      </w:r>
    </w:p>
    <w:p>
      <w:pPr>
        <w:spacing w:after="0" w:line="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surrendered for payment, redemption, registration of transfer or exchange or for credit against any sinking fund payment shall, if surrendered to any Person other than the Trustee, be delivered to the Trustee and, if not theretofore cancelled, shall be promptly cancelled by it. Except as otherwise specified as contemplated by Section 301(b) for Securities of any series, the Company may at any time deliver to the Trustee for cancellation any Securities previously authenticated and delivered hereunder that the Company may have acquired in any manner whatsoever or that the Company has not issued and sold, and all Securities so delivered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ind w:right="480"/>
        <w:spacing w:after="0" w:line="282" w:lineRule="auto"/>
        <w:rPr>
          <w:sz w:val="20"/>
          <w:szCs w:val="20"/>
          <w:color w:val="auto"/>
        </w:rPr>
      </w:pPr>
      <w:r>
        <w:rPr>
          <w:rFonts w:ascii="Times New Roman" w:cs="Times New Roman" w:eastAsia="Times New Roman" w:hAnsi="Times New Roman"/>
          <w:sz w:val="18"/>
          <w:szCs w:val="18"/>
          <w:color w:val="auto"/>
        </w:rPr>
        <w:t>shall be promptly cancelled by the Trustee. No Securities shall be authenticated in lieu of or in exchange for any Securities cancelled as provided in this Section, except as expressly permitted by this Indenture. Upon request of the Company, the Trustee shall provide it with a certificate of cancellation.</w:t>
      </w:r>
    </w:p>
    <w:p>
      <w:pPr>
        <w:spacing w:after="0" w:line="160" w:lineRule="exact"/>
        <w:rPr>
          <w:sz w:val="20"/>
          <w:szCs w:val="20"/>
          <w:color w:val="auto"/>
        </w:rPr>
      </w:pPr>
    </w:p>
    <w:p>
      <w:pPr>
        <w:ind w:right="50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Computation of Interest</w:t>
      </w:r>
      <w:r>
        <w:rPr>
          <w:rFonts w:ascii="Times New Roman" w:cs="Times New Roman" w:eastAsia="Times New Roman" w:hAnsi="Times New Roman"/>
          <w:sz w:val="18"/>
          <w:szCs w:val="18"/>
          <w:color w:val="auto"/>
        </w:rPr>
        <w:t>. Except as otherwise specified as contemplated by Section 301(b) for Securities of any series, interest on the Securities of each series shall be computed on the basis of a 360-day year of twelve 30-day months.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Global Securities; Exchanges; Registration and Registration of Transfer</w:t>
      </w:r>
      <w:r>
        <w:rPr>
          <w:rFonts w:ascii="Times New Roman" w:cs="Times New Roman" w:eastAsia="Times New Roman" w:hAnsi="Times New Roman"/>
          <w:sz w:val="18"/>
          <w:szCs w:val="18"/>
          <w:color w:val="auto"/>
        </w:rPr>
        <w:t>. If specified as contemplated by Section 301(b) for</w:t>
      </w:r>
    </w:p>
    <w:p>
      <w:pPr>
        <w:spacing w:after="0" w:line="5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Securities of any series, the Securities of such series may be issued in the form of one or more Global Securities, which shall be deposited with the Depositary, and, unless otherwise specified in the form of Global Security adopted pursuant to Section 301, be registered in the name of the Depository’s nominee.</w:t>
      </w:r>
    </w:p>
    <w:p>
      <w:pPr>
        <w:spacing w:after="0" w:line="176" w:lineRule="exact"/>
        <w:rPr>
          <w:sz w:val="20"/>
          <w:szCs w:val="20"/>
          <w:color w:val="auto"/>
        </w:rPr>
      </w:pPr>
    </w:p>
    <w:p>
      <w:pPr>
        <w:ind w:right="100" w:firstLine="1297"/>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specified as contemplated by Section 301(b) for Securities of any series, any permanent Global Security shall be exchangeable only as provided in this paragraph. If the beneficial owners of interests in a permanent Global Security are entitled to exchange such interests for Securities of such series of like tenor and principal amount of another authorized form, as specified as contemplated by Section 301(b), then without unnecessary delay but in any event not later than the earliest date on which such interests may be so exchanged, the Company shall deliver to the Trustee definitive Securities of that series in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Depositary (which instructions shall be in writing but need not comply with Section 102 or be accompanied by an Opinion of Counsel) by the Depositary or such other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of definitive Securities of the same series of authorized denominations and of like tenor as the portion of such permanent Global Security to be exchanged, as shall be specified by the Depositary;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exchanges may occur during the periods specified by Section 305.</w:t>
      </w:r>
    </w:p>
    <w:p>
      <w:pPr>
        <w:spacing w:after="0" w:line="191" w:lineRule="exact"/>
        <w:rPr>
          <w:sz w:val="20"/>
          <w:szCs w:val="20"/>
          <w:color w:val="auto"/>
        </w:rPr>
      </w:pPr>
    </w:p>
    <w:p>
      <w:pPr>
        <w:ind w:right="60" w:firstLine="1297"/>
        <w:spacing w:after="0" w:line="255" w:lineRule="auto"/>
        <w:rPr>
          <w:sz w:val="20"/>
          <w:szCs w:val="20"/>
          <w:color w:val="auto"/>
        </w:rPr>
      </w:pPr>
      <w:r>
        <w:rPr>
          <w:rFonts w:ascii="Times New Roman" w:cs="Times New Roman" w:eastAsia="Times New Roman" w:hAnsi="Times New Roman"/>
          <w:sz w:val="18"/>
          <w:szCs w:val="18"/>
          <w:color w:val="auto"/>
        </w:rPr>
        <w:t>The Global Security may be transferred to another nominee of the Depositary, or to a successor Depositary selected by the Company, and upon surrender for registration of transfer of the Global Security to the Trustee, the Company shall execute, and the Trustee shall authenticate and deliver, in the name of the designated transferee, a new Global Security in the same aggregate principal amount. If at any time the Depositary notifies the Company that it is unwilling or unable to continue as Depositary and a successor Depositary satisfactory to the Company is not appointed within 90 days after the Company receives such notice, the Company will execute, and the Trustee will authenticate and deliver, Securities in definitive form to the Depositary in exchange for the Global Security. In addition, if at any time the Company determines that it is not in the best interest of the Company or the beneficial owners of Securities to continue to have a Global Security representing all of the Securities held by a Depositary, the Company may, at its option, execute, and the Trustee will authenticate and deliver, Securities in definitive form to the Depositary in exchange for all or a portion of the Global Security.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312. </w:t>
      </w:r>
      <w:r>
        <w:rPr>
          <w:rFonts w:ascii="Times New Roman" w:cs="Times New Roman" w:eastAsia="Times New Roman" w:hAnsi="Times New Roman"/>
          <w:sz w:val="17"/>
          <w:szCs w:val="17"/>
          <w:i w:val="1"/>
          <w:iCs w:val="1"/>
          <w:color w:val="auto"/>
        </w:rPr>
        <w:t>Extension of Interest Payment</w:t>
      </w:r>
      <w:r>
        <w:rPr>
          <w:rFonts w:ascii="Times New Roman" w:cs="Times New Roman" w:eastAsia="Times New Roman" w:hAnsi="Times New Roman"/>
          <w:sz w:val="17"/>
          <w:szCs w:val="17"/>
          <w:color w:val="auto"/>
        </w:rPr>
        <w:t>. The Company shall have the right at any time, so long as the Company is not in default in the</w:t>
      </w:r>
    </w:p>
    <w:p>
      <w:pPr>
        <w:spacing w:after="0" w:line="6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payment of interest on the Securities of any series hereunder, to extend interest payment periods on all Securities of one or more series, if so specified as contemplated by Section 301(b) with respect to such Securities and upon such terms as may be specified as contemplated by Section 301(b) with respect to such Securities. If the Company ever so extends any such interest payment period, the Company shall promptly notify the Trustee.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Termination of Company’s Obligations</w:t>
      </w:r>
      <w:r>
        <w:rPr>
          <w:rFonts w:ascii="Times New Roman" w:cs="Times New Roman" w:eastAsia="Times New Roman" w:hAnsi="Times New Roman"/>
          <w:sz w:val="18"/>
          <w:szCs w:val="18"/>
          <w:color w:val="auto"/>
        </w:rPr>
        <w:t>. (a) This Indenture shall upon Company Request cease to be of further effect with</w:t>
      </w:r>
    </w:p>
    <w:p>
      <w:pPr>
        <w:spacing w:after="0" w:line="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respect to the Securities of any series (except as to any surviving rights of registration of transfer or exchange of Securities herein expressly provided for), and the Trustee, at the expense of the Company, shall execute instruments in form and substance satisfactory to the Trustee and the Company acknowledging termination of the Company’s obligations under the Securities of such series and this Indenture, when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either</w:t>
      </w:r>
    </w:p>
    <w:p>
      <w:pPr>
        <w:spacing w:after="0" w:line="2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all Securities of such series previously authenticated and delivered (other than (i) Securities of such series that have been</w:t>
      </w:r>
    </w:p>
    <w:p>
      <w:pPr>
        <w:spacing w:after="0" w:line="50"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destroyed, lost or stolen and that have been replaced or paid as provided in Section 306 and (ii) Securities of such series that are deemed paid and discharged pursuant to Section 402) have been delivered to the Trustee for cancellation; or</w:t>
      </w:r>
    </w:p>
    <w:p>
      <w:pPr>
        <w:spacing w:after="0" w:line="162" w:lineRule="exact"/>
        <w:rPr>
          <w:sz w:val="20"/>
          <w:szCs w:val="20"/>
          <w:color w:val="auto"/>
        </w:rPr>
      </w:pPr>
    </w:p>
    <w:p>
      <w:pPr>
        <w:ind w:left="2200" w:hanging="247"/>
        <w:spacing w:after="0"/>
        <w:tabs>
          <w:tab w:leader="none" w:pos="2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previously delivered to the Trustee for cancellation</w:t>
      </w:r>
    </w:p>
    <w:p>
      <w:pPr>
        <w:spacing w:after="0" w:line="265" w:lineRule="exact"/>
        <w:rPr>
          <w:rFonts w:ascii="Times New Roman" w:cs="Times New Roman" w:eastAsia="Times New Roman" w:hAnsi="Times New Roman"/>
          <w:sz w:val="18"/>
          <w:szCs w:val="18"/>
          <w:color w:val="auto"/>
        </w:rPr>
      </w:pPr>
    </w:p>
    <w:p>
      <w:pPr>
        <w:ind w:left="2540" w:hanging="182"/>
        <w:spacing w:after="0"/>
        <w:tabs>
          <w:tab w:leader="none" w:pos="2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(whether at Stated Maturity, early redemption or otherwise), or</w:t>
      </w:r>
    </w:p>
    <w:p>
      <w:pPr>
        <w:spacing w:after="0" w:line="265" w:lineRule="exact"/>
        <w:rPr>
          <w:rFonts w:ascii="Times New Roman" w:cs="Times New Roman" w:eastAsia="Times New Roman" w:hAnsi="Times New Roman"/>
          <w:sz w:val="18"/>
          <w:szCs w:val="18"/>
          <w:color w:val="auto"/>
        </w:rPr>
      </w:pPr>
    </w:p>
    <w:p>
      <w:pPr>
        <w:ind w:left="2600" w:hanging="242"/>
        <w:spacing w:after="0"/>
        <w:tabs>
          <w:tab w:leader="none" w:pos="26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65" w:lineRule="exact"/>
        <w:rPr>
          <w:rFonts w:ascii="Times New Roman" w:cs="Times New Roman" w:eastAsia="Times New Roman" w:hAnsi="Times New Roman"/>
          <w:sz w:val="18"/>
          <w:szCs w:val="18"/>
          <w:color w:val="auto"/>
        </w:rPr>
      </w:pPr>
    </w:p>
    <w:p>
      <w:pPr>
        <w:ind w:left="660" w:right="100" w:firstLine="1698"/>
        <w:spacing w:after="0" w:line="329" w:lineRule="auto"/>
        <w:tabs>
          <w:tab w:leader="none" w:pos="264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21"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the Trustee as funds in trust solely for the benefit of the Holders of the Securities of such series an amount in cash in Dollars (or such other currency or composite currency in which the Securities of such series are denominated), Eligible Obligations or any combination thereof, together (if necessary in the case of a series of Securities not bearing interest at a fixed rate) with any Hedging Obligation, so that such funds in each case are sufficient to pay principal of, and any premium and interest on, all Outstanding Securities of such series;</w:t>
      </w:r>
    </w:p>
    <w:p>
      <w:pPr>
        <w:spacing w:after="0" w:line="184" w:lineRule="exact"/>
        <w:rPr>
          <w:sz w:val="20"/>
          <w:szCs w:val="20"/>
          <w:color w:val="auto"/>
        </w:rPr>
      </w:pPr>
    </w:p>
    <w:p>
      <w:pPr>
        <w:ind w:left="1520" w:hanging="215"/>
        <w:spacing w:after="0"/>
        <w:tabs>
          <w:tab w:leader="none" w:pos="1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65" w:lineRule="exact"/>
        <w:rPr>
          <w:rFonts w:ascii="Times New Roman" w:cs="Times New Roman" w:eastAsia="Times New Roman" w:hAnsi="Times New Roman"/>
          <w:sz w:val="18"/>
          <w:szCs w:val="18"/>
          <w:color w:val="auto"/>
        </w:rPr>
      </w:pPr>
    </w:p>
    <w:p>
      <w:pPr>
        <w:ind w:left="660" w:right="160" w:firstLine="645"/>
        <w:spacing w:after="0" w:line="329" w:lineRule="auto"/>
        <w:tabs>
          <w:tab w:leader="none" w:pos="1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Notwithstanding the satisfaction and discharge of this Indenture, the obligations of the Company to the Trustee under Section 607, the</w:t>
      </w:r>
    </w:p>
    <w:p>
      <w:pPr>
        <w:spacing w:after="0" w:line="5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obligations of the Trustee to any Authenticating Agent under Section 614 and, if money has been deposited with the Trustee pursuant to subclause (B) of clause (1) of this Section, the obligations of the Trustee under Section 405 and Section 1003(e) shall survive.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Upon satisfaction and discharge of this Indenture as provided in this Section 401, the Trustee shall assign, transfer and turn over to the</w:t>
      </w:r>
    </w:p>
    <w:p>
      <w:pPr>
        <w:spacing w:after="0" w:line="5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Company, subject to the claim provided by Section 607, any and all money, securities and other property then held by the Trustee for the benefit of the Holders of the Securities.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58" w:name="page59"/>
    <w:bookmarkEnd w:id="58"/>
    <w:p>
      <w:pPr>
        <w:jc w:val="both"/>
        <w:ind w:right="100" w:firstLine="1297"/>
        <w:spacing w:after="0" w:line="266" w:lineRule="auto"/>
        <w:rPr>
          <w:sz w:val="20"/>
          <w:szCs w:val="20"/>
          <w:color w:val="auto"/>
        </w:rPr>
      </w:pPr>
      <w:r>
        <w:rPr>
          <w:rFonts w:ascii="Times New Roman" w:cs="Times New Roman" w:eastAsia="Times New Roman" w:hAnsi="Times New Roman"/>
          <w:sz w:val="18"/>
          <w:szCs w:val="18"/>
          <w:color w:val="auto"/>
        </w:rPr>
        <w:t>The Company may elect, at its option at any time, to have Section 402 or Section 403 applied to the Outstanding Securities of any series in accordance with any applicable requirements provided pursuant to Section 301 and upon compliance with the conditions set forth below in this Article. Any such election shall be evidenced by a Board Resolution or in another manner specified as contemplated by Section 301(b) for such Securities.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Defeasance and Discharge of Indenture</w:t>
      </w:r>
      <w:r>
        <w:rPr>
          <w:rFonts w:ascii="Times New Roman" w:cs="Times New Roman" w:eastAsia="Times New Roman" w:hAnsi="Times New Roman"/>
          <w:sz w:val="18"/>
          <w:szCs w:val="18"/>
          <w:color w:val="auto"/>
        </w:rPr>
        <w:t>. Upon the Company’s exercise of its option (if any) to have this Section applied to</w:t>
      </w:r>
    </w:p>
    <w:p>
      <w:pPr>
        <w:spacing w:after="0" w:line="5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all the Outstanding Securities of any series or Tranche, or any portion of the principal amount thereof, and subject to the conditions set forth in Section 404 being satisfied, the Company shall be deemed to have paid and discharged the entire indebtedness on such Outstanding Securities of such series or Tranche, and the provisions of this Indenture, as it relates to such Outstanding Securities of such series or Tranche, shall be satisfied and discharged and shall no longer be in effect (and the Trustee, at the expense of the Company, shall at Company Request execute proper instruments acknowledging the same), except as to:</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rights of Holders of Securities of such series to receive, solely from the trust funds described in Section 405, (x) payment of the</w:t>
      </w:r>
    </w:p>
    <w:p>
      <w:pPr>
        <w:spacing w:after="0" w:line="50"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principal of (and premium, if any) and each installment of principal of (and premium, if any) or interest, if any, on the Outstanding Securities of such series, or portions thereof, on the Stated Maturity of such principal or installment of principal or interest to but excluding the Redemption Date designated by the Company pursuant to subparagraph (viii) of Section 404 and (y) the benefit of any mandatory sinking fund payments applicable to the Securities of such series or Tranche on the day on which such payments are due and payable in accordance with the terms of this Indenture and the Securities of such series or Tranche;</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obligations of the Company and the Trustee with respect to such Securities of such series or Tranche under Sections 304, 305, 306,</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614, 1002 and 1003 and, if the Company shall have designated a Redemption Date pursuant to subparagraph (x) of Section 404, Sections 1104 and 1106;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Company’s obligations with respect to the Trustee under Section 607.</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i w:val="1"/>
          <w:iCs w:val="1"/>
          <w:color w:val="auto"/>
        </w:rPr>
        <w:t>Defeasance of Certain Obligations</w:t>
      </w:r>
      <w:r>
        <w:rPr>
          <w:rFonts w:ascii="Times New Roman" w:cs="Times New Roman" w:eastAsia="Times New Roman" w:hAnsi="Times New Roman"/>
          <w:sz w:val="17"/>
          <w:szCs w:val="17"/>
          <w:color w:val="auto"/>
        </w:rPr>
        <w:t>. The Company may omit to comply with its obligations under the covenants contained in</w:t>
      </w:r>
    </w:p>
    <w:p>
      <w:pPr>
        <w:spacing w:after="0" w:line="6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Sections 801, 1006 and 1007 with respect to any Security or Securities of any series (and in respect of any term, provision or condition set forth in the covenants or restrictions specified for such Securities pursuant to Section 301(b), in any supplemental indenture, Board Resolution or Officer’s Certificate establishing such Security), and the failure to comply with any such provisions shall not constitute a Default or Event of Default under Section 501(4),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conditions set forth in Section 404 have been satisfied.</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Conditions to Defeasance</w:t>
      </w:r>
      <w:r>
        <w:rPr>
          <w:rFonts w:ascii="Times New Roman" w:cs="Times New Roman" w:eastAsia="Times New Roman" w:hAnsi="Times New Roman"/>
          <w:sz w:val="18"/>
          <w:szCs w:val="18"/>
          <w:color w:val="auto"/>
        </w:rPr>
        <w:t>. The following conditions shall be the conditions to the application of Section 402 and Section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Company has deposited or caused to be deposited irrevocably with the Trustee as trust funds in trust, specifically pledged as security</w:t>
      </w:r>
    </w:p>
    <w:p>
      <w:pPr>
        <w:spacing w:after="0" w:line="50"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for, and dedicated solely to, the benefit of the Holders of the Securities of such series, (x) cash in Dollars (or such other currency or composite currency in which such Securities are denominated) in an amount sufficient, or (y) Eligible Obligations which through the payment of interest and principal in respect thereof in accordance with their terms will provide on or before the due date of any payment referred to in clause (1) or (2) of this subparagraph (i) money in an amount sufficient or (z) a combination of such cash and Eligible Obligations, together (if necessary in the case of a series of Securities not bearing interest at a fixed rate) with any Hedging Obligation so that such funds are sufficient, in the opinion of a nationally recognized firm of independent certified public accountants expressed in a written certification thereof delivered to the Trustee, to pay and discharge</w:t>
      </w:r>
    </w:p>
    <w:p>
      <w:pPr>
        <w:jc w:val="both"/>
        <w:ind w:left="660" w:right="360" w:hanging="4"/>
        <w:spacing w:after="0" w:line="254" w:lineRule="auto"/>
        <w:tabs>
          <w:tab w:leader="none" w:pos="9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and each installment of principal (and premium, if any) and interest, if any, on such Securities on the Stated Maturity of such principal or installment of principal or interest or to but excluding the Redemption Date designated by the Company in accordance with Section 404(a)(1)(B)(iii) and (2) any mandatory sinking fund payments applicable to the Securities of such series on the day on which such payments are due and payable in accordance with the terms of this Indenture and of the Securities of such series;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9" w:name="page60"/>
    <w:bookmarkEnd w:id="59"/>
    <w:p>
      <w:pPr>
        <w:ind w:left="1300"/>
        <w:spacing w:after="0"/>
        <w:rPr>
          <w:sz w:val="20"/>
          <w:szCs w:val="20"/>
          <w:color w:val="auto"/>
        </w:rPr>
      </w:pPr>
      <w:r>
        <w:rPr>
          <w:rFonts w:ascii="Times New Roman" w:cs="Times New Roman" w:eastAsia="Times New Roman" w:hAnsi="Times New Roman"/>
          <w:sz w:val="18"/>
          <w:szCs w:val="18"/>
          <w:color w:val="auto"/>
        </w:rPr>
        <w:t>(ii) in the event of an election to have Section 402 apply, the Company has delivered to the Trustee an Officer’s Certificate and an Opinion</w:t>
      </w:r>
    </w:p>
    <w:p>
      <w:pPr>
        <w:spacing w:after="0" w:line="50" w:lineRule="exact"/>
        <w:rPr>
          <w:sz w:val="20"/>
          <w:szCs w:val="20"/>
          <w:color w:val="auto"/>
        </w:rPr>
      </w:pPr>
    </w:p>
    <w:p>
      <w:pPr>
        <w:ind w:left="660" w:right="160"/>
        <w:spacing w:after="0" w:line="258" w:lineRule="auto"/>
        <w:rPr>
          <w:sz w:val="20"/>
          <w:szCs w:val="20"/>
          <w:color w:val="auto"/>
        </w:rPr>
      </w:pPr>
      <w:r>
        <w:rPr>
          <w:rFonts w:ascii="Times New Roman" w:cs="Times New Roman" w:eastAsia="Times New Roman" w:hAnsi="Times New Roman"/>
          <w:sz w:val="18"/>
          <w:szCs w:val="18"/>
          <w:color w:val="auto"/>
        </w:rPr>
        <w:t>of Counsel to the effect that (x) the Company has received from, or there has been published by, the Internal Revenue Service a ruling or (y) there has been a change in law or regulation occurring after the date hereof, to the effect that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in the event of an election to have Section 403 apply, the Company has delivered to the Trustee an Officer’s Certificate and an Opinion</w:t>
      </w:r>
    </w:p>
    <w:p>
      <w:pPr>
        <w:spacing w:after="0" w:line="50"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of Counsel to the effect that Holders of the Securities of such series will not recognize income, gain or loss for federal income tax purposes as a result of such deposit and defeasance and will be subject to federal income tax on the same amount and in the same manner and at the same times, as would have been the case if such deposit and defeasance had not occurred;</w:t>
      </w:r>
    </w:p>
    <w:p>
      <w:pPr>
        <w:spacing w:after="0" w:line="176" w:lineRule="exact"/>
        <w:rPr>
          <w:sz w:val="20"/>
          <w:szCs w:val="20"/>
          <w:color w:val="auto"/>
        </w:rPr>
      </w:pPr>
    </w:p>
    <w:p>
      <w:pPr>
        <w:ind w:left="660" w:right="40" w:firstLine="645"/>
        <w:spacing w:after="0" w:line="329" w:lineRule="auto"/>
        <w:tabs>
          <w:tab w:leader="none" w:pos="15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would not cause any Outstanding Securities of such series then listed on a securities exchange to be delisted as a result</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25" w:lineRule="exact"/>
        <w:rPr>
          <w:rFonts w:ascii="Times New Roman" w:cs="Times New Roman" w:eastAsia="Times New Roman" w:hAnsi="Times New Roman"/>
          <w:sz w:val="18"/>
          <w:szCs w:val="18"/>
          <w:color w:val="auto"/>
        </w:rPr>
      </w:pPr>
    </w:p>
    <w:p>
      <w:pPr>
        <w:ind w:left="660" w:right="160" w:firstLine="645"/>
        <w:spacing w:after="0" w:line="329" w:lineRule="auto"/>
        <w:tabs>
          <w:tab w:leader="none" w:pos="15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Securities of such series has occurred and is continuing on the date of such deposit;</w:t>
      </w:r>
    </w:p>
    <w:p>
      <w:pPr>
        <w:spacing w:after="0" w:line="121"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stating that the deposit was not made by the Company with the intent</w:t>
      </w:r>
    </w:p>
    <w:p>
      <w:pPr>
        <w:spacing w:after="0" w:line="50"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of preferring the holders of the Securities of such series over any other creditors of the Company or with the intent of defeating, hindering, delaying or defrauding any other creditors of the Company;</w:t>
      </w:r>
    </w:p>
    <w:p>
      <w:pPr>
        <w:spacing w:after="0" w:line="162" w:lineRule="exact"/>
        <w:rPr>
          <w:sz w:val="20"/>
          <w:szCs w:val="20"/>
          <w:color w:val="auto"/>
        </w:rPr>
      </w:pPr>
    </w:p>
    <w:p>
      <w:pPr>
        <w:ind w:left="660" w:right="180" w:firstLine="645"/>
        <w:spacing w:after="0" w:line="329" w:lineRule="auto"/>
        <w:tabs>
          <w:tab w:leader="none" w:pos="16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shall not, as specified in an Opinion of Counsel, cause the Trustee with respect to the Securities of such series to have a conflicting interest as defined in Section 608 and for purposes of the Trust Indenture Act with respect to the Securities of such series;</w:t>
      </w:r>
    </w:p>
    <w:p>
      <w:pPr>
        <w:spacing w:after="0" w:line="121" w:lineRule="exact"/>
        <w:rPr>
          <w:rFonts w:ascii="Times New Roman" w:cs="Times New Roman" w:eastAsia="Times New Roman" w:hAnsi="Times New Roman"/>
          <w:sz w:val="18"/>
          <w:szCs w:val="18"/>
          <w:color w:val="auto"/>
        </w:rPr>
      </w:pPr>
    </w:p>
    <w:p>
      <w:pPr>
        <w:ind w:left="660" w:right="100" w:firstLine="645"/>
        <w:spacing w:after="0" w:line="329" w:lineRule="auto"/>
        <w:tabs>
          <w:tab w:leader="none" w:pos="15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provided for relating to the defeasance contemplated by this Section have been complied with; and</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deposited or caused to be deposited money or Eligible Obligations to pay or discharge the principal of (and</w:t>
      </w:r>
    </w:p>
    <w:p>
      <w:pPr>
        <w:spacing w:after="0" w:line="50"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premium, if any) and interest on the Outstanding Securities of a series to but excluding a Redemption Date pursuant to clause (i) of this Section 404, such Redemption Date shall be irrevocably designated by a Board Resolution delivered to the Trustee on or prior to the date of deposit of such money or Eligible Obligations, and such Board Resolution shall be accompanied by an irrevocable Company Request that the Trustee give notice of such redemption in the name and at the expense of the Company not less than 30 nor more than 60 days prior to such Redemption Date in accordance with Section 1104.</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Application of Trust Money</w:t>
      </w:r>
      <w:r>
        <w:rPr>
          <w:rFonts w:ascii="Times New Roman" w:cs="Times New Roman" w:eastAsia="Times New Roman" w:hAnsi="Times New Roman"/>
          <w:sz w:val="18"/>
          <w:szCs w:val="18"/>
          <w:color w:val="auto"/>
        </w:rPr>
        <w:t>. (a) Neither the Eligible Obligations nor the funds deposited with the Trustee pursuant to</w:t>
      </w:r>
    </w:p>
    <w:p>
      <w:pPr>
        <w:spacing w:after="0" w:line="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Sections 401, 402 or 403, nor the principal or interest payments on any such Eligible Obligations, shall be withdrawn or used for any purpose other than, and shall be held in trust for, the payment of the principal of and premium, if any, and interest, if any, on the Securities or portions of principal amount thereof in respect of which such deposit was made, all subject, however, to the provisions of Section 606;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so long as no Event of Default has occurred and is continuing, any cash received from such principal or interest payments on such Eligible Obligations deposited with the Trustee, if not then needed for such</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0" w:name="page61"/>
    <w:bookmarkEnd w:id="60"/>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purpose, shall, to the extent practicable, be invested in Eligible Obligations of the type described in Sections 401 and 402(d)(2)(A) maturing at such times and in such amounts as shall be sufficient to pay when due the principal of and any premium and interest due and to become due on such Securities or portions thereof on and prior to the Maturity thereof, and interest earned from such reinvestment shall be paid over to the Company as received by the Trustee, free and clear of any trust, lien or pledge under this Indenture except the claim provided by Section 607;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so long as there shall not have occurred and be continuing an Event of Default, any moneys held by the Trustee in accordance with this Section on the Maturity of all such Securities in excess of the amount required to pay the principal of and premium, if any, and interest, if any, then due on such Securities shall be paid over to the Company free and clear of any trust, lien or pledge under this Indenture except the claim provided by Section 607.</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shall pay and shall indemnify the Trustee against any tax, fee or other charge imposed on or assessed against Eligible</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Obligations deposited pursuant to Section 401, 402 or 403 or the principal and any premium and interest received in respect of such obligations other than any payable by or on behalf of Holders.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Trustee shall deliver or pay to the Company from time to time upon Company Request any Eligible Obligations or money held by it</w:t>
      </w:r>
    </w:p>
    <w:p>
      <w:pPr>
        <w:spacing w:after="0" w:line="5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provided in Section 401, 402 or 403 that, in the opinion of a nationally recognized firm of independent certified public accountants expressed in a written certification thereof delivered to the Trustee, are then in excess of the amount thereof that then would have been required to be deposited for the purpose for which such Eligible Obligations or money was deposited or received. This provision shall not authorize the sale by the Trustee of any Eligible Obligations held under this Indenture.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If the Trustee or the Paying Agent is unable to apply any money in accordance with this Article with respect</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402 or Section 403 shall be revived and reinstated as though no deposit had occurred pursuant to this Article with respect to such Securities, until such time as the Trustee or Paying Agent is permitted to apply all money held in trust pursuant to Section 405 with respect to such Securities in accordance with this Article;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if the Company makes any payment of principal of or any premium or interest on any such Security following such reinstatement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the Company shall be subrogated to the rights (if any) of the Holders of such Securities to receive such payment from the money so held in trust.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following events, unless such event is either inapplicable to a particular series or its is specifically deleted or modified in the applicable Board Resolution or supplemental indenture under which such series of Securities is issued, as the case may be, as contemplated by Section 301: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default in the payment of any interest upon any Security of that series when it becomes due and payable, and continuance of such default</w:t>
      </w:r>
    </w:p>
    <w:p>
      <w:pPr>
        <w:spacing w:after="0" w:line="48" w:lineRule="exact"/>
        <w:rPr>
          <w:sz w:val="20"/>
          <w:szCs w:val="20"/>
          <w:color w:val="auto"/>
        </w:rPr>
      </w:pPr>
    </w:p>
    <w:p>
      <w:pPr>
        <w:ind w:left="660" w:right="340"/>
        <w:spacing w:after="0" w:line="284" w:lineRule="auto"/>
        <w:rPr>
          <w:sz w:val="20"/>
          <w:szCs w:val="20"/>
          <w:color w:val="auto"/>
        </w:rPr>
      </w:pPr>
      <w:r>
        <w:rPr>
          <w:rFonts w:ascii="Times New Roman" w:cs="Times New Roman" w:eastAsia="Times New Roman" w:hAnsi="Times New Roman"/>
          <w:sz w:val="18"/>
          <w:szCs w:val="18"/>
          <w:color w:val="auto"/>
        </w:rPr>
        <w:t xml:space="preserve">for a period of 30 days;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valid extension of the interest payment period by the Company as contemplated in Section 312 shall not constitute a failure to pay interest for this purpose; or</w:t>
      </w:r>
    </w:p>
    <w:p>
      <w:pPr>
        <w:spacing w:after="0" w:line="160" w:lineRule="exact"/>
        <w:rPr>
          <w:sz w:val="20"/>
          <w:szCs w:val="20"/>
          <w:color w:val="auto"/>
        </w:rPr>
      </w:pPr>
    </w:p>
    <w:p>
      <w:pPr>
        <w:ind w:left="660" w:right="140" w:firstLine="645"/>
        <w:spacing w:after="0" w:line="329" w:lineRule="auto"/>
        <w:tabs>
          <w:tab w:leader="none" w:pos="15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Security of that series at its Maturity and, in the case of technical or administrative difficulties, only if such default persists for a period of more than three Business Days; or</w:t>
      </w:r>
    </w:p>
    <w:p>
      <w:pPr>
        <w:spacing w:after="0" w:line="121" w:lineRule="exact"/>
        <w:rPr>
          <w:rFonts w:ascii="Times New Roman" w:cs="Times New Roman" w:eastAsia="Times New Roman" w:hAnsi="Times New Roman"/>
          <w:sz w:val="18"/>
          <w:szCs w:val="18"/>
          <w:color w:val="auto"/>
        </w:rPr>
      </w:pPr>
    </w:p>
    <w:p>
      <w:pPr>
        <w:ind w:left="660" w:right="320" w:firstLine="645"/>
        <w:spacing w:after="0" w:line="329" w:lineRule="auto"/>
        <w:tabs>
          <w:tab w:leader="none" w:pos="15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Security of that series and continuance of such default for a period of 30 days;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17"/>
          <w:szCs w:val="17"/>
          <w:color w:val="auto"/>
        </w:rPr>
        <w:t>(4) default in the performance, or breach, of any covenant or warranty of the Company in this Indenture (other than a covenant or warranty a</w:t>
      </w:r>
    </w:p>
    <w:p>
      <w:pPr>
        <w:spacing w:after="0" w:line="61"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default in whose performance or whose breach is elsewhere in this Section specifically dealt with or which has expressly been included in this Indenture solely for the benefit of one or more series of Securities other than that series), and continuance of such default or breach for a period of 60 days after there has been given, by registered or certified mail, to the Company by the Trustee or to the Company and the Trustee by the Holders of at least 25% in aggregate principal amount of the Outstanding Securities of such series a written notice specifying such default or breach and requiring it to be remedied and stating that such notice is a “</w:t>
      </w:r>
      <w:r>
        <w:rPr>
          <w:rFonts w:ascii="Times New Roman" w:cs="Times New Roman" w:eastAsia="Times New Roman" w:hAnsi="Times New Roman"/>
          <w:sz w:val="18"/>
          <w:szCs w:val="18"/>
          <w:b w:val="1"/>
          <w:bCs w:val="1"/>
          <w:i w:val="1"/>
          <w:iCs w:val="1"/>
          <w:color w:val="auto"/>
        </w:rPr>
        <w:t>Notice of Default</w:t>
      </w:r>
      <w:r>
        <w:rPr>
          <w:rFonts w:ascii="Times New Roman" w:cs="Times New Roman" w:eastAsia="Times New Roman" w:hAnsi="Times New Roman"/>
          <w:sz w:val="18"/>
          <w:szCs w:val="18"/>
          <w:color w:val="auto"/>
        </w:rPr>
        <w:t>” hereunder; or</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the entry by a court having jurisdiction in the premises of (A) a decree or order for relief in respect of the Company in an involuntary</w:t>
      </w:r>
    </w:p>
    <w:p>
      <w:pPr>
        <w:spacing w:after="0" w:line="50"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the commencement by the Company of a voluntary case or proceeding under any applicable federal or state bankruptcy, insolvency,</w:t>
      </w:r>
    </w:p>
    <w:p>
      <w:pPr>
        <w:spacing w:after="0" w:line="50" w:lineRule="exact"/>
        <w:rPr>
          <w:sz w:val="20"/>
          <w:szCs w:val="20"/>
          <w:color w:val="auto"/>
        </w:rPr>
      </w:pPr>
    </w:p>
    <w:p>
      <w:pPr>
        <w:ind w:left="660"/>
        <w:spacing w:after="0" w:line="273" w:lineRule="auto"/>
        <w:rPr>
          <w:sz w:val="20"/>
          <w:szCs w:val="20"/>
          <w:color w:val="auto"/>
        </w:rPr>
      </w:pPr>
      <w:r>
        <w:rPr>
          <w:rFonts w:ascii="Times New Roman" w:cs="Times New Roman" w:eastAsia="Times New Roman" w:hAnsi="Times New Roman"/>
          <w:sz w:val="17"/>
          <w:szCs w:val="17"/>
          <w:color w:val="auto"/>
        </w:rPr>
        <w:t>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any other Event of Default provided with respect to Securities of such series pursuant to Section 301(b).</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Acceleration of Maturity; Rescission and Annulment</w:t>
      </w:r>
      <w:r>
        <w:rPr>
          <w:rFonts w:ascii="Times New Roman" w:cs="Times New Roman" w:eastAsia="Times New Roman" w:hAnsi="Times New Roman"/>
          <w:sz w:val="18"/>
          <w:szCs w:val="18"/>
          <w:color w:val="auto"/>
        </w:rPr>
        <w:t>. If an Event of Default with respect to Securities of any series at the</w:t>
      </w:r>
    </w:p>
    <w:p>
      <w:pPr>
        <w:spacing w:after="0" w:line="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time Outstanding occurs and is continuing, then in every such case the Trustee or the Holders of not less than 25% in aggregate principal amount of the Outstanding Securities of such series, by a notice in writing to the Company (and to the Trustee if given by such Holders), may declare the principal amount (or, if the Securities of such series are Original Issue Discount Securities or Indexed Securities, such portion of the principal amount of such Securities as may be specified in the terms thereof) to be due and payable immediately and upon any such declaration such principal amount (or specified amount) shall become immediately due and payable. If an Event of Default specified in Section 501(5) or (6) occurs, the principal of all the Securities then Outstanding (or if any such Securities are Original Issue Discount Securities or Indexed Securities, such portion of the principal amount of such Securities as may be specified in the terms thereof) shall automatically become and be immediately due and payable without any declaration or other act or notice on the part of the Trustee or any Holders of the Securities.</w:t>
      </w:r>
    </w:p>
    <w:p>
      <w:pPr>
        <w:spacing w:after="0" w:line="185" w:lineRule="exact"/>
        <w:rPr>
          <w:sz w:val="20"/>
          <w:szCs w:val="20"/>
          <w:color w:val="auto"/>
        </w:rPr>
      </w:pPr>
    </w:p>
    <w:p>
      <w:pPr>
        <w:ind w:right="40" w:firstLine="1297"/>
        <w:spacing w:after="0" w:line="261"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one or more series has been made and before a judgment or decree for payment of the money due has been obtained by the Trustee as hereinafter in this Article provided, the Event or Events of Default giving rise to such declaration of acceleration shall, without further act, be deemed to have been waived, and such declaration and its consequences shall, without further act, be deemed to have been rescinded and annulled, if</w:t>
      </w:r>
    </w:p>
    <w:p>
      <w:pPr>
        <w:spacing w:after="0" w:line="180" w:lineRule="exact"/>
        <w:rPr>
          <w:sz w:val="20"/>
          <w:szCs w:val="20"/>
          <w:color w:val="auto"/>
        </w:rPr>
      </w:pPr>
    </w:p>
    <w:p>
      <w:pPr>
        <w:ind w:left="5620" w:right="3580" w:hanging="4315"/>
        <w:spacing w:after="0" w:line="579" w:lineRule="auto"/>
        <w:tabs>
          <w:tab w:leader="none" w:pos="15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irrevocably with the Trustee a sum sufficient to pay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2" w:name="page63"/>
    <w:bookmarkEnd w:id="62"/>
    <w:p>
      <w:pPr>
        <w:ind w:left="2220" w:hanging="267"/>
        <w:spacing w:after="0"/>
        <w:tabs>
          <w:tab w:leader="none" w:pos="2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on all Securities of any such series,</w:t>
      </w:r>
    </w:p>
    <w:p>
      <w:pPr>
        <w:spacing w:after="0" w:line="265" w:lineRule="exact"/>
        <w:rPr>
          <w:rFonts w:ascii="Times New Roman" w:cs="Times New Roman" w:eastAsia="Times New Roman" w:hAnsi="Times New Roman"/>
          <w:sz w:val="18"/>
          <w:szCs w:val="18"/>
          <w:color w:val="auto"/>
        </w:rPr>
      </w:pPr>
    </w:p>
    <w:p>
      <w:pPr>
        <w:ind w:left="660" w:right="840" w:firstLine="1293"/>
        <w:spacing w:after="0" w:line="329" w:lineRule="auto"/>
        <w:tabs>
          <w:tab w:leader="none" w:pos="22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of such series that have become due otherwise than by such declaration of acceleration and interest thereon at the rate or rates prescribed therefor in such Securities,</w:t>
      </w:r>
    </w:p>
    <w:p>
      <w:pPr>
        <w:spacing w:after="0" w:line="121" w:lineRule="exact"/>
        <w:rPr>
          <w:rFonts w:ascii="Times New Roman" w:cs="Times New Roman" w:eastAsia="Times New Roman" w:hAnsi="Times New Roman"/>
          <w:sz w:val="18"/>
          <w:szCs w:val="18"/>
          <w:color w:val="auto"/>
        </w:rPr>
      </w:pPr>
    </w:p>
    <w:p>
      <w:pPr>
        <w:ind w:left="660" w:right="120" w:firstLine="1293"/>
        <w:spacing w:after="0" w:line="329" w:lineRule="auto"/>
        <w:tabs>
          <w:tab w:leader="none" w:pos="22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or rates borne by such Securities, unless another rate is provided in such Securities, and</w:t>
      </w:r>
    </w:p>
    <w:p>
      <w:pPr>
        <w:spacing w:after="0" w:line="121" w:lineRule="exact"/>
        <w:rPr>
          <w:rFonts w:ascii="Times New Roman" w:cs="Times New Roman" w:eastAsia="Times New Roman" w:hAnsi="Times New Roman"/>
          <w:sz w:val="18"/>
          <w:szCs w:val="18"/>
          <w:color w:val="auto"/>
        </w:rPr>
      </w:pPr>
    </w:p>
    <w:p>
      <w:pPr>
        <w:ind w:left="2220" w:hanging="267"/>
        <w:spacing w:after="0"/>
        <w:tabs>
          <w:tab w:leader="none" w:pos="2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to the Trustee under Section 607;</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660" w:right="120" w:firstLine="645"/>
        <w:spacing w:after="0" w:line="329" w:lineRule="auto"/>
        <w:tabs>
          <w:tab w:leader="none" w:pos="153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rescission shall affect any subsequent Event of Default or impair any right consequent thereon.</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Collection of Indebtedness and Suits for Enforcement by Trustee</w:t>
      </w:r>
      <w:r>
        <w:rPr>
          <w:rFonts w:ascii="Times New Roman" w:cs="Times New Roman" w:eastAsia="Times New Roman" w:hAnsi="Times New Roman"/>
          <w:sz w:val="18"/>
          <w:szCs w:val="18"/>
          <w:color w:val="auto"/>
        </w:rPr>
        <w:t>. If an Event of Default described in clause (1) or (2) of</w:t>
      </w:r>
    </w:p>
    <w:p>
      <w:pPr>
        <w:spacing w:after="0" w:line="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Section 501 has occurred and is continuing, the Company shall, upon demand of the Trustee, pay to the Trustee, for the benefit of the Holders of the Securities of the series with respect to which such Event of Default has occurred, the whole amount then due and payable on such Securities for principal and any premium or interest and, to the extent that payment of such interest shall be legally enforceable, interest on any overdue principal and premium and on any overdue interest, at the rate or rates borne by such Securities, unless another rate is provided in such Securities, and, in addition thereto, such further amount as shall be sufficient to cover any amounts due to the Trustee under Section 607.</w:t>
      </w:r>
    </w:p>
    <w:p>
      <w:pPr>
        <w:spacing w:after="0" w:line="184"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deems most effectual to protect and enforce any such rights, whether for the specific enforcement of any covenant or agreement in this Indenture or in aid of the exercise of any power granted herein, or to enforce any other proper remedy.</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In case of the pendency of any receivership, insolvency, liquidation, bankruptcy,</w:t>
      </w:r>
    </w:p>
    <w:p>
      <w:pPr>
        <w:spacing w:after="0" w:line="5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to file and prove a claim for the whole amount of principal and premium or interest owing and unpaid in respect of the Securities and to</w:t>
      </w:r>
    </w:p>
    <w:p>
      <w:pPr>
        <w:spacing w:after="0" w:line="5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file such other papers or documents as may be necessary or advisable in order to have the claims of the Trustee (including any claim for amounts due to the Trustee under Section 607) and of the Holders allowed in such judicial proceeding,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to collect and receive any moneys or other property payable or deliverable on any such claims and to distribute the same;</w:t>
      </w:r>
    </w:p>
    <w:p>
      <w:pPr>
        <w:spacing w:after="0" w:line="26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it under Section 607.</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Trustee May Enforce Claims Without Possession of Securities</w:t>
      </w:r>
      <w:r>
        <w:rPr>
          <w:rFonts w:ascii="Times New Roman" w:cs="Times New Roman" w:eastAsia="Times New Roman" w:hAnsi="Times New Roman"/>
          <w:sz w:val="18"/>
          <w:szCs w:val="18"/>
          <w:color w:val="auto"/>
        </w:rPr>
        <w:t>. All rights of action and claims under this Indenture or the</w:t>
      </w:r>
    </w:p>
    <w:p>
      <w:pPr>
        <w:spacing w:after="0" w:line="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amounts due to the Trustee under Section 607, be for the ratable benefit of the Holders of the Securities in respect of which such judgment has been recovered.</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Application of Money Collected</w:t>
      </w:r>
      <w:r>
        <w:rPr>
          <w:rFonts w:ascii="Times New Roman" w:cs="Times New Roman" w:eastAsia="Times New Roman" w:hAnsi="Times New Roman"/>
          <w:sz w:val="18"/>
          <w:szCs w:val="18"/>
          <w:color w:val="auto"/>
        </w:rPr>
        <w:t>. Any money collected by the Trustee pursuant to this Article shall be applied in the</w:t>
      </w:r>
    </w:p>
    <w:p>
      <w:pPr>
        <w:spacing w:after="0" w:line="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following order, at the date or dates fixed by the Trustee, and, in case of the distribution of such money on account of principal and any premium and interest, upon presentation of the Securities in respect of which or for the benefit of which such money shall have been collected and the notation thereon of the payment if only partially paid and upon surrender thereof if fully paid: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607;</w:t>
      </w:r>
    </w:p>
    <w:p>
      <w:pPr>
        <w:spacing w:after="0" w:line="225" w:lineRule="exact"/>
        <w:rPr>
          <w:sz w:val="20"/>
          <w:szCs w:val="20"/>
          <w:color w:val="auto"/>
        </w:rPr>
      </w:pPr>
    </w:p>
    <w:p>
      <w:pPr>
        <w:ind w:right="20" w:firstLine="1297"/>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THIRD: The balance, if any,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such payment to Holders of Securities.</w:t>
      </w:r>
    </w:p>
    <w:p>
      <w:pPr>
        <w:spacing w:after="0" w:line="223" w:lineRule="exact"/>
        <w:rPr>
          <w:sz w:val="20"/>
          <w:szCs w:val="20"/>
          <w:color w:val="auto"/>
        </w:rPr>
      </w:pPr>
    </w:p>
    <w:p>
      <w:pPr>
        <w:ind w:right="36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Limitation on Suits</w:t>
      </w:r>
      <w:r>
        <w:rPr>
          <w:rFonts w:ascii="Times New Roman" w:cs="Times New Roman" w:eastAsia="Times New Roman" w:hAnsi="Times New Roman"/>
          <w:sz w:val="18"/>
          <w:szCs w:val="18"/>
          <w:color w:val="auto"/>
        </w:rPr>
        <w:t>. No Holder of any Security of any series shall have any right to institute any proceeding, judicial or otherwise, with respect to this Indenture or such Security, or for the appointment of a receiver or trustee, or for any other remedy hereunder, unless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such Holder has previously given written notice to the Trustee of a continuing Event of Default with respect to the Securities of that</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series;</w:t>
      </w:r>
    </w:p>
    <w:p>
      <w:pPr>
        <w:spacing w:after="0" w:line="225" w:lineRule="exact"/>
        <w:rPr>
          <w:sz w:val="20"/>
          <w:szCs w:val="20"/>
          <w:color w:val="auto"/>
        </w:rPr>
      </w:pPr>
    </w:p>
    <w:p>
      <w:pPr>
        <w:ind w:left="660" w:right="420" w:firstLine="645"/>
        <w:spacing w:after="0" w:line="329" w:lineRule="auto"/>
        <w:tabs>
          <w:tab w:leader="none" w:pos="15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spacing w:after="0" w:line="121" w:lineRule="exact"/>
        <w:rPr>
          <w:rFonts w:ascii="Times New Roman" w:cs="Times New Roman" w:eastAsia="Times New Roman" w:hAnsi="Times New Roman"/>
          <w:sz w:val="18"/>
          <w:szCs w:val="18"/>
          <w:color w:val="auto"/>
        </w:rPr>
      </w:pPr>
    </w:p>
    <w:p>
      <w:pPr>
        <w:ind w:left="660" w:right="360" w:firstLine="645"/>
        <w:spacing w:after="0" w:line="329" w:lineRule="auto"/>
        <w:tabs>
          <w:tab w:leader="none" w:pos="15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against the reasonable costs, expenses and liabilities to be incurred in compliance with such request;</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65" w:lineRule="exact"/>
        <w:rPr>
          <w:rFonts w:ascii="Times New Roman" w:cs="Times New Roman" w:eastAsia="Times New Roman" w:hAnsi="Times New Roman"/>
          <w:sz w:val="18"/>
          <w:szCs w:val="18"/>
          <w:color w:val="auto"/>
        </w:rPr>
      </w:pPr>
    </w:p>
    <w:p>
      <w:pPr>
        <w:ind w:left="660" w:right="40" w:firstLine="645"/>
        <w:spacing w:after="0" w:line="329" w:lineRule="auto"/>
        <w:tabs>
          <w:tab w:leader="none" w:pos="15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aggregate principal amount of the Outstanding Securities of that series;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right under this Indenture, except in the manner herein provided and for the equal and ratable benefit of all of such Holders.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Unconditional Right of Holders to Receive Principal, Premium and Interest</w:t>
      </w:r>
      <w:r>
        <w:rPr>
          <w:rFonts w:ascii="Times New Roman" w:cs="Times New Roman" w:eastAsia="Times New Roman" w:hAnsi="Times New Roman"/>
          <w:sz w:val="18"/>
          <w:szCs w:val="18"/>
          <w:color w:val="auto"/>
        </w:rPr>
        <w:t>. Notwithstanding any other provision in this</w:t>
      </w:r>
    </w:p>
    <w:p>
      <w:pPr>
        <w:spacing w:after="0" w:line="52" w:lineRule="exact"/>
        <w:rPr>
          <w:sz w:val="20"/>
          <w:szCs w:val="20"/>
          <w:color w:val="auto"/>
        </w:rPr>
      </w:pPr>
    </w:p>
    <w:p>
      <w:pPr>
        <w:jc w:val="both"/>
        <w:ind w:right="480"/>
        <w:spacing w:after="0" w:line="261" w:lineRule="auto"/>
        <w:rPr>
          <w:sz w:val="20"/>
          <w:szCs w:val="20"/>
          <w:color w:val="auto"/>
        </w:rPr>
      </w:pPr>
      <w:r>
        <w:rPr>
          <w:rFonts w:ascii="Times New Roman" w:cs="Times New Roman" w:eastAsia="Times New Roman" w:hAnsi="Times New Roman"/>
          <w:sz w:val="18"/>
          <w:szCs w:val="18"/>
          <w:color w:val="auto"/>
        </w:rPr>
        <w:t>Indenture, the Holder of any Security shall have the right, which is absolute and unconditional, to receive payment of the principal of and premium and (subject to Section 307) interest on such Security on the Stated Maturity or Maturities expressed in such Security (or, in the case of redemption, on the Redemption Date, or, in the case of repayment at the option of the Holder, on the Repayment Date) and to institute suit for the enforcement of any such payment, and such rights shall not be impaired without the consent of such Holder.</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w:t>
      </w:r>
    </w:p>
    <w:p>
      <w:pPr>
        <w:spacing w:after="0" w:line="5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remedy under this Indenture and such proceeding has been discontinued or abandoned for any reason, or has been determined adversely to the Trustee or to such Holder, then and in every such case, subject to any determination in such proceeding, the Company, the Trustee and such Holder shall be restored severally and respectively to their former positions hereunder and thereafter all rights and remedies of the Trustee and such Holder shall continue as though no such proceeding had been instituted.</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w:t>
      </w:r>
    </w:p>
    <w:p>
      <w:pPr>
        <w:spacing w:after="0" w:line="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Delay or Omission Not Waiver</w:t>
      </w:r>
      <w:r>
        <w:rPr>
          <w:rFonts w:ascii="Times New Roman" w:cs="Times New Roman" w:eastAsia="Times New Roman" w:hAnsi="Times New Roman"/>
          <w:sz w:val="18"/>
          <w:szCs w:val="18"/>
          <w:color w:val="auto"/>
        </w:rPr>
        <w:t>. No delay or omission of the Trustee or of any Holder of any Securities to exercise any right</w:t>
      </w:r>
    </w:p>
    <w:p>
      <w:pPr>
        <w:spacing w:after="0" w:line="5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Control by Holders</w:t>
      </w:r>
      <w:r>
        <w:rPr>
          <w:rFonts w:ascii="Times New Roman" w:cs="Times New Roman" w:eastAsia="Times New Roman" w:hAnsi="Times New Roman"/>
          <w:sz w:val="18"/>
          <w:szCs w:val="18"/>
          <w:color w:val="auto"/>
        </w:rPr>
        <w:t>. If an Event of Default shall have occurred and be continuing in respect of a series of Securities, the</w:t>
      </w:r>
    </w:p>
    <w:p>
      <w:pPr>
        <w:spacing w:after="0" w:line="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Holders of a majority in aggregate principal amount of the Outstanding Securities of that series shall have the right to direct the time, method and place of conducting any proceeding for any remedy available to the Trustee, or exercising any trust or power conferred on the Trustee, with respect to the Securities of such series or Tranche;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 Event of Default has occurred and is continuing with respect to more than one series of Securities of equal ranking, the Holders of a majority in aggregate principal amount of the Outstanding Securities of all such series of equal ranking, considered as one class, shall have the right to make such direction, and not the Holders of the Securities of any one of such series of equal ranking;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w:t>
      </w:r>
    </w:p>
    <w:p>
      <w:pPr>
        <w:spacing w:after="0" w:line="184" w:lineRule="exact"/>
        <w:rPr>
          <w:sz w:val="20"/>
          <w:szCs w:val="20"/>
          <w:color w:val="auto"/>
        </w:rPr>
      </w:pPr>
    </w:p>
    <w:p>
      <w:pPr>
        <w:ind w:left="1520" w:hanging="215"/>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and</w:t>
      </w:r>
    </w:p>
    <w:p>
      <w:pPr>
        <w:spacing w:after="0" w:line="265"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513. </w:t>
      </w:r>
      <w:r>
        <w:rPr>
          <w:rFonts w:ascii="Times New Roman" w:cs="Times New Roman" w:eastAsia="Times New Roman" w:hAnsi="Times New Roman"/>
          <w:sz w:val="17"/>
          <w:szCs w:val="17"/>
          <w:i w:val="1"/>
          <w:iCs w:val="1"/>
          <w:color w:val="auto"/>
        </w:rPr>
        <w:t>Waiver of Past Defaults</w:t>
      </w:r>
      <w:r>
        <w:rPr>
          <w:rFonts w:ascii="Times New Roman" w:cs="Times New Roman" w:eastAsia="Times New Roman" w:hAnsi="Times New Roman"/>
          <w:sz w:val="17"/>
          <w:szCs w:val="17"/>
          <w:color w:val="auto"/>
        </w:rPr>
        <w:t>. The Holders of not less than a majority in aggregate principal amount of the Outstanding Securities</w:t>
      </w:r>
    </w:p>
    <w:p>
      <w:pPr>
        <w:spacing w:after="0" w:line="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of any series may on behalf of the Holders of all the Securities of such series waive any past default hereunder with respect to such series and its consequences;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past default has occurred with respect to more than one series of Securities of equal ranking, the Holders of a majority in aggregate principal amount of the Outstanding Securities of all such series of equal ranking, considered as one class, may make such waiver, and not the Holders of the Securities of any one of such series of equal ranking, in each case, except a default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5" w:name="page66"/>
    <w:bookmarkEnd w:id="65"/>
    <w:p>
      <w:pPr>
        <w:ind w:left="1520" w:hanging="215"/>
        <w:spacing w:after="0"/>
        <w:tabs>
          <w:tab w:leader="none" w:pos="1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or interest on any Security of such series, or</w:t>
      </w:r>
    </w:p>
    <w:p>
      <w:pPr>
        <w:spacing w:after="0" w:line="265" w:lineRule="exact"/>
        <w:rPr>
          <w:rFonts w:ascii="Times New Roman" w:cs="Times New Roman" w:eastAsia="Times New Roman" w:hAnsi="Times New Roman"/>
          <w:sz w:val="18"/>
          <w:szCs w:val="18"/>
          <w:color w:val="auto"/>
        </w:rPr>
      </w:pPr>
    </w:p>
    <w:p>
      <w:pPr>
        <w:ind w:left="660" w:right="80" w:firstLine="645"/>
        <w:spacing w:after="0" w:line="329" w:lineRule="auto"/>
        <w:tabs>
          <w:tab w:leader="none" w:pos="153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that under Section 902 cannot be modified or amended without the consent of the Holder of each Outstanding Security of such series affected.</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All parties to this Indenture agree, and each Holder of any Security by such Holder’s acceptance</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aggregate principal amount of the Outstanding Securities of all series in respect of which such suit may be brought, considered as one class, or to any suit instituted by any Holder for the enforcement of the payment of the principal of or any premium or interest on any Security on or after the Stated Maturity or Maturities expressed in such Security (or, in the case of redemption, on or after the Redemption Date, or, in the case of repayment at the option of the Holder, on or after the Repayment Date).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i w:val="1"/>
          <w:iCs w:val="1"/>
          <w:color w:val="auto"/>
        </w:rPr>
        <w:t>Waiver of Stay or Extension Laws</w:t>
      </w:r>
      <w:r>
        <w:rPr>
          <w:rFonts w:ascii="Times New Roman" w:cs="Times New Roman" w:eastAsia="Times New Roman" w:hAnsi="Times New Roman"/>
          <w:sz w:val="18"/>
          <w:szCs w:val="18"/>
          <w:color w:val="auto"/>
        </w:rPr>
        <w:t>. The Company covenants (to the extent that it may lawfully do so) that it will not at any</w:t>
      </w:r>
    </w:p>
    <w:p>
      <w:pPr>
        <w:spacing w:after="0" w:line="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Certain Duties and Responsibilities</w:t>
      </w:r>
      <w:r>
        <w:rPr>
          <w:rFonts w:ascii="Times New Roman" w:cs="Times New Roman" w:eastAsia="Times New Roman" w:hAnsi="Times New Roman"/>
          <w:sz w:val="18"/>
          <w:szCs w:val="18"/>
          <w:color w:val="auto"/>
        </w:rPr>
        <w:t>. (a) Except during the continuance of an Event of Default with respect to Securities of</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series,</w:t>
      </w:r>
    </w:p>
    <w:p>
      <w:pPr>
        <w:spacing w:after="0" w:line="225" w:lineRule="exact"/>
        <w:rPr>
          <w:sz w:val="20"/>
          <w:szCs w:val="20"/>
          <w:color w:val="auto"/>
        </w:rPr>
      </w:pPr>
    </w:p>
    <w:p>
      <w:pPr>
        <w:ind w:left="660" w:right="100" w:firstLine="645"/>
        <w:spacing w:after="0" w:line="329" w:lineRule="auto"/>
        <w:tabs>
          <w:tab w:leader="none" w:pos="15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with respect to Securities of such series, such duties and only such duties as are specifically set forth in this Indenture, and no implied covenants or obligations shall be read into this Indenture against the Trustee; and</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with respect to Securities of such series, conclusively rely, as to the truth of the</w:t>
      </w:r>
    </w:p>
    <w:p>
      <w:pPr>
        <w:spacing w:after="0" w:line="50"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an Event of Default with respect to Securities of any series has occurred and is continuing, the Trustee shall exercise, with respect to</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Securities of such series, such of the rights and powers vested in it by this Indenture, and use the same degree of care and skill in their exercise, as a prudent man would exercise or use under the circumstances in the conduct of his own affairs.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6" w:name="page67"/>
    <w:bookmarkEnd w:id="66"/>
    <w:p>
      <w:pPr>
        <w:ind w:right="400" w:firstLine="1305"/>
        <w:spacing w:after="0" w:line="329" w:lineRule="auto"/>
        <w:tabs>
          <w:tab w:leader="none" w:pos="15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Indenture shall be construed to relieve the Trustee from liability for its own negligent action, its own negligent failure to act, or its own willful misconduct,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w:t>
      </w:r>
    </w:p>
    <w:p>
      <w:pPr>
        <w:spacing w:after="0" w:line="121" w:lineRule="exact"/>
        <w:rPr>
          <w:rFonts w:ascii="Times New Roman" w:cs="Times New Roman" w:eastAsia="Times New Roman" w:hAnsi="Times New Roman"/>
          <w:sz w:val="18"/>
          <w:szCs w:val="18"/>
          <w:color w:val="auto"/>
        </w:rPr>
      </w:pPr>
    </w:p>
    <w:p>
      <w:pPr>
        <w:ind w:left="2180" w:hanging="227"/>
        <w:spacing w:after="0"/>
        <w:tabs>
          <w:tab w:leader="none" w:pos="2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265" w:lineRule="exact"/>
        <w:rPr>
          <w:rFonts w:ascii="Times New Roman" w:cs="Times New Roman" w:eastAsia="Times New Roman" w:hAnsi="Times New Roman"/>
          <w:sz w:val="18"/>
          <w:szCs w:val="18"/>
          <w:color w:val="auto"/>
        </w:rPr>
      </w:pPr>
    </w:p>
    <w:p>
      <w:pPr>
        <w:ind w:left="660" w:right="140" w:firstLine="1293"/>
        <w:spacing w:after="0" w:line="329" w:lineRule="auto"/>
        <w:tabs>
          <w:tab w:leader="none" w:pos="2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21" w:lineRule="exact"/>
        <w:rPr>
          <w:rFonts w:ascii="Times New Roman" w:cs="Times New Roman" w:eastAsia="Times New Roman" w:hAnsi="Times New Roman"/>
          <w:sz w:val="18"/>
          <w:szCs w:val="18"/>
          <w:color w:val="auto"/>
        </w:rPr>
      </w:pPr>
    </w:p>
    <w:p>
      <w:pPr>
        <w:ind w:left="2180" w:hanging="227"/>
        <w:spacing w:after="0"/>
        <w:tabs>
          <w:tab w:leader="none" w:pos="2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w:t>
      </w:r>
    </w:p>
    <w:p>
      <w:pPr>
        <w:spacing w:after="0" w:line="50" w:lineRule="exact"/>
        <w:rPr>
          <w:sz w:val="20"/>
          <w:szCs w:val="20"/>
          <w:color w:val="auto"/>
        </w:rPr>
      </w:pPr>
    </w:p>
    <w:p>
      <w:pPr>
        <w:ind w:left="660" w:right="340"/>
        <w:spacing w:after="0" w:line="266" w:lineRule="auto"/>
        <w:rPr>
          <w:sz w:val="20"/>
          <w:szCs w:val="20"/>
          <w:color w:val="auto"/>
        </w:rPr>
      </w:pPr>
      <w:r>
        <w:rPr>
          <w:rFonts w:ascii="Times New Roman" w:cs="Times New Roman" w:eastAsia="Times New Roman" w:hAnsi="Times New Roman"/>
          <w:sz w:val="18"/>
          <w:szCs w:val="18"/>
          <w:color w:val="auto"/>
        </w:rPr>
        <w:t>direction of the Holders of a majority in aggregate principal amount of the Outstanding Securities of any one or more series, as provided herein, relating to the time, method and place of conducting any proceeding for any remedy available to the Trustee, or exercising any trust or power conferred upon the Trustee, under this Indenture with respect to the Securities of such series;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 no provision of this Indenture shall require the Trustee to expend or risk its own funds or otherwise incur any financial liability</w:t>
      </w:r>
    </w:p>
    <w:p>
      <w:pPr>
        <w:spacing w:after="0" w:line="50"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in the performance of any of its duties hereunder, or in the exercise of any of its rights or powers, if it has reasonable grounds for believing that repayment of such funds or adequate indemnity against such risk or liability is not reasonably assured to it.</w:t>
      </w:r>
    </w:p>
    <w:p>
      <w:pPr>
        <w:spacing w:after="0" w:line="162" w:lineRule="exact"/>
        <w:rPr>
          <w:sz w:val="20"/>
          <w:szCs w:val="20"/>
          <w:color w:val="auto"/>
        </w:rPr>
      </w:pPr>
    </w:p>
    <w:p>
      <w:pPr>
        <w:ind w:right="340" w:firstLine="1305"/>
        <w:spacing w:after="0" w:line="329" w:lineRule="auto"/>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i w:val="1"/>
          <w:iCs w:val="1"/>
          <w:color w:val="auto"/>
        </w:rPr>
        <w:t>Notice of Defaults</w:t>
      </w:r>
      <w:r>
        <w:rPr>
          <w:rFonts w:ascii="Times New Roman" w:cs="Times New Roman" w:eastAsia="Times New Roman" w:hAnsi="Times New Roman"/>
          <w:sz w:val="17"/>
          <w:szCs w:val="17"/>
          <w:color w:val="auto"/>
        </w:rPr>
        <w:t>. Within 90 days after the occurrence of any default hereunder with respect to the Securities of any series,</w:t>
      </w:r>
    </w:p>
    <w:p>
      <w:pPr>
        <w:spacing w:after="0" w:line="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Trustee shall transmit by mail to all Holders of Securities of such series entitled to receive reports pursuant to Section 704(3) notice of such default hereunder known to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except in the case of a default in the payment of the principal of or any premium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or Responsible Officers of the Trustee in good faith determine that the withholding of such notice is in the interest of the Holders of Securities of such series;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any default of the character specified in Section 501(4) with respect to Securities of such series, no such notice to Holders shall be given until at least 75 days after the occurrence thereof. For the purpose of this Section, the term “</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means any event that is, or after notice or lapse of time or both would become, an Event of Default with respect to Securities of such series.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Certain Rights of Trustee</w:t>
      </w:r>
      <w:r>
        <w:rPr>
          <w:rFonts w:ascii="Times New Roman" w:cs="Times New Roman" w:eastAsia="Times New Roman" w:hAnsi="Times New Roman"/>
          <w:sz w:val="18"/>
          <w:szCs w:val="18"/>
          <w:color w:val="auto"/>
        </w:rPr>
        <w:t>. Subject to the provisions of Section 601 and to the applicable provisions of the Trust Indenture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Trustee may rely and shall be protected in acting or refraining from acting upon any resolution, certificate, statement, instrument,</w:t>
      </w:r>
    </w:p>
    <w:p>
      <w:pPr>
        <w:spacing w:after="0" w:line="50" w:lineRule="exact"/>
        <w:rPr>
          <w:sz w:val="20"/>
          <w:szCs w:val="20"/>
          <w:color w:val="auto"/>
        </w:rPr>
      </w:pPr>
    </w:p>
    <w:p>
      <w:pPr>
        <w:ind w:left="660" w:right="700"/>
        <w:spacing w:after="0" w:line="282" w:lineRule="auto"/>
        <w:rPr>
          <w:sz w:val="20"/>
          <w:szCs w:val="20"/>
          <w:color w:val="auto"/>
        </w:rPr>
      </w:pPr>
      <w:r>
        <w:rPr>
          <w:rFonts w:ascii="Times New Roman" w:cs="Times New Roman" w:eastAsia="Times New Roman" w:hAnsi="Times New Roman"/>
          <w:sz w:val="18"/>
          <w:szCs w:val="18"/>
          <w:color w:val="auto"/>
        </w:rPr>
        <w:t>opinion, report, notice, request, direction, consent, order, bond, debenture, note, other evidence of indebtedness or other paper or document reasonably believed by it to be genuine and to have been signed or presented by the proper party or parties;</w:t>
      </w:r>
    </w:p>
    <w:p>
      <w:pPr>
        <w:spacing w:after="0" w:line="162" w:lineRule="exact"/>
        <w:rPr>
          <w:sz w:val="20"/>
          <w:szCs w:val="20"/>
          <w:color w:val="auto"/>
        </w:rPr>
      </w:pPr>
    </w:p>
    <w:p>
      <w:pPr>
        <w:ind w:left="660" w:right="40" w:firstLine="645"/>
        <w:spacing w:after="0" w:line="329" w:lineRule="auto"/>
        <w:tabs>
          <w:tab w:leader="none" w:pos="153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or as otherwise expressly provided herein, and any resolution of the Board of Directors may be sufficiently evidenced by a Board Resolution;</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in the administration of this Indenture the Trustee shall deem it desirable that a matter be proved or established prior to taking,</w:t>
      </w:r>
    </w:p>
    <w:p>
      <w:pPr>
        <w:spacing w:after="0" w:line="6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suffering or omitting any action hereunder, the Trustee (unless other evidence be herein specifically prescribed) may, in the absence of bad faith on its part, rely</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67" w:name="page68"/>
    <w:bookmarkEnd w:id="67"/>
    <w:p>
      <w:pPr>
        <w:ind w:left="660" w:right="140"/>
        <w:spacing w:after="0" w:line="282" w:lineRule="auto"/>
        <w:rPr>
          <w:sz w:val="20"/>
          <w:szCs w:val="20"/>
          <w:color w:val="auto"/>
        </w:rPr>
      </w:pPr>
      <w:r>
        <w:rPr>
          <w:rFonts w:ascii="Times New Roman" w:cs="Times New Roman" w:eastAsia="Times New Roman" w:hAnsi="Times New Roman"/>
          <w:sz w:val="18"/>
          <w:szCs w:val="18"/>
          <w:color w:val="auto"/>
        </w:rPr>
        <w:t>upon an Officer’s Certificate and such Officer’s Certificate, in the absence of negligence or bad faith on the part of the Trustee, shall be full warrant to the Trustee for any action taken, suffered or omitted by it under the provisions of this Indenture upon the faith thereof;</w:t>
      </w:r>
    </w:p>
    <w:p>
      <w:pPr>
        <w:spacing w:after="0" w:line="162" w:lineRule="exact"/>
        <w:rPr>
          <w:sz w:val="20"/>
          <w:szCs w:val="20"/>
          <w:color w:val="auto"/>
        </w:rPr>
      </w:pPr>
    </w:p>
    <w:p>
      <w:pPr>
        <w:ind w:left="660" w:right="540" w:firstLine="645"/>
        <w:spacing w:after="0" w:line="329" w:lineRule="auto"/>
        <w:tabs>
          <w:tab w:leader="none" w:pos="15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w:t>
      </w:r>
    </w:p>
    <w:p>
      <w:pPr>
        <w:spacing w:after="0" w:line="50"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any of the Holders pursuant to this Indenture, unless such Holders shall have offered to the Trustee reasonable security or indemnity against the costs, expenses and liabilities that might be incurred by it in compliance with such request or direction;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Trustee shall not be bound to make any investigation into the facts or matters stated in any resolution, certificate, statement,</w:t>
      </w:r>
    </w:p>
    <w:p>
      <w:pPr>
        <w:spacing w:after="0" w:line="50" w:lineRule="exact"/>
        <w:rPr>
          <w:sz w:val="20"/>
          <w:szCs w:val="20"/>
          <w:color w:val="auto"/>
        </w:rPr>
      </w:pPr>
    </w:p>
    <w:p>
      <w:pPr>
        <w:ind w:left="660" w:right="640"/>
        <w:spacing w:after="0" w:line="313" w:lineRule="auto"/>
        <w:rPr>
          <w:sz w:val="20"/>
          <w:szCs w:val="20"/>
          <w:color w:val="auto"/>
        </w:rPr>
      </w:pPr>
      <w:r>
        <w:rPr>
          <w:rFonts w:ascii="Times New Roman" w:cs="Times New Roman" w:eastAsia="Times New Roman" w:hAnsi="Times New Roman"/>
          <w:sz w:val="17"/>
          <w:szCs w:val="17"/>
          <w:color w:val="auto"/>
        </w:rPr>
        <w:t>instrument, opinion, report, notice, request, direction, consent, order, bond, debenture, note, other evidence of indebtedness or other paper or document, but the Trustee, in its discretion, may make such further inquiry or investigation into such facts or matters as it may see fit; and</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Trustee may execute any of the trusts or powers hereunder or perform any duties hereunder either directly or by or through agents or</w:t>
      </w:r>
    </w:p>
    <w:p>
      <w:pPr>
        <w:spacing w:after="0" w:line="50"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attorneys and the Trustee shall not be responsible for any misconduct or negligence on the part of any agent or attorney appointed with due care by it hereunder.</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Not Responsible for Recitals or Issuance of Securities</w:t>
      </w:r>
      <w:r>
        <w:rPr>
          <w:rFonts w:ascii="Times New Roman" w:cs="Times New Roman" w:eastAsia="Times New Roman" w:hAnsi="Times New Roman"/>
          <w:sz w:val="18"/>
          <w:szCs w:val="18"/>
          <w:color w:val="auto"/>
        </w:rPr>
        <w:t>. The recitals contained herein and in the Securities, except the</w:t>
      </w:r>
    </w:p>
    <w:p>
      <w:pPr>
        <w:spacing w:after="0" w:line="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Trustee’s certificate of authentication, shall be taken as the statements of the Company, and the Trustee or any Authenticating Agent assumes no responsibility for their correctness. The Trustee makes no representations as to the validity or sufficiency of this Indenture or of the Securities of any series. The Trustee or any Authenticating Agent shall not be accountable for the use or application by the Company of Securities or the proceeds thereof.</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May Hold Securities</w:t>
      </w:r>
      <w:r>
        <w:rPr>
          <w:rFonts w:ascii="Times New Roman" w:cs="Times New Roman" w:eastAsia="Times New Roman" w:hAnsi="Times New Roman"/>
          <w:sz w:val="18"/>
          <w:szCs w:val="18"/>
          <w:color w:val="auto"/>
        </w:rPr>
        <w:t>. The Trustee, any Authenticating Agent, any Paying Agent, any Security Registrar or any other agent</w:t>
      </w:r>
    </w:p>
    <w:p>
      <w:pPr>
        <w:spacing w:after="0" w:line="5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of the Company or the Trustee,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Money Held in Trust</w:t>
      </w:r>
      <w:r>
        <w:rPr>
          <w:rFonts w:ascii="Times New Roman" w:cs="Times New Roman" w:eastAsia="Times New Roman" w:hAnsi="Times New Roman"/>
          <w:sz w:val="18"/>
          <w:szCs w:val="18"/>
          <w:color w:val="auto"/>
        </w:rPr>
        <w:t>. Money held by the Trustee or by any Paying Agent (other than the Company if the Company shall act</w:t>
      </w:r>
    </w:p>
    <w:p>
      <w:pPr>
        <w:spacing w:after="0" w:line="52"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as Paying Agent) in trust hereunder need not be segregated from other funds except to the extent required by law. Neither the Trustee nor any Paying Agent shall be liable for interest on any money received by it hereunder except as expressly provided herein or otherwise agreed with the Company.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Compensation and Reimbursement</w:t>
      </w:r>
      <w:r>
        <w:rPr>
          <w:rFonts w:ascii="Times New Roman" w:cs="Times New Roman" w:eastAsia="Times New Roman" w:hAnsi="Times New Roman"/>
          <w:sz w:val="18"/>
          <w:szCs w:val="18"/>
          <w:color w:val="auto"/>
        </w:rPr>
        <w:t>. The Company agrees</w:t>
      </w:r>
    </w:p>
    <w:p>
      <w:pPr>
        <w:spacing w:after="0" w:line="268" w:lineRule="exact"/>
        <w:rPr>
          <w:sz w:val="20"/>
          <w:szCs w:val="20"/>
          <w:color w:val="auto"/>
        </w:rPr>
      </w:pPr>
    </w:p>
    <w:p>
      <w:pPr>
        <w:ind w:left="660" w:right="80" w:firstLine="645"/>
        <w:spacing w:after="0" w:line="329" w:lineRule="auto"/>
        <w:tabs>
          <w:tab w:leader="none" w:pos="153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 upon its request for all reasonable expenses, disbursements and</w:t>
      </w:r>
    </w:p>
    <w:p>
      <w:pPr>
        <w:spacing w:after="0" w:line="50"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willful misconduct or bad faith;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to indemnify the Trustee for, and to hold it harmless against, any loss, liability or expense reasonably incurred without negligence,</w:t>
      </w:r>
    </w:p>
    <w:p>
      <w:pPr>
        <w:spacing w:after="0" w:line="50" w:lineRule="exact"/>
        <w:rPr>
          <w:sz w:val="20"/>
          <w:szCs w:val="20"/>
          <w:color w:val="auto"/>
        </w:rPr>
      </w:pPr>
    </w:p>
    <w:p>
      <w:pPr>
        <w:ind w:left="660" w:right="340"/>
        <w:spacing w:after="0" w:line="261" w:lineRule="auto"/>
        <w:rPr>
          <w:sz w:val="20"/>
          <w:szCs w:val="20"/>
          <w:color w:val="auto"/>
        </w:rPr>
      </w:pPr>
      <w:r>
        <w:rPr>
          <w:rFonts w:ascii="Times New Roman" w:cs="Times New Roman" w:eastAsia="Times New Roman" w:hAnsi="Times New Roman"/>
          <w:sz w:val="18"/>
          <w:szCs w:val="18"/>
          <w:color w:val="auto"/>
        </w:rPr>
        <w:t>willful misconduct or bad faith on its part, arising out of or in connection with the acceptance or administration of the trust or trusts hereunder or performance of its</w:t>
      </w: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p>
      <w:pPr>
        <w:ind w:left="660"/>
        <w:spacing w:after="0" w:line="282" w:lineRule="auto"/>
        <w:rPr>
          <w:sz w:val="20"/>
          <w:szCs w:val="20"/>
          <w:color w:val="auto"/>
        </w:rPr>
      </w:pPr>
      <w:r>
        <w:rPr>
          <w:rFonts w:ascii="Times New Roman" w:cs="Times New Roman" w:eastAsia="Times New Roman" w:hAnsi="Times New Roman"/>
          <w:sz w:val="18"/>
          <w:szCs w:val="18"/>
          <w:color w:val="auto"/>
        </w:rPr>
        <w:t>duties hereunder, including the costs and expenses of defending itself against any claim or liability in connection with the exercise or performance of any of its powers or duties hereunder.</w:t>
      </w:r>
    </w:p>
    <w:p>
      <w:pPr>
        <w:spacing w:after="0" w:line="162" w:lineRule="exact"/>
        <w:rPr>
          <w:sz w:val="20"/>
          <w:szCs w:val="20"/>
          <w:color w:val="auto"/>
        </w:rPr>
      </w:pPr>
    </w:p>
    <w:p>
      <w:pPr>
        <w:jc w:val="both"/>
        <w:ind w:right="60" w:firstLine="1297"/>
        <w:spacing w:after="0" w:line="266" w:lineRule="auto"/>
        <w:rPr>
          <w:sz w:val="20"/>
          <w:szCs w:val="20"/>
          <w:color w:val="auto"/>
        </w:rPr>
      </w:pPr>
      <w:r>
        <w:rPr>
          <w:rFonts w:ascii="Times New Roman" w:cs="Times New Roman" w:eastAsia="Times New Roman" w:hAnsi="Times New Roman"/>
          <w:sz w:val="18"/>
          <w:szCs w:val="18"/>
          <w:color w:val="auto"/>
        </w:rPr>
        <w:t>As security for the performance of the obligations of the Company under this Section, the Trustee shall have a claim prior to the Securities upon all property and funds held or collected by the Trustee as such, except property and funds held in trust for the payment of principal of and any premium and interest on particular Securities.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608. </w:t>
      </w:r>
      <w:r>
        <w:rPr>
          <w:rFonts w:ascii="Times New Roman" w:cs="Times New Roman" w:eastAsia="Times New Roman" w:hAnsi="Times New Roman"/>
          <w:sz w:val="17"/>
          <w:szCs w:val="17"/>
          <w:i w:val="1"/>
          <w:iCs w:val="1"/>
          <w:color w:val="auto"/>
        </w:rPr>
        <w:t>Disqualification; Conflicting Interests</w:t>
      </w:r>
      <w:r>
        <w:rPr>
          <w:rFonts w:ascii="Times New Roman" w:cs="Times New Roman" w:eastAsia="Times New Roman" w:hAnsi="Times New Roman"/>
          <w:sz w:val="17"/>
          <w:szCs w:val="17"/>
          <w:color w:val="auto"/>
        </w:rPr>
        <w:t>. If the Trustee has or acquires any conflicting interest within the meaning of the Trust</w:t>
      </w:r>
    </w:p>
    <w:p>
      <w:pPr>
        <w:spacing w:after="0" w:line="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Indenture Act with respect to the Securities of any series, it shall either eliminate such conflicting interest or resign to the extent, in the manner and with the effect, and subject to the conditions, provided in the Trust Indenture Act and this Indenture. For purposes of Section 310(b)(1) of the Trust Indenture Act and to the extent permitted thereby, the Trustee, in its capacity as trustee in respect of the equally ranked and unsecured Securities of any series, shall not be deemed to have a conflicting interest arising from its capacity as trustee in respect of the equally ranked and unsecured Securities of any other series under this Indenture.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609. </w:t>
      </w:r>
      <w:r>
        <w:rPr>
          <w:rFonts w:ascii="Times New Roman" w:cs="Times New Roman" w:eastAsia="Times New Roman" w:hAnsi="Times New Roman"/>
          <w:sz w:val="17"/>
          <w:szCs w:val="17"/>
          <w:i w:val="1"/>
          <w:iCs w:val="1"/>
          <w:color w:val="auto"/>
        </w:rPr>
        <w:t>Corporate Trustee Required; Eligibility</w:t>
      </w:r>
      <w:r>
        <w:rPr>
          <w:rFonts w:ascii="Times New Roman" w:cs="Times New Roman" w:eastAsia="Times New Roman" w:hAnsi="Times New Roman"/>
          <w:sz w:val="17"/>
          <w:szCs w:val="17"/>
          <w:color w:val="auto"/>
        </w:rPr>
        <w:t>. There shall at all times be a Trustee hereunder that shall be a Person that is eligible</w:t>
      </w:r>
    </w:p>
    <w:p>
      <w:pPr>
        <w:spacing w:after="0" w:line="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Trust Indenture Act to act as such, having a combined capital and surplus of at least $50,000,000, subject to supervision or examination by federal or state authority and qualified and eligible under this Article,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Company nor any Affiliate of the Company or any obligor on the Securities may serve as Trustee of any Securities.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ceases to be eligible in accordance with the provisions of this Section, it shall resign immediately in the manner and with the effect hereinafter specified in this Article.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Resignation and Removal; Appointment of Successor</w:t>
      </w:r>
      <w:r>
        <w:rPr>
          <w:rFonts w:ascii="Times New Roman" w:cs="Times New Roman" w:eastAsia="Times New Roman" w:hAnsi="Times New Roman"/>
          <w:sz w:val="18"/>
          <w:szCs w:val="18"/>
          <w:color w:val="auto"/>
        </w:rPr>
        <w:t>. (a) No resignation or removal of the Trustee and no appointment of a</w:t>
      </w:r>
    </w:p>
    <w:p>
      <w:pPr>
        <w:spacing w:after="0" w:line="5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successor Trustee pursuant to this Article shall become effective until the acceptance of appointment by the successor Trustee in accordance with the applicable requirements of Section 611.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Trustee may resign at any time with respect to the Securities of one or more series by giving written notice thereof to the Company.</w:t>
      </w:r>
    </w:p>
    <w:p>
      <w:pPr>
        <w:spacing w:after="0" w:line="5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If the instrument of acceptance by a successor Trustee required by Section 611 has not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76" w:lineRule="exact"/>
        <w:rPr>
          <w:sz w:val="20"/>
          <w:szCs w:val="20"/>
          <w:color w:val="auto"/>
        </w:rPr>
      </w:pPr>
    </w:p>
    <w:p>
      <w:pPr>
        <w:ind w:left="1520" w:hanging="215"/>
        <w:spacing w:after="0"/>
        <w:tabs>
          <w:tab w:leader="none" w:pos="1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by a Board Resolution remove the Trustee with respect to the Securities of any or all series.</w:t>
      </w:r>
    </w:p>
    <w:p>
      <w:pPr>
        <w:spacing w:after="0" w:line="265" w:lineRule="exact"/>
        <w:rPr>
          <w:rFonts w:ascii="Times New Roman" w:cs="Times New Roman" w:eastAsia="Times New Roman" w:hAnsi="Times New Roman"/>
          <w:sz w:val="18"/>
          <w:szCs w:val="18"/>
          <w:color w:val="auto"/>
        </w:rPr>
      </w:pPr>
    </w:p>
    <w:p>
      <w:pPr>
        <w:ind w:right="320" w:firstLine="1305"/>
        <w:spacing w:after="0" w:line="329" w:lineRule="auto"/>
        <w:tabs>
          <w:tab w:leader="none" w:pos="1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aggregate principal amount of the Outstanding Securities of such series, delivered to the Trustee and to the Company.</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265" w:lineRule="exact"/>
        <w:rPr>
          <w:rFonts w:ascii="Times New Roman" w:cs="Times New Roman" w:eastAsia="Times New Roman" w:hAnsi="Times New Roman"/>
          <w:sz w:val="18"/>
          <w:szCs w:val="18"/>
          <w:color w:val="auto"/>
        </w:rPr>
      </w:pPr>
    </w:p>
    <w:p>
      <w:pPr>
        <w:ind w:left="660" w:right="300" w:firstLine="1293"/>
        <w:spacing w:after="0" w:line="329" w:lineRule="auto"/>
        <w:tabs>
          <w:tab w:leader="none" w:pos="21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608 with respect to the Securities of any series, after written request therefor by the Company or by any Holder who has been a bona fide Holder of a Security of such series for at least six months, or</w:t>
      </w:r>
    </w:p>
    <w:p>
      <w:pPr>
        <w:spacing w:after="0" w:line="121" w:lineRule="exact"/>
        <w:rPr>
          <w:rFonts w:ascii="Times New Roman" w:cs="Times New Roman" w:eastAsia="Times New Roman" w:hAnsi="Times New Roman"/>
          <w:sz w:val="18"/>
          <w:szCs w:val="18"/>
          <w:color w:val="auto"/>
        </w:rPr>
      </w:pPr>
    </w:p>
    <w:p>
      <w:pPr>
        <w:ind w:left="2180" w:hanging="227"/>
        <w:spacing w:after="0"/>
        <w:tabs>
          <w:tab w:leader="none" w:pos="21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ceases to be eligible under Section 609 and fails to resign after written request therefor by the Company or by any</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9" w:name="page70"/>
    <w:bookmarkEnd w:id="69"/>
    <w:p>
      <w:pPr>
        <w:ind w:left="1960"/>
        <w:spacing w:after="0"/>
        <w:rPr>
          <w:sz w:val="20"/>
          <w:szCs w:val="20"/>
          <w:color w:val="auto"/>
        </w:rPr>
      </w:pPr>
      <w:r>
        <w:rPr>
          <w:rFonts w:ascii="Times New Roman" w:cs="Times New Roman" w:eastAsia="Times New Roman" w:hAnsi="Times New Roman"/>
          <w:sz w:val="18"/>
          <w:szCs w:val="18"/>
          <w:color w:val="auto"/>
        </w:rPr>
        <w:t>(3) the Trustee becomes incapable of acting or becomes adjudged a bankrupt or insolvent or a receiver of the Trustee or of its</w:t>
      </w:r>
    </w:p>
    <w:p>
      <w:pPr>
        <w:spacing w:after="0" w:line="50"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property is appointed or any public officer takes charge or control of the Trustee or of its property or affairs for the purpose of rehabilitation, conservation or liquidation,</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then, in any such case,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If the Trustee resigns, is removed or becomes incapable of acting, or if a vacancy shall occur in the office of Trustee for any cause, with</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is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has been so appointed by the Company or the Holders and accepted appointment in the manner required by Section 611, any Holder who has been a bona fide Holder of a Security of such series for at least six months may, subject to Section 514, on behalf of himself and all others similarly situated, petition any court of competent jurisdiction for the appointment of a successor Trustee with respect to the Securities of such series.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Company shall give notice of each resignation and each removal of the Trustee with respect to the Securities of any series and each</w:t>
      </w:r>
    </w:p>
    <w:p>
      <w:pPr>
        <w:spacing w:after="0" w:line="5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appointment of a successor Trustee with respect to the Securities of any series by mailing written notice of such event by first-class mail, postage prepaid, to all Holders of Securities of such series entitled to receive reports pursuant to Section 704(3). Each notice shall include the name of the successor Trustee with respect to the Securities of such series and the address of its Corporate Trust Office.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All provisions of this Section except subparagraph (d) and Section 611(b) (except for the last clause, after omitting the words “after</w:t>
      </w:r>
    </w:p>
    <w:p>
      <w:pPr>
        <w:spacing w:after="0" w:line="5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deducting all amounts owed to the retiring Trustee pursuant to Section 607,” which shall apply) shall apply also to any Paying Agent located outside the United States and its possessions.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i w:val="1"/>
          <w:iCs w:val="1"/>
          <w:color w:val="auto"/>
        </w:rPr>
        <w:t>Acceptance of Appointment by Successor</w:t>
      </w:r>
      <w:r>
        <w:rPr>
          <w:rFonts w:ascii="Times New Roman" w:cs="Times New Roman" w:eastAsia="Times New Roman" w:hAnsi="Times New Roman"/>
          <w:sz w:val="17"/>
          <w:szCs w:val="17"/>
          <w:color w:val="auto"/>
        </w:rPr>
        <w:t>. (a) In case of the appointment hereunder of a successor Trustee with respect to the</w:t>
      </w:r>
    </w:p>
    <w:p>
      <w:pPr>
        <w:spacing w:after="0" w:line="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Securities of all series,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 case of the appointment hereunder of a successor Trustee with respect to the Securities of one or more (but not all) series, the</w:t>
      </w:r>
    </w:p>
    <w:p>
      <w:pPr>
        <w:spacing w:after="0" w:line="5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0" w:name="page71"/>
    <w:bookmarkEnd w:id="70"/>
    <w:p>
      <w:pPr>
        <w:ind w:right="20"/>
        <w:spacing w:after="0" w:line="255" w:lineRule="auto"/>
        <w:rPr>
          <w:sz w:val="20"/>
          <w:szCs w:val="20"/>
          <w:color w:val="auto"/>
        </w:rPr>
      </w:pPr>
      <w:r>
        <w:rPr>
          <w:rFonts w:ascii="Times New Roman" w:cs="Times New Roman" w:eastAsia="Times New Roman" w:hAnsi="Times New Roman"/>
          <w:sz w:val="18"/>
          <w:szCs w:val="18"/>
          <w:color w:val="auto"/>
        </w:rPr>
        <w:t>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85" w:lineRule="exact"/>
        <w:rPr>
          <w:sz w:val="20"/>
          <w:szCs w:val="20"/>
          <w:color w:val="auto"/>
        </w:rPr>
      </w:pPr>
    </w:p>
    <w:p>
      <w:pPr>
        <w:ind w:right="200" w:firstLine="1305"/>
        <w:spacing w:after="0" w:line="329" w:lineRule="auto"/>
        <w:tabs>
          <w:tab w:leader="none" w:pos="151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1" w:lineRule="exact"/>
        <w:rPr>
          <w:rFonts w:ascii="Times New Roman" w:cs="Times New Roman" w:eastAsia="Times New Roman" w:hAnsi="Times New Roman"/>
          <w:sz w:val="18"/>
          <w:szCs w:val="18"/>
          <w:color w:val="auto"/>
        </w:rPr>
      </w:pPr>
    </w:p>
    <w:p>
      <w:pPr>
        <w:ind w:right="300" w:firstLine="1305"/>
        <w:spacing w:after="0" w:line="329" w:lineRule="auto"/>
        <w:tabs>
          <w:tab w:leader="none" w:pos="1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Merger, Conversion, Consolidation or Succession to Business</w:t>
      </w:r>
      <w:r>
        <w:rPr>
          <w:rFonts w:ascii="Times New Roman" w:cs="Times New Roman" w:eastAsia="Times New Roman" w:hAnsi="Times New Roman"/>
          <w:sz w:val="18"/>
          <w:szCs w:val="18"/>
          <w:color w:val="auto"/>
        </w:rPr>
        <w:t>. Any corporation into which the Trustee may be merged or</w:t>
      </w:r>
    </w:p>
    <w:p>
      <w:pPr>
        <w:spacing w:after="0" w:line="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such corporation shall be otherwise qualified and eligible under this Article, without the execution or filing of any paper or any further act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i w:val="1"/>
          <w:iCs w:val="1"/>
          <w:color w:val="auto"/>
        </w:rPr>
        <w:t>Preferential Collection of Claims Against Company</w:t>
      </w:r>
      <w:r>
        <w:rPr>
          <w:rFonts w:ascii="Times New Roman" w:cs="Times New Roman" w:eastAsia="Times New Roman" w:hAnsi="Times New Roman"/>
          <w:sz w:val="17"/>
          <w:szCs w:val="17"/>
          <w:color w:val="auto"/>
        </w:rPr>
        <w:t>. The Trustee shall comply with Trust Indenture Act § 311(a), excluding</w:t>
      </w:r>
    </w:p>
    <w:p>
      <w:pPr>
        <w:spacing w:after="0" w:line="6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creditor relationship listed in Trust Indenture Act § 311(b). A Trustee who has resigned or been removed shall be subject to Trust Indenture Act § 311(a) to the extent indicated therein.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Appointment of Authenticating Agent</w:t>
      </w:r>
      <w:r>
        <w:rPr>
          <w:rFonts w:ascii="Times New Roman" w:cs="Times New Roman" w:eastAsia="Times New Roman" w:hAnsi="Times New Roman"/>
          <w:sz w:val="18"/>
          <w:szCs w:val="18"/>
          <w:color w:val="auto"/>
        </w:rPr>
        <w:t>. (a) At any time when any of the Securities remain Outstanding the Trustee may</w:t>
      </w:r>
    </w:p>
    <w:p>
      <w:pPr>
        <w:spacing w:after="0" w:line="5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appoint an Authenticating Agent or Agents (which may include any Person that owns, directly or indirectly, all of the capital stock of the Trustee or a corporation that is a wholly-owned subsidiary of the Trustee or of such other Person) with respect to one or more series of Securities, or any Tranche thereof, that shall be authorized to act on behalf of the Trustee to authenticate Securities of such series or Tranche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in the United States.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ceases to be eligible in accordance with the provisions of this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Section, such Authenticating Agent shall resign immediately in the manner and with the effect specified in this Section.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corporation into which an Authenticating Agent may be merged or converted or with which it may be consolidated, or any</w:t>
      </w:r>
    </w:p>
    <w:p>
      <w:pPr>
        <w:spacing w:after="0" w:line="5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corporation shall be otherwise eligible under this Section, without the execution or filing of any paper or any further act on the part of the Trustee or the Authenticating Agent.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 Authenticating Agent may resign with respect to one or more series of Securities at any time by giving written notice thereof to the</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Trustee and to the Company. The Trustee may at any time terminate the agency of an Authenticating Agent with respect to one or more series of Securities by giving written notice thereof to such Authenticating Agent and to the Company. Upon receiving such a notice of resignation or upon such a termination, or in case at any time such Authenticating Agent ceases to be eligible in accordance with the provisions of this Section, the Trustee may appoint a successor Authenticating Agent that is acceptable to the Company and shall provide notice of such appointment to all Holders of Securities of the series or Tranche with respect to which such Authenticating Agent will serve, as provided in paragraph (a) of this Section.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An Authenticating Agent appointed pursuant to this Section shall be entitled to rely on Sections 111, 308, 604 and 605 hereunder.</w:t>
      </w:r>
    </w:p>
    <w:p>
      <w:pPr>
        <w:spacing w:after="0" w:line="185" w:lineRule="exact"/>
        <w:rPr>
          <w:sz w:val="20"/>
          <w:szCs w:val="20"/>
          <w:color w:val="auto"/>
        </w:rPr>
      </w:pPr>
    </w:p>
    <w:p>
      <w:pPr>
        <w:ind w:right="200" w:firstLine="1305"/>
        <w:spacing w:after="0" w:line="329" w:lineRule="auto"/>
        <w:tabs>
          <w:tab w:leader="none" w:pos="1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appointment with respect to the Securities of one or more series, or any Tranche thereof, is made pursuant to this Section, the</w:t>
      </w:r>
    </w:p>
    <w:p>
      <w:pPr>
        <w:spacing w:after="0" w:line="5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Securities of such series or Tranche may have endorsed thereon, in addition to the Trustee’s certificate of authentication, an alternate certificate of authentication in the following form:</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pursuant to and issued under the within-mentioned Indenture.</w:t>
      </w:r>
    </w:p>
    <w:p>
      <w:pPr>
        <w:spacing w:after="0" w:line="38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9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180340</wp:posOffset>
            </wp:positionV>
            <wp:extent cx="2804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7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As Authenticating Agent on behalf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180340</wp:posOffset>
            </wp:positionV>
            <wp:extent cx="2804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7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Authorized Officer of Authenticating Agent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180340</wp:posOffset>
            </wp:positionV>
            <wp:extent cx="24523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18"/>
          <w:szCs w:val="18"/>
          <w:color w:val="auto"/>
        </w:rPr>
        <w:t>(f) If all of the Securities of a series may not be originally issued at one time, and if the Trustee does not have an office capable of</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and in accordance with such procedures as shall be acceptable to the Trustee, an Authenticating Agent (which, if so requested by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jc w:val="center"/>
        <w:ind w:right="140"/>
        <w:spacing w:after="0"/>
        <w:rPr>
          <w:sz w:val="20"/>
          <w:szCs w:val="20"/>
          <w:color w:val="auto"/>
        </w:rPr>
      </w:pPr>
      <w:r>
        <w:rPr>
          <w:rFonts w:ascii="Times New Roman" w:cs="Times New Roman" w:eastAsia="Times New Roman" w:hAnsi="Times New Roman"/>
          <w:sz w:val="17"/>
          <w:szCs w:val="17"/>
          <w:color w:val="auto"/>
        </w:rPr>
        <w:t>Company, may be an Affiliate of the Company) having an office in a Place of Payment designated by the Company with respect to such series of Securities.</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semi-annually, not later than the 15th day after each Regular Record Date for each series of Securities at the time Outstanding or on June</w:t>
      </w:r>
    </w:p>
    <w:p>
      <w:pPr>
        <w:spacing w:after="0" w:line="61"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30 and December 31 of each year with respect to each series of Securities for which there are no Regular Record Dates, a list, in such form as the Trustee may reasonably require, containing all the information in the possession or control of the Company, or any of its Paying Agents other than the Trustee, of the names and addresses of the Holders of Securities of such series, including Holders of interests in Global Securities, as of such preceding Regular Record Date or on June 15 or December 15, as the case may be, or, in the case of a series of non-interest bearing Securities, on a date to be determined as contemplated pursuant to Section 301(b), and</w:t>
      </w:r>
    </w:p>
    <w:p>
      <w:pPr>
        <w:spacing w:after="0" w:line="184" w:lineRule="exact"/>
        <w:rPr>
          <w:sz w:val="20"/>
          <w:szCs w:val="20"/>
          <w:color w:val="auto"/>
        </w:rPr>
      </w:pPr>
    </w:p>
    <w:p>
      <w:pPr>
        <w:ind w:left="660" w:right="160" w:firstLine="645"/>
        <w:spacing w:after="0" w:line="329" w:lineRule="auto"/>
        <w:tabs>
          <w:tab w:leader="none" w:pos="153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excluding </w:t>
      </w:r>
      <w:r>
        <w:rPr>
          <w:rFonts w:ascii="Times New Roman" w:cs="Times New Roman" w:eastAsia="Times New Roman" w:hAnsi="Times New Roman"/>
          <w:sz w:val="18"/>
          <w:szCs w:val="18"/>
          <w:color w:val="auto"/>
        </w:rPr>
        <w:t>from any such list names and addresses received by the Trustee in its capacity as Security Registrar for Securities other than Global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Preservation of Information; Communications to Holders</w:t>
      </w:r>
      <w:r>
        <w:rPr>
          <w:rFonts w:ascii="Times New Roman" w:cs="Times New Roman" w:eastAsia="Times New Roman" w:hAnsi="Times New Roman"/>
          <w:sz w:val="18"/>
          <w:szCs w:val="18"/>
          <w:color w:val="auto"/>
        </w:rPr>
        <w:t>. (a) The Trustee shall preserve, in as current a form as is</w:t>
      </w:r>
    </w:p>
    <w:p>
      <w:pPr>
        <w:spacing w:after="0" w:line="5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reasonably practicable, the names and addresses of Holders of Securities contained in the most recent list furnished to the Trustee as provided in Section 701 and the names and addresses of Holders of Securities received by the Trustee in its capacity as Security Registrar or Paying Agent. The Trustee may destroy any list furnished to it as provided in Section 701 upon receipt of a new list so furnished.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three or more Holders (herein referred to as “applicants”) apply in writing to the Trustee, and furnish to the Trustee reasonable proof</w:t>
      </w:r>
    </w:p>
    <w:p>
      <w:pPr>
        <w:spacing w:after="0" w:line="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that each such applicant has owned a Security for a period of at least six months preceding the date of such application, and such application states that the applicants desire to communicate with other Holders with respect to their rights under this Indenture or under the Securities and is accompanied by a copy of the form of proxy or other communication that such applicants propose to transmit, then the Trustee shall, within five business days after the receipt of such application, at its election, either</w:t>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 afford such applicants access to the information preserved at the time by the Trustee in accordance with Section 702(a),</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 inform such applicants as to the approximate number of Holders whose names and addresses appear in the information</w:t>
      </w:r>
    </w:p>
    <w:p>
      <w:pPr>
        <w:spacing w:after="0" w:line="61"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preserved at the time by the Trustee in accordance with Section 702(a), and as to the approximate cost of mailing to such Holders the form of proxy or other communication, if any, specified in such application.</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the Trustee elects not to afford such applicants access to such information, the Trustee shall, upon the written request of such applicants, mail to each Holder whose name and address appear in the information preserved at the time by the Trustee in accordance with Section 702(a) a copy of the form of proxy or other communication that is specified in such request, with reasonable promptness after a tender to the Trustee by the applicants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74" w:name="page75"/>
    <w:bookmarkEnd w:id="74"/>
    <w:p>
      <w:pPr>
        <w:ind w:right="220"/>
        <w:spacing w:after="0" w:line="258" w:lineRule="auto"/>
        <w:rPr>
          <w:sz w:val="20"/>
          <w:szCs w:val="20"/>
          <w:color w:val="auto"/>
        </w:rPr>
      </w:pPr>
      <w:r>
        <w:rPr>
          <w:rFonts w:ascii="Times New Roman" w:cs="Times New Roman" w:eastAsia="Times New Roman" w:hAnsi="Times New Roman"/>
          <w:sz w:val="18"/>
          <w:szCs w:val="18"/>
          <w:color w:val="auto"/>
        </w:rPr>
        <w:t>written statement shall specify the basis of such opinion. If the Commission, after opportunity for a hearing upon the objections specified in the written statement so filed, enters an order refusing to sustain any of such objections or if, after the entry of an order sustaining one or more of such objections, the Commission finds, after notice and opportunity for hearing, that all the objections so sustained have been met and enters an order so declaring, the Trustee shall mail copies of such material to all such Holders with reasonable promptness after the entry of such order and the renewal of such tender by such applicants; otherwise the Trustee shall be relieved of any obligation or duty to such applicants respecting their application.</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Every Holder of Securities, by receiving and holding the same, agrees with the Company and the Trustee that neither the Company nor</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Trustee nor any agent of either of them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any material pursuant to a request made under Section 702(b).</w:t>
      </w:r>
    </w:p>
    <w:p>
      <w:pPr>
        <w:spacing w:after="0" w:line="174" w:lineRule="exact"/>
        <w:rPr>
          <w:sz w:val="20"/>
          <w:szCs w:val="20"/>
          <w:color w:val="auto"/>
        </w:rPr>
      </w:pPr>
    </w:p>
    <w:p>
      <w:pPr>
        <w:ind w:right="2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Reports by Trustee</w:t>
      </w:r>
      <w:r>
        <w:rPr>
          <w:rFonts w:ascii="Times New Roman" w:cs="Times New Roman" w:eastAsia="Times New Roman" w:hAnsi="Times New Roman"/>
          <w:sz w:val="18"/>
          <w:szCs w:val="18"/>
          <w:color w:val="auto"/>
        </w:rPr>
        <w:t>. (a) The Trustee shall transmit to Holders such reports concerning the Trustee the Trustee and its actions under this Indenture as may be required pursuant to the Trust Indenture Act at the times and in the manner provided pursuant thereto.</w:t>
      </w:r>
    </w:p>
    <w:p>
      <w:pPr>
        <w:spacing w:after="0" w:line="120" w:lineRule="exact"/>
        <w:rPr>
          <w:sz w:val="20"/>
          <w:szCs w:val="20"/>
          <w:color w:val="auto"/>
        </w:rPr>
      </w:pPr>
    </w:p>
    <w:p>
      <w:pPr>
        <w:ind w:right="360" w:firstLine="1305"/>
        <w:spacing w:after="0" w:line="329" w:lineRule="auto"/>
        <w:tabs>
          <w:tab w:leader="none" w:pos="1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securities exchange upon</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which any Securities are listed, with the Commission and with the Company. The Company will notify the Trustee in writing when any Securities are listed on any securities exchange.</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Reports by Company</w:t>
      </w:r>
      <w:r>
        <w:rPr>
          <w:rFonts w:ascii="Times New Roman" w:cs="Times New Roman" w:eastAsia="Times New Roman" w:hAnsi="Times New Roman"/>
          <w:sz w:val="18"/>
          <w:szCs w:val="18"/>
          <w:color w:val="auto"/>
        </w:rPr>
        <w:t>. The Company shall:</w:t>
      </w:r>
    </w:p>
    <w:p>
      <w:pPr>
        <w:spacing w:after="0" w:line="2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file with the Trustee, within 15 days after the Company files the same with the Commission, copies of the annual reports and of the</w:t>
      </w:r>
    </w:p>
    <w:p>
      <w:pPr>
        <w:spacing w:after="0" w:line="50"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information, documents and other reports (or copies of such portions of any of the foregoing as the Commission may from time to time by rules and regulations prescribe) that the Company may be required to file with the Commission pursuant to Section 13 or Section 15(d) of the U.S. Securities Exchange Act of 1934;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that may be required pursuant to Section 13 of the U.S. Securities Exchange Act of 1934 in respect of a security listed and registered on a national securities exchange as may be prescribed from time to time in such rules and regulations; and provided, however,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file with the Trustee and the Commission, in accordance with rules and regulations prescribed by the Commission, such additional</w:t>
      </w:r>
    </w:p>
    <w:p>
      <w:pPr>
        <w:spacing w:after="0" w:line="50"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information, documents and reports with respect to compliance by the Company with the conditions and covenants of this Indenture as may be required from time to time by such rules and regulations;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transmit by mail to all Holders of Securities, as their names and addresses appear in the Security Register, and to each Holder whose</w:t>
      </w:r>
    </w:p>
    <w:p>
      <w:pPr>
        <w:spacing w:after="0" w:line="50"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name and address is then preserved on the Trustee’s list pursuant to the first sentence of Section 702(a),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75" w:name="page76"/>
    <w:bookmarkEnd w:id="7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CONSOLIDATION, MERGER, CONVEYANCE OR TRANSFER</w:t>
      </w:r>
    </w:p>
    <w:p>
      <w:pPr>
        <w:spacing w:after="0" w:line="227" w:lineRule="exact"/>
        <w:rPr>
          <w:sz w:val="20"/>
          <w:szCs w:val="20"/>
          <w:color w:val="auto"/>
        </w:rPr>
      </w:pPr>
    </w:p>
    <w:p>
      <w:pPr>
        <w:ind w:right="6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Company May Consolidate, Etc. Only on Certain Terms</w:t>
      </w:r>
      <w:r>
        <w:rPr>
          <w:rFonts w:ascii="Times New Roman" w:cs="Times New Roman" w:eastAsia="Times New Roman" w:hAnsi="Times New Roman"/>
          <w:sz w:val="18"/>
          <w:szCs w:val="18"/>
          <w:color w:val="auto"/>
        </w:rPr>
        <w:t>. The Company shall not consolidate with or merge with or into, or convey, transfer or lease all or substantially all of its properties and assets to any Person, unless: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either (x) the Company shall be the continuing corporation or the successor corporation or (y) the Person formed by such consolidation</w:t>
      </w:r>
    </w:p>
    <w:p>
      <w:pPr>
        <w:spacing w:after="0" w:line="50"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or into which the Company is merged or the Person that acquires by conveyance, transfer or lease the properties and assets of the Company substantially as an entirety shall be a corporation organized and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Outstanding Securities and the performance of every covenant of this Indenture on the part of the Company to be performed or observed;</w:t>
      </w:r>
    </w:p>
    <w:p>
      <w:pPr>
        <w:spacing w:after="0" w:line="184" w:lineRule="exact"/>
        <w:rPr>
          <w:sz w:val="20"/>
          <w:szCs w:val="20"/>
          <w:color w:val="auto"/>
        </w:rPr>
      </w:pPr>
    </w:p>
    <w:p>
      <w:pPr>
        <w:ind w:left="660" w:right="240" w:firstLine="645"/>
        <w:spacing w:after="0" w:line="329" w:lineRule="auto"/>
        <w:tabs>
          <w:tab w:leader="none" w:pos="153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such consolidation,</w:t>
      </w:r>
    </w:p>
    <w:p>
      <w:pPr>
        <w:spacing w:after="0" w:line="5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merger, conveyance, transfer or lease and such supplemental indenture comply with this Article and that all conditions precedent herein provided for relating to such transaction have been met.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Successor Substituted for the Company</w:t>
      </w:r>
      <w:r>
        <w:rPr>
          <w:rFonts w:ascii="Times New Roman" w:cs="Times New Roman" w:eastAsia="Times New Roman" w:hAnsi="Times New Roman"/>
          <w:sz w:val="18"/>
          <w:szCs w:val="18"/>
          <w:color w:val="auto"/>
        </w:rPr>
        <w:t>. Upon any consolidation or merger or any conveyance, transfer or lease of all or</w:t>
      </w:r>
    </w:p>
    <w:p>
      <w:pPr>
        <w:spacing w:after="0" w:line="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substantially all the properties and assets of the Company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in the case of a conveyance, transfer or lease of properties and assets of the Company substantially as an entirety, such conveyance, transfer or lease shall have the effect of releasing the Person named as the “Company” in the first paragraph of this instrument or any successor Person that shall theretofore have become such in the manner prescribed in this Article from its liability as obligor and maker on any of the Securities.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901. </w:t>
      </w:r>
      <w:r>
        <w:rPr>
          <w:rFonts w:ascii="Times New Roman" w:cs="Times New Roman" w:eastAsia="Times New Roman" w:hAnsi="Times New Roman"/>
          <w:sz w:val="17"/>
          <w:szCs w:val="17"/>
          <w:i w:val="1"/>
          <w:iCs w:val="1"/>
          <w:color w:val="auto"/>
        </w:rPr>
        <w:t>Supplemental Indentures Without Consent of Holders</w:t>
      </w:r>
      <w:r>
        <w:rPr>
          <w:rFonts w:ascii="Times New Roman" w:cs="Times New Roman" w:eastAsia="Times New Roman" w:hAnsi="Times New Roman"/>
          <w:sz w:val="17"/>
          <w:szCs w:val="17"/>
          <w:color w:val="auto"/>
        </w:rPr>
        <w:t>. Without the consent of any Holders, the Company and the Trustee, at</w:t>
      </w:r>
    </w:p>
    <w:p>
      <w:pPr>
        <w:spacing w:after="0" w:line="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any time and from time to time, may enter into one or more indentures supplemental hereto, in form satisfactory to the Trustee, for any of the following purposes:</w:t>
      </w:r>
    </w:p>
    <w:p>
      <w:pPr>
        <w:spacing w:after="0" w:line="162" w:lineRule="exact"/>
        <w:rPr>
          <w:sz w:val="20"/>
          <w:szCs w:val="20"/>
          <w:color w:val="auto"/>
        </w:rPr>
      </w:pPr>
    </w:p>
    <w:p>
      <w:pPr>
        <w:ind w:left="660" w:right="660" w:firstLine="645"/>
        <w:spacing w:after="0" w:line="329" w:lineRule="auto"/>
        <w:tabs>
          <w:tab w:leader="none" w:pos="153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herein and in the Securities; or</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w:t>
      </w:r>
    </w:p>
    <w:p>
      <w:pPr>
        <w:spacing w:after="0" w:line="5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the benefit of less than all series of Securities, stating that such covenants are expressly being included solely for the benefit of such series), or to surrender any right or power herein conferred upon the Company; or</w:t>
      </w:r>
    </w:p>
    <w:p>
      <w:pPr>
        <w:spacing w:after="0" w:line="162" w:lineRule="exact"/>
        <w:rPr>
          <w:sz w:val="20"/>
          <w:szCs w:val="20"/>
          <w:color w:val="auto"/>
        </w:rPr>
      </w:pPr>
    </w:p>
    <w:p>
      <w:pPr>
        <w:jc w:val="center"/>
        <w:ind w:left="5620" w:right="1840" w:hanging="4315"/>
        <w:spacing w:after="0" w:line="579" w:lineRule="auto"/>
        <w:tabs>
          <w:tab w:leader="none" w:pos="15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all or any series of Securities Outstanding hereunder; or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sectPr>
      </w:pPr>
    </w:p>
    <w:bookmarkStart w:id="76" w:name="page77"/>
    <w:bookmarkEnd w:id="76"/>
    <w:p>
      <w:pPr>
        <w:ind w:left="1300"/>
        <w:spacing w:after="0"/>
        <w:rPr>
          <w:sz w:val="20"/>
          <w:szCs w:val="20"/>
          <w:color w:val="auto"/>
        </w:rPr>
      </w:pPr>
      <w:r>
        <w:rPr>
          <w:rFonts w:ascii="Times New Roman" w:cs="Times New Roman" w:eastAsia="Times New Roman" w:hAnsi="Times New Roman"/>
          <w:sz w:val="18"/>
          <w:szCs w:val="18"/>
          <w:color w:val="auto"/>
        </w:rPr>
        <w:t>(4) to change or eliminate any of the provisions of this Indenture, or to add any new provision to this Indenture, in respect of one or more</w:t>
      </w:r>
    </w:p>
    <w:p>
      <w:pPr>
        <w:spacing w:after="0" w:line="48"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color w:val="auto"/>
        </w:rPr>
        <w:t xml:space="preserve">series of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change, elimination or addition (A) shall neither (i) apply to any Security Outstanding on the date of such indenture supplemental hereto nor (ii) modify the rights of the Holder of any such Security Outstanding with respect to such provision in effect prior to the date of such indenture supplemental hereto or (B) shall become effective only when no Security of such series remains Outstanding; or</w:t>
      </w:r>
    </w:p>
    <w:p>
      <w:pPr>
        <w:spacing w:after="0" w:line="182" w:lineRule="exact"/>
        <w:rPr>
          <w:sz w:val="20"/>
          <w:szCs w:val="20"/>
          <w:color w:val="auto"/>
        </w:rPr>
      </w:pPr>
    </w:p>
    <w:p>
      <w:pPr>
        <w:ind w:left="1520" w:hanging="215"/>
        <w:spacing w:after="0"/>
        <w:tabs>
          <w:tab w:leader="none" w:pos="1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or collateral security with respect to the Securities of any series; or</w:t>
      </w:r>
    </w:p>
    <w:p>
      <w:pPr>
        <w:spacing w:after="0" w:line="265"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for the issuance of and establish the form or terms and conditions of Securities of any series or Tranche thereof as permitted</w:t>
      </w:r>
    </w:p>
    <w:p>
      <w:pPr>
        <w:spacing w:after="0" w:line="50"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by Section 301(b), and to establish the form of any certificates required to be furnished pursuant to the terms of this Indenture or any series of Securities; or</w:t>
      </w:r>
    </w:p>
    <w:p>
      <w:pPr>
        <w:spacing w:after="0" w:line="162" w:lineRule="exact"/>
        <w:rPr>
          <w:sz w:val="20"/>
          <w:szCs w:val="20"/>
          <w:color w:val="auto"/>
        </w:rPr>
      </w:pPr>
    </w:p>
    <w:p>
      <w:pPr>
        <w:ind w:left="1520" w:hanging="215"/>
        <w:spacing w:after="0"/>
        <w:tabs>
          <w:tab w:leader="none" w:pos="1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all, or any series or Tranche of, certificated Securities; or</w:t>
      </w:r>
    </w:p>
    <w:p>
      <w:pPr>
        <w:spacing w:after="0" w:line="265"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separate or successor Trustee or co-trustee with respect to the</w:t>
      </w:r>
    </w:p>
    <w:p>
      <w:pPr>
        <w:spacing w:after="0" w:line="50"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to change any place or places where (a) the principal of or premium, if any, or interest, if any, on all or any series of Securities, or any</w:t>
      </w:r>
    </w:p>
    <w:p>
      <w:pPr>
        <w:spacing w:after="0" w:line="50"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Tranche thereof, shall be payable, (b) all or any series of Securities, or any Tranche thereof, may be surrendered for registration or transfer, (c) all or any series of Securities, or any Tranche thereof, may be surrendered for exchange and (d) notices and demands to or upon the Company in respect of all or any series of Securities, or any Tranche thereof, and this Indenture may be served;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 to supplement any of the provisions of this Indenture to such extent as shall be necessary to permit or facilitate the defeasance and</w:t>
      </w:r>
    </w:p>
    <w:p>
      <w:pPr>
        <w:spacing w:after="0" w:line="50"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discharge of any series of Securities, or any Tranche thereof, pursuant to Article Four, provided that any such action shall not adversely affect the interests of the Holders of Securities of such series or Tranche or any other series of Securities in any material respect;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 (i) to cure any ambiguity or to correct or supplement any provision contained herein or in any supplemental indenture that may be</w:t>
      </w:r>
    </w:p>
    <w:p>
      <w:pPr>
        <w:spacing w:after="0" w:line="50"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defective or inconsistent with any other provision contained herein or in any supplemental indenture or (ii) to conform the terms of any series of Securities, or Tranche thereof, to the description thereof in the prospectus and prospectus supplement (or similar offering document) offering such series of Securities, or Tranche thereof; or</w:t>
      </w:r>
    </w:p>
    <w:p>
      <w:pPr>
        <w:spacing w:after="0" w:line="174" w:lineRule="exact"/>
        <w:rPr>
          <w:sz w:val="20"/>
          <w:szCs w:val="20"/>
          <w:color w:val="auto"/>
        </w:rPr>
      </w:pPr>
    </w:p>
    <w:p>
      <w:pPr>
        <w:ind w:left="660" w:right="100" w:firstLine="645"/>
        <w:spacing w:after="0" w:line="365" w:lineRule="auto"/>
        <w:tabs>
          <w:tab w:leader="none" w:pos="162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make any other provisions with respect to matters or questions arising under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such action shall not adversely affect the interests of the Holders of any Securities of any series or Tranche Outstanding on the date of such indenture supplemental hereto.</w:t>
      </w:r>
    </w:p>
    <w:p>
      <w:pPr>
        <w:spacing w:after="0" w:line="96" w:lineRule="exact"/>
        <w:rPr>
          <w:sz w:val="20"/>
          <w:szCs w:val="20"/>
          <w:color w:val="auto"/>
        </w:rPr>
      </w:pPr>
    </w:p>
    <w:p>
      <w:pPr>
        <w:ind w:right="500" w:firstLine="1297"/>
        <w:spacing w:after="0" w:line="282" w:lineRule="auto"/>
        <w:rPr>
          <w:sz w:val="20"/>
          <w:szCs w:val="20"/>
          <w:color w:val="auto"/>
        </w:rPr>
      </w:pPr>
      <w:r>
        <w:rPr>
          <w:rFonts w:ascii="Times New Roman" w:cs="Times New Roman" w:eastAsia="Times New Roman" w:hAnsi="Times New Roman"/>
          <w:sz w:val="18"/>
          <w:szCs w:val="18"/>
          <w:color w:val="auto"/>
        </w:rPr>
        <w:t>Without limiting the generality of the foregoing, if the Trust Indenture Act as in effect at the date of the execution and delivery of this Indenture or at any time thereafter becomes amended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if any such amendment requires one or more changes to any provisions hereof or the inclusion herein of any additional provisions, or by</w:t>
      </w:r>
    </w:p>
    <w:p>
      <w:pPr>
        <w:spacing w:after="0" w:line="5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operation of law is deemed to effect such changes or incorporate such provisions by reference or otherwise, this Indenture shall be deemed to have been amended so as to conform to such amendment to the Trust Indenture Act, and the Company and the Trustee may, without the consent of any Holders, enter into an indenture supplemental hereto to effect or evidence such changes or additional provisions;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(y) if any such amendment permits one or more changes to, or the elimination of, any provisions hereof that, at the date hereof or at any time</w:t>
      </w:r>
    </w:p>
    <w:p>
      <w:pPr>
        <w:spacing w:after="0" w:line="6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thereafter, are required by the Trust Indenture Act to be contained herein (or if it is no longer required by the Trust Indenture Act for the Indenture to contain one or more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ind w:right="220"/>
        <w:spacing w:after="0" w:line="282" w:lineRule="auto"/>
        <w:rPr>
          <w:sz w:val="20"/>
          <w:szCs w:val="20"/>
          <w:color w:val="auto"/>
        </w:rPr>
      </w:pPr>
      <w:r>
        <w:rPr>
          <w:rFonts w:ascii="Times New Roman" w:cs="Times New Roman" w:eastAsia="Times New Roman" w:hAnsi="Times New Roman"/>
          <w:sz w:val="18"/>
          <w:szCs w:val="18"/>
          <w:color w:val="auto"/>
        </w:rPr>
        <w:t>provisions), this Indenture shall be deemed to have been amended to effect such changes or elimination, and the Company and the Trustee may, without the consent of any Holders, enter into an indenture supplemental hereto to evidence such amendment hereof;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(z) if, by reason of any such amendment, it shall be no longer necessary for this Indenture to contain one or more provisions that, at the date</w:t>
      </w:r>
    </w:p>
    <w:p>
      <w:pPr>
        <w:spacing w:after="0" w:line="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the execution and delivery hereof, are required by the Trust Indenture Act to be contained herein, the Company and the Trustee may, without the consent of any Holders, enter into an indenture supplemental hereto to effect the elimination of such provisions.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Supplemental Indentures With Consent of Holders</w:t>
      </w:r>
      <w:r>
        <w:rPr>
          <w:rFonts w:ascii="Times New Roman" w:cs="Times New Roman" w:eastAsia="Times New Roman" w:hAnsi="Times New Roman"/>
          <w:sz w:val="18"/>
          <w:szCs w:val="18"/>
          <w:color w:val="auto"/>
        </w:rPr>
        <w:t>. (a) Except as set forth in paragraph (b) below, with the consent of the</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Holders of not less than a majority in aggregate principal amount of the Outstanding Securities of each series affected (voting as one class) by such supplemental indenture, by Act of said Holders delivered to the Company and the Trustee, the Company, when authorized by a resolution of its Board of Directors (which resolution may provide general terms or parameters for such action and may provide that the specific terms of such action may be determined in accordance with or pursuant to a Company Order),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or of modifying in any manner the rights of the Holders of Securities of such series under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there are Securities of more than one series of equal ranking Outstanding hereunder and if a proposed supplemental indenture shall directly affect the rights of the Holders of Securities of one or more, but less than all, of such series, then the consent only of the Holders of not less than a majority in aggregate principal amount of the Outstanding Securities of all series so directly affected, considered as one class, shall be required.</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No such supplemental indenture shall, without the consent of the Holder of each Outstanding Security affected thereby,</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change the Stated Maturity of the principal of, or any installment of principal of or interest on, any Security, or reduce the principal</w:t>
      </w:r>
    </w:p>
    <w:p>
      <w:pPr>
        <w:spacing w:after="0" w:line="50"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amount or premium, if any, thereof or the rate of interest thereon (or the amount of any installment of interest thereon) or any premium payable upon the redemption thereof, or change the method of calculating the rate of interest thereon, or reduce the amount of the principal of an Original Issue Discount Security that would be due and payable upon a declaration of acceleration of the Maturity thereof pursuant to Section 502, or change the coin or currency (or other property) in which, any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 modify any provisions of this Indenture with respect to the conversion or exchange of the Securities into Securities of another series or into any other debt or equity securities in a manner adverse to the Holders, or</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reduce the percentage in principal amount of the Outstanding Securities of any series, the consent of whose Holders is required for any</w:t>
      </w:r>
    </w:p>
    <w:p>
      <w:pPr>
        <w:spacing w:after="0" w:line="50"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such supplemental indenture, or the consent of whose Holders is required for any waiver of compliance with certain provisions of this Indenture or certain defaults hereunder and their consequences provided for in this Indenture,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modify any of the provisions of this Section, Section 513 or Section 1008, except to increase any such percentage or to provide that</w:t>
      </w:r>
    </w:p>
    <w:p>
      <w:pPr>
        <w:spacing w:after="0" w:line="50"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 xml:space="preserve">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clause shall not be deemed to require the consent of any Holder with respect to changes in the references to “the Trustee” and concomitant changes in this Section and Section 1008, or the deletion of this proviso, in accordance with the requirements of Sections 611(b) and 901(8).</w:t>
      </w:r>
    </w:p>
    <w:p>
      <w:pPr>
        <w:spacing w:after="0" w:line="180" w:lineRule="exact"/>
        <w:rPr>
          <w:sz w:val="20"/>
          <w:szCs w:val="20"/>
          <w:color w:val="auto"/>
        </w:rPr>
      </w:pPr>
    </w:p>
    <w:p>
      <w:pPr>
        <w:ind w:right="200" w:firstLine="1297"/>
        <w:spacing w:after="0" w:line="266" w:lineRule="auto"/>
        <w:rPr>
          <w:sz w:val="20"/>
          <w:szCs w:val="20"/>
          <w:color w:val="auto"/>
        </w:rPr>
      </w:pPr>
      <w:r>
        <w:rPr>
          <w:rFonts w:ascii="Times New Roman" w:cs="Times New Roman" w:eastAsia="Times New Roman" w:hAnsi="Times New Roman"/>
          <w:sz w:val="18"/>
          <w:szCs w:val="18"/>
          <w:color w:val="auto"/>
        </w:rPr>
        <w:t>A supplemental indenture that changes or eliminates any covenant or other provision of this Indenture that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jc w:val="both"/>
        <w:ind w:right="160" w:firstLine="1297"/>
        <w:spacing w:after="0" w:line="266"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to approve the particular form of any proposed supplemental indenture, but it shall be sufficient if such Act shall approve the substance thereof. A waiver by a Holder of such Holder’s rights to consent under this Section shall be deemed to be a consent of such Holder.</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w:t>
      </w:r>
    </w:p>
    <w:p>
      <w:pPr>
        <w:spacing w:after="0" w:line="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that affects the Trustee’s own rights, duties or immunities under this Indenture or otherwise.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904. </w:t>
      </w:r>
      <w:r>
        <w:rPr>
          <w:rFonts w:ascii="Times New Roman" w:cs="Times New Roman" w:eastAsia="Times New Roman" w:hAnsi="Times New Roman"/>
          <w:sz w:val="17"/>
          <w:szCs w:val="17"/>
          <w:i w:val="1"/>
          <w:iCs w:val="1"/>
          <w:color w:val="auto"/>
        </w:rPr>
        <w:t>Effect of Supplemental Indentures</w:t>
      </w:r>
      <w:r>
        <w:rPr>
          <w:rFonts w:ascii="Times New Roman" w:cs="Times New Roman" w:eastAsia="Times New Roman" w:hAnsi="Times New Roman"/>
          <w:sz w:val="17"/>
          <w:szCs w:val="17"/>
          <w:color w:val="auto"/>
        </w:rPr>
        <w:t>. Upon the execution of any supplemental indenture under this Article, this Indenture shall</w:t>
      </w:r>
    </w:p>
    <w:p>
      <w:pPr>
        <w:spacing w:after="0" w:line="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 modified in accordance therewith, and such supplemental indenture shall form a part of this Indenture for all purposes; and every Holder of Securities theretofore or thereafter authenticated and delivered hereunder shall be bound thereby. Any supplemental indenture permitted by this Article may restate this Indenture in its entirety, and, upon the execution and delivery thereof, any such restatement shall supersede this Indenture as theretofore in effect for all purposes.</w:t>
      </w:r>
    </w:p>
    <w:p>
      <w:pPr>
        <w:spacing w:after="0" w:line="178" w:lineRule="exact"/>
        <w:rPr>
          <w:sz w:val="20"/>
          <w:szCs w:val="20"/>
          <w:color w:val="auto"/>
        </w:rPr>
      </w:pPr>
    </w:p>
    <w:p>
      <w:pPr>
        <w:ind w:right="200" w:firstLine="1297"/>
        <w:spacing w:after="0" w:line="33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 as then in effect.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Reference in Securities to Supplemental Indentures</w:t>
      </w:r>
      <w:r>
        <w:rPr>
          <w:rFonts w:ascii="Times New Roman" w:cs="Times New Roman" w:eastAsia="Times New Roman" w:hAnsi="Times New Roman"/>
          <w:sz w:val="18"/>
          <w:szCs w:val="18"/>
          <w:color w:val="auto"/>
        </w:rPr>
        <w:t>. Securities of any series, or any Tranche thereof, authenticated and</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delivered after the execution of any supplemental indenture pursuant to this Article may, and shall if required by the Trustee, bear a notation in form approved by the Trustee as to any matter provided for in such supplemental indenture. If the Company so determines, new Securities of any series, or any Tranche thereof, so modified as to conform, in the opinion of the Trustee and the Company, to any such supplemental indenture may be prepared and executed by the Company and authenticated and delivered by the Trustee in exchange for Outstanding Securities of such series or Tranche.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Until an amendment or waiver becomes effective, a consent to it by a Holder of a</w:t>
      </w:r>
    </w:p>
    <w:p>
      <w:pPr>
        <w:spacing w:after="0" w:line="5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on which the Trustee receives an Officer’s Certificate certifying that the Holders of the requisite principal amount of Securities have consented to the amendment or waiver. After an amendment or waiver becomes effective, it shall bind every Holder of each series of Securities affected by such amendment or waiver.</w:t>
      </w:r>
    </w:p>
    <w:p>
      <w:pPr>
        <w:spacing w:after="0" w:line="184" w:lineRule="exact"/>
        <w:rPr>
          <w:sz w:val="20"/>
          <w:szCs w:val="20"/>
          <w:color w:val="auto"/>
        </w:rPr>
      </w:pPr>
    </w:p>
    <w:p>
      <w:pPr>
        <w:ind w:right="60" w:firstLine="1297"/>
        <w:spacing w:after="0" w:line="261"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consent to any amendment or waiver. If a record date is fixed, then notwithstanding the provisions of the immediately preceding paragraph, those persons who were Holders at such record date (or their duly designated proxies), and only those persons, shall be entitled to consent to such amendment or waiver or to revoke any consent previously given, whether or not such persons continue to be Holders after such record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After an amendment or waiver becomes effective it shall bind every Holder, unless it is of the type described in any of clauses (1) through</w:t>
      </w:r>
    </w:p>
    <w:p>
      <w:pPr>
        <w:spacing w:after="0" w:line="27" w:lineRule="exact"/>
        <w:rPr>
          <w:sz w:val="20"/>
          <w:szCs w:val="20"/>
          <w:color w:val="auto"/>
        </w:rPr>
      </w:pPr>
    </w:p>
    <w:p>
      <w:pPr>
        <w:ind w:right="160" w:firstLine="8"/>
        <w:spacing w:after="0" w:line="261" w:lineRule="auto"/>
        <w:tabs>
          <w:tab w:leader="none" w:pos="2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902(c). In such case, the amendment or waiver shall bind each Holder of a Security who has consented to it and every subsequent Holder of a Security that evidences the same debt as the consenting Holder’s Security.</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Modification Without Supplemental Indenture</w:t>
      </w:r>
      <w:r>
        <w:rPr>
          <w:rFonts w:ascii="Times New Roman" w:cs="Times New Roman" w:eastAsia="Times New Roman" w:hAnsi="Times New Roman"/>
          <w:sz w:val="18"/>
          <w:szCs w:val="18"/>
          <w:color w:val="auto"/>
        </w:rPr>
        <w:t>. If the terms of any particular series of Securities have been established in a</w:t>
      </w:r>
    </w:p>
    <w:p>
      <w:pPr>
        <w:spacing w:after="0" w:line="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Board Resolution or an Officer’s Certificate as contemplated by Section 301, and not in an indenture supplemental hereto, additions to, changes in or the elimination of any of such terms may be effected by means of a supplemental Board Resolution or Officer’s Certificate, as the case may be, delivered to, and accepted by, the Trustee;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supplemental Board Resolution or Officer’s Certificate shall not be accepted by the Trustee or otherwise be effective unless all conditions set forth in this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9" w:name="page80"/>
    <w:bookmarkEnd w:id="79"/>
    <w:p>
      <w:pPr>
        <w:ind w:right="140"/>
        <w:spacing w:after="0" w:line="266" w:lineRule="auto"/>
        <w:rPr>
          <w:sz w:val="20"/>
          <w:szCs w:val="20"/>
          <w:color w:val="auto"/>
        </w:rPr>
      </w:pPr>
      <w:r>
        <w:rPr>
          <w:rFonts w:ascii="Times New Roman" w:cs="Times New Roman" w:eastAsia="Times New Roman" w:hAnsi="Times New Roman"/>
          <w:sz w:val="18"/>
          <w:szCs w:val="18"/>
          <w:color w:val="auto"/>
        </w:rPr>
        <w:t>Indenture that would be required to be satisfied if such additions, changes or elimination were contained in a supplemental indenture shall have been appropriately satisfied. Upon the acceptance thereof by the Trustee, any such supplemental Board Resolution or Officer’s Certificate shall be deemed to be a “supplemental indenture” for purposes of Sections 904 and 906.</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Payment of Principal, Premium and Interest</w:t>
      </w:r>
      <w:r>
        <w:rPr>
          <w:rFonts w:ascii="Times New Roman" w:cs="Times New Roman" w:eastAsia="Times New Roman" w:hAnsi="Times New Roman"/>
          <w:sz w:val="18"/>
          <w:szCs w:val="18"/>
          <w:color w:val="auto"/>
        </w:rPr>
        <w:t>. (a) Subject to the following provisions, the Company will pay to the Trustee</w:t>
      </w:r>
    </w:p>
    <w:p>
      <w:pPr>
        <w:spacing w:after="0" w:line="5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amounts, in such coin or currency as is at the time legal tender for the payment of public or private debt, in the manner, at the times and for the purposes set forth herein and in the text of the Securities for each series, and the Company hereby authorizes and directs the Trustee from funds so paid to it to make or cause to be made payment of the principal of and any premium and interest on the Securities of each series as set forth herein and in the text of such Securities. Unless otherwise provided in the Securities of a series, the Trustee will arrange directly with any Paying Agents for the payment, or the Trustee will make payment, from funds furnished by the Company, of the principal of and any premium and interest, on the Securities of each series by check or draft.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Unless otherwise provided in the Securities of a series, interest, if any, on Securities of a series shall be paid by check or draft on each</w:t>
      </w:r>
    </w:p>
    <w:p>
      <w:pPr>
        <w:spacing w:after="0" w:line="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Interest Payment Date for such series to the Holder thereof at the close of business on the Regular Record Date specified in the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interest payable at Maturity will be paid to the Person to whom principal is payable. The Company may pay such interest by check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draft mailed to such Holder’s address as it appears on the register for Securities of such series. Unless otherwise provided in the Securities of a series, principal of Securities shall be payable by check or draft and only against presentation and surrender of such Securities at the office of the Paying Agent, unless the Company shall have otherwise instructed the Trustee in writing.</w:t>
      </w:r>
    </w:p>
    <w:p>
      <w:pPr>
        <w:spacing w:after="0" w:line="184" w:lineRule="exact"/>
        <w:rPr>
          <w:sz w:val="20"/>
          <w:szCs w:val="20"/>
          <w:color w:val="auto"/>
        </w:rPr>
      </w:pPr>
    </w:p>
    <w:p>
      <w:pPr>
        <w:ind w:right="40" w:firstLine="1305"/>
        <w:spacing w:after="0" w:line="329" w:lineRule="auto"/>
        <w:tabs>
          <w:tab w:leader="none" w:pos="151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Company, any payments by the Company provided for in this Indenture or in any of the Securities may be made by electronic funds transfer.</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(a) The Company will maintain in each Place of Payment for any series of Securities, or</w:t>
      </w:r>
    </w:p>
    <w:p>
      <w:pPr>
        <w:spacing w:after="0" w:line="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Tranche thereof, an office or agency where Securities, or any Tranche thereof, of that series may be surrendered for registration of transfer or exchange and a Place of Payment where (subject to Sections 305 and 307) Securities may be presented for payment or exchange and where notices and demands to or upon the Company in respect of the Securities of that series and this Indenture may be served. Unless otherwise specified pursuant to Section 301(b) with respect to any such series, the Company shall maintain such offices or agencies in connection with each series in the Borough of Manhattan, The City of New York, State of New York. The Security Registrar shall keep a register with respect to each series of Securities and to their transfer and exchange. The Company may appoint one or more co-Security Registrars acceptable to the Trustee and one or more additional Paying Agents for each series of Securities, and the Company may terminate the appointment of any co-Security Registrar or Paying Agent at any time upon written notice. The term “Security Registrar” includes any co-Security Registrar. The term “Paying Agent” includes any additional Paying Agent. The Company shall notify the Trustee of the name and address of any Agent not a party to this Indenture. Subject to Section 305, if the Company fails to maintain a Security Registrar or Paying Agent, the Trustee shall act as such.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may also from time to time designate one or more other offices or agencies where the Securities of one or more series</w:t>
      </w:r>
    </w:p>
    <w:p>
      <w:pPr>
        <w:spacing w:after="0" w:line="48"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color w:val="auto"/>
        </w:rPr>
        <w:t xml:space="preserve">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each Place of Payment for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ind w:right="500"/>
        <w:spacing w:after="0" w:line="282" w:lineRule="auto"/>
        <w:rPr>
          <w:sz w:val="20"/>
          <w:szCs w:val="20"/>
          <w:color w:val="auto"/>
        </w:rPr>
      </w:pPr>
      <w:r>
        <w:rPr>
          <w:rFonts w:ascii="Times New Roman" w:cs="Times New Roman" w:eastAsia="Times New Roman" w:hAnsi="Times New Roman"/>
          <w:sz w:val="18"/>
          <w:szCs w:val="18"/>
          <w:color w:val="auto"/>
        </w:rPr>
        <w:t>Securities of any series for such purposes. The Company will give prompt written notice to the Trustee of any such designation or rescission and of any change in the location of any such other office or agency.</w:t>
      </w:r>
    </w:p>
    <w:p>
      <w:pPr>
        <w:spacing w:after="0" w:line="162" w:lineRule="exact"/>
        <w:rPr>
          <w:sz w:val="20"/>
          <w:szCs w:val="20"/>
          <w:color w:val="auto"/>
        </w:rPr>
      </w:pPr>
    </w:p>
    <w:p>
      <w:pPr>
        <w:ind w:right="300" w:firstLine="1305"/>
        <w:spacing w:after="0" w:line="329" w:lineRule="auto"/>
        <w:tabs>
          <w:tab w:leader="none" w:pos="151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any office or agency required by this Section may be maintained at any office of the Company in which event the Company shall perform all functions to be performed at such office or agency.</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Money for Securities Payments to Be Held in Trust</w:t>
      </w:r>
      <w:r>
        <w:rPr>
          <w:rFonts w:ascii="Times New Roman" w:cs="Times New Roman" w:eastAsia="Times New Roman" w:hAnsi="Times New Roman"/>
          <w:sz w:val="18"/>
          <w:szCs w:val="18"/>
          <w:color w:val="auto"/>
        </w:rPr>
        <w:t>. (a) If the Company at any time acts as its own Paying Agent with</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respect to any series of Securities, or any Tranche thereof, it will, on or before each due date of the principal of or any premium or interest on any of such Securities, segregate and hold in trust for the benefit of the Persons entitled thereto a sum sufficient to pay the principal (and premium, if any) or interest so becoming due until such sums are paid to such Persons or otherwise disposed of as herein provided and will promptly notify the Trustee of its action or failure so to act.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Whenever the Company has one or more Paying Agents for any series of Securities, it will, on or prior to (and if on, then before 11:00</w:t>
      </w:r>
    </w:p>
    <w:p>
      <w:pPr>
        <w:spacing w:after="0" w:line="5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a.m. (New York City time)) each due date of the principal of and any premium or interest on such Securities, deposit with a Paying Agent a sum sufficient (in immediately available funds, if payment is made on the due date) to pay the principal and any premium and interest so becoming due, such sum to be held in trust for the benefit of the Persons entitled to such principal, premium or interest as provided in the Trust Indenture Act and (unless such Paying Agent is the Trustee) the Company will promptly notify the Trustee of its action or failure so to act.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Company will cause each Paying Agent for any series of Securities, or any Tranche thereof, other than the Trustee, to execute and</w:t>
      </w:r>
    </w:p>
    <w:p>
      <w:pPr>
        <w:spacing w:after="0" w:line="5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deliver to the Trustee an instrument in which such Paying Agent shall agree with the Trustee, subject to the provisions of this Section, that such Paying Agent will:</w:t>
      </w:r>
    </w:p>
    <w:p>
      <w:pPr>
        <w:spacing w:after="0" w:line="162" w:lineRule="exact"/>
        <w:rPr>
          <w:sz w:val="20"/>
          <w:szCs w:val="20"/>
          <w:color w:val="auto"/>
        </w:rPr>
      </w:pPr>
    </w:p>
    <w:p>
      <w:pPr>
        <w:ind w:left="1480" w:hanging="175"/>
        <w:spacing w:after="0"/>
        <w:tabs>
          <w:tab w:leader="none" w:pos="14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the Trust Indenture Act applicable to it as a Paying Agent and</w:t>
      </w:r>
    </w:p>
    <w:p>
      <w:pPr>
        <w:spacing w:after="0" w:line="265"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continuance of any default by the Company (or any other obligor upon the Securities of that series) in the making of any</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payment in respect of the Securities of that series, upon the written request of the Trustee, forthwith pay to the Trustee all sums held in trust by such Paying Agent for payment in respect of the Securities of that series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 The Company may at any time, for the purpose of obtaining the satisfaction and discharge of this Indenture or for any other purpose, pay,</w:t>
      </w:r>
    </w:p>
    <w:p>
      <w:pPr>
        <w:spacing w:after="0" w:line="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Any money deposited with the Trustee or any Paying Agent, or received by the Trustee in respect of Eligible Obligations deposited with</w:t>
      </w:r>
    </w:p>
    <w:p>
      <w:pPr>
        <w:spacing w:after="0" w:line="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Trustee pursuant to Section 401 or 404, or then held by the Company, in trust for the payment of the principal of and any premium or interest on any Security of any series and remaining unclaimed for two years (or such shorter period for the return of such funds to the Company under applicable abandoned property laws)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Statement as to Compliance</w:t>
      </w:r>
      <w:r>
        <w:rPr>
          <w:rFonts w:ascii="Times New Roman" w:cs="Times New Roman" w:eastAsia="Times New Roman" w:hAnsi="Times New Roman"/>
          <w:sz w:val="18"/>
          <w:szCs w:val="18"/>
          <w:color w:val="auto"/>
        </w:rPr>
        <w:t>. The Company will deliver to the Trustee, within 120 days after the end of each fiscal year of</w:t>
      </w:r>
    </w:p>
    <w:p>
      <w:pPr>
        <w:spacing w:after="0" w:line="5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ending after the date hereof, a written statement, which need not comply with Section 102, signed by the principal executive officer, the principal financial officer or the principal accounting officer of the Company stating, as to each signer thereof stating whether or not to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1" w:name="page82"/>
    <w:bookmarkEnd w:id="81"/>
    <w:p>
      <w:pPr>
        <w:ind w:right="40"/>
        <w:spacing w:after="0" w:line="266" w:lineRule="auto"/>
        <w:rPr>
          <w:sz w:val="20"/>
          <w:szCs w:val="20"/>
          <w:color w:val="auto"/>
        </w:rPr>
      </w:pPr>
      <w:r>
        <w:rPr>
          <w:rFonts w:ascii="Times New Roman" w:cs="Times New Roman" w:eastAsia="Times New Roman" w:hAnsi="Times New Roman"/>
          <w:sz w:val="18"/>
          <w:szCs w:val="18"/>
          <w:color w:val="auto"/>
        </w:rPr>
        <w:t>knowledge of the signers thereof it is in default in the performance and observance of any of the terms, provisions, and conditions of this Indenture (without regard to any period of grace or requirement of notice provided hereunder) and, if it is in default, specifying all such defaults and the nature and status thereof of which they may have knowledge.</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Corporate Existence</w:t>
      </w:r>
      <w:r>
        <w:rPr>
          <w:rFonts w:ascii="Times New Roman" w:cs="Times New Roman" w:eastAsia="Times New Roman" w:hAnsi="Times New Roman"/>
          <w:sz w:val="18"/>
          <w:szCs w:val="18"/>
          <w:color w:val="auto"/>
        </w:rPr>
        <w:t>. Subject to Article Eight, the Company will do or cause to be done all things necessary to preserve</w:t>
      </w:r>
    </w:p>
    <w:p>
      <w:pPr>
        <w:spacing w:after="0" w:line="50" w:lineRule="exact"/>
        <w:rPr>
          <w:sz w:val="20"/>
          <w:szCs w:val="20"/>
          <w:color w:val="auto"/>
        </w:rPr>
      </w:pPr>
    </w:p>
    <w:p>
      <w:pPr>
        <w:jc w:val="both"/>
        <w:ind w:right="500"/>
        <w:spacing w:after="0" w:line="267" w:lineRule="auto"/>
        <w:rPr>
          <w:sz w:val="20"/>
          <w:szCs w:val="20"/>
          <w:color w:val="auto"/>
        </w:rPr>
      </w:pPr>
      <w:r>
        <w:rPr>
          <w:rFonts w:ascii="Times New Roman" w:cs="Times New Roman" w:eastAsia="Times New Roman" w:hAnsi="Times New Roman"/>
          <w:sz w:val="18"/>
          <w:szCs w:val="18"/>
          <w:color w:val="auto"/>
        </w:rPr>
        <w:t xml:space="preserve">and keep in full force and effect its corporate existence, rights (charter and statutory) and franchises;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preserve any such right or franchise if, in the judgment of the Company, the preservation thereof is no longer desirable in the conduct of the business of the Company.</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Waiver of Certain Covenants</w:t>
      </w:r>
      <w:r>
        <w:rPr>
          <w:rFonts w:ascii="Times New Roman" w:cs="Times New Roman" w:eastAsia="Times New Roman" w:hAnsi="Times New Roman"/>
          <w:sz w:val="18"/>
          <w:szCs w:val="18"/>
          <w:color w:val="auto"/>
        </w:rPr>
        <w:t>. Except as otherwise specified as contemplated by Section 301 for Securities of such series,</w:t>
      </w:r>
    </w:p>
    <w:p>
      <w:pPr>
        <w:spacing w:after="0" w:line="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may, with respect to the Securities of any series, omit in any particular instance to comply with any term, provision or condition set forth in (i) any additional covenants or restrictions specified with respect to the Securities of any series as contemplated by Section 301 if before the time for such compliance the Holders of not less than a majority in aggregate principal amount (or such larger proportion as may be required in respect of waiving a past default of any such additional covenant or restriction) of the Outstanding Securities of all series of equal ranking with respect to which such covenant or restriction was so specified, considered as one class, by Act of such Holders, either waive such compliance in such instance or generally waive compliance with such term, provision or condition and (ii) Sections 1002 and 1004 and Article Eight if before the time for such compliance the Holders of at least a majority in principal amount of Securities of all series of equal ranking Outstanding under this Indenture by Act of such Holders, either waive such compliance in such instance or generally waive compliance with such term, provision or condition; but, in the case of clause (i) or (ii) of this Section,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Applicability of Article</w:t>
      </w:r>
      <w:r>
        <w:rPr>
          <w:rFonts w:ascii="Times New Roman" w:cs="Times New Roman" w:eastAsia="Times New Roman" w:hAnsi="Times New Roman"/>
          <w:sz w:val="18"/>
          <w:szCs w:val="18"/>
          <w:color w:val="auto"/>
        </w:rPr>
        <w:t>. Securities of any series that are redeemable before their Stated Maturity (or, if the principal of the</w:t>
      </w:r>
    </w:p>
    <w:p>
      <w:pPr>
        <w:spacing w:after="0" w:line="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Securities of any series is payable in installments, the Stated Maturity of the final installment of the principal thereof) shall be redeemable in accordance with their terms and (except as otherwise specified as contemplated by Section 301(b) for Securities of any series) in accordance with this Article.</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evidenced by a</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Board Resolution or an Officer’s Certificate. In case of any redemption at the election of the Company of less than all the Securities of any series, the Company shall, at least 45 days prior to the Redemption Date fixed by the Company (unless a shorter notice is satisfactory to the Trustee in its sole discretion), notify the Trustee of such Redemption Date and of the principal amount of Securities of such series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such Securities the Company shall furnish the Trustee with an Officer’s Certificate evidencing compliance with such restriction.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SECTION 1103. </w:t>
      </w:r>
      <w:r>
        <w:rPr>
          <w:rFonts w:ascii="Times New Roman" w:cs="Times New Roman" w:eastAsia="Times New Roman" w:hAnsi="Times New Roman"/>
          <w:sz w:val="17"/>
          <w:szCs w:val="17"/>
          <w:i w:val="1"/>
          <w:iCs w:val="1"/>
          <w:color w:val="auto"/>
        </w:rPr>
        <w:t>Selection by Trustee of Securities to Be Redeemed</w:t>
      </w:r>
      <w:r>
        <w:rPr>
          <w:rFonts w:ascii="Times New Roman" w:cs="Times New Roman" w:eastAsia="Times New Roman" w:hAnsi="Times New Roman"/>
          <w:sz w:val="17"/>
          <w:szCs w:val="17"/>
          <w:color w:val="auto"/>
        </w:rPr>
        <w:t>. If less than all the Securities of any series are to be redeemed, unless the</w:t>
      </w:r>
    </w:p>
    <w:p>
      <w:pPr>
        <w:spacing w:after="0" w:line="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procedures of the Depositary provide otherwise, the particular Securities to be redeemed shall be selected by the Trustee, from the Outstanding Securities of such series not previously called for redemption, by such method as is provided for any particular series, or, in the absence of any such provision, pro rata, by lot, or by such method as the Trustee deems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2" w:name="page83"/>
    <w:bookmarkEnd w:id="82"/>
    <w:p>
      <w:pPr>
        <w:ind w:right="220" w:firstLine="1297"/>
        <w:spacing w:after="0" w:line="266"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in writing of the Securities selected for redemption and, in the case of any Securities selected for partial redemption, the principal amount thereof to be redeemed and the method it has chosen for the selection of such Securities.</w:t>
      </w:r>
    </w:p>
    <w:p>
      <w:pPr>
        <w:spacing w:after="0" w:line="176" w:lineRule="exact"/>
        <w:rPr>
          <w:sz w:val="20"/>
          <w:szCs w:val="20"/>
          <w:color w:val="auto"/>
        </w:rPr>
      </w:pPr>
    </w:p>
    <w:p>
      <w:pPr>
        <w:ind w:right="140" w:firstLine="1297"/>
        <w:spacing w:after="0" w:line="266"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that has been or is to be redeemed.</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Unless otherwise specified as contemplated by Section 301 with respect to any series of Securities,</w:t>
      </w:r>
    </w:p>
    <w:p>
      <w:pPr>
        <w:spacing w:after="0" w:line="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notice of redemption shall be given by electronic transmission or first-class mail, postage prepaid, mailed not less than 30 nor more than 60 days prior to the Redemption Date, to each Holder of Securities to be redeemed, at such Holder’s address appearing in the Security Register.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225" w:lineRule="exact"/>
        <w:rPr>
          <w:sz w:val="20"/>
          <w:szCs w:val="20"/>
          <w:color w:val="auto"/>
        </w:rPr>
      </w:pPr>
    </w:p>
    <w:p>
      <w:pPr>
        <w:ind w:left="1520" w:hanging="215"/>
        <w:spacing w:after="0"/>
        <w:tabs>
          <w:tab w:leader="none" w:pos="1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65" w:lineRule="exact"/>
        <w:rPr>
          <w:rFonts w:ascii="Times New Roman" w:cs="Times New Roman" w:eastAsia="Times New Roman" w:hAnsi="Times New Roman"/>
          <w:sz w:val="18"/>
          <w:szCs w:val="18"/>
          <w:color w:val="auto"/>
        </w:rPr>
      </w:pPr>
    </w:p>
    <w:p>
      <w:pPr>
        <w:ind w:left="660" w:right="320" w:firstLine="645"/>
        <w:spacing w:after="0" w:line="329" w:lineRule="auto"/>
        <w:tabs>
          <w:tab w:leader="none" w:pos="153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formula pursuant to which the Redemption Price is to be determined if the Redemption Price cannot be determined at the time notice is given,</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of any series are to be redeemed, the identification (and, in the case of partial redemption, the</w:t>
      </w:r>
    </w:p>
    <w:p>
      <w:pPr>
        <w:spacing w:after="0" w:line="50"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principal amounts) of the particular Securities to be redeemed, and the portion of the principal amount of any Security to be redeemed in part and, in the case of any such Security of such series to be redeemed in part, that, on and after the Redemption Date, upon surrender of such Security, a new Security or Securities of such series in principal amount equal to the remaining unpaid principal amount thereof will be issued as provided in Section 1106,</w:t>
      </w:r>
    </w:p>
    <w:p>
      <w:pPr>
        <w:spacing w:after="0" w:line="180" w:lineRule="exact"/>
        <w:rPr>
          <w:sz w:val="20"/>
          <w:szCs w:val="20"/>
          <w:color w:val="auto"/>
        </w:rPr>
      </w:pPr>
    </w:p>
    <w:p>
      <w:pPr>
        <w:ind w:left="660" w:right="580" w:firstLine="645"/>
        <w:spacing w:after="0" w:line="329" w:lineRule="auto"/>
        <w:tabs>
          <w:tab w:leader="none" w:pos="153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Securities are to be surrendered for payment of the Redemption Price and accrued interest, if any,</w:t>
      </w:r>
    </w:p>
    <w:p>
      <w:pPr>
        <w:spacing w:after="0" w:line="265"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263"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CUSIP, “ISIN” or similar number(s), if any, assigned to such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notice may state that no</w:t>
      </w:r>
    </w:p>
    <w:p>
      <w:pPr>
        <w:spacing w:after="0" w:line="52"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representation is made as to the correctness of CUSIP, “ISIN” or similar number(s), and the redemption of such Securities shall not be affected by any defect in or omission of such number(s),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such other matters as the Company shall deem desirable or appropriate.</w:t>
      </w:r>
    </w:p>
    <w:p>
      <w:pPr>
        <w:spacing w:after="0" w:line="266" w:lineRule="exact"/>
        <w:rPr>
          <w:sz w:val="20"/>
          <w:szCs w:val="20"/>
          <w:color w:val="auto"/>
        </w:rPr>
      </w:pPr>
    </w:p>
    <w:p>
      <w:pPr>
        <w:ind w:right="40" w:firstLine="1297"/>
        <w:spacing w:after="0" w:line="254" w:lineRule="auto"/>
        <w:rPr>
          <w:sz w:val="20"/>
          <w:szCs w:val="20"/>
          <w:color w:val="auto"/>
        </w:rPr>
      </w:pPr>
      <w:r>
        <w:rPr>
          <w:rFonts w:ascii="Times New Roman" w:cs="Times New Roman" w:eastAsia="Times New Roman" w:hAnsi="Times New Roman"/>
          <w:sz w:val="18"/>
          <w:szCs w:val="18"/>
          <w:color w:val="auto"/>
        </w:rPr>
        <w:t>Unless otherwise specified with respect to any Securities in accordance with Section 301, with respect to any notice of redemption of Securities at the election of the Company, unless, upon the giving of such notice, such Securities are deemed to have been paid in accordance with Section 401, such notice may state that such redemption shall be conditional upon the receipt by the Paying Agent or Agents for such Securities, on or prior to the date fixed for such redemption, of money sufficient to pay the principal of and premium, if any, and interest, if any, on such Securities and that if such money has not been so received such notice shall be of no force or effect and the Company shall not be required to redeem such Securities. In the event that such notice of redemption contains such a condition and such money is not so received, the redemption shall not be made and within a reasonable time thereafter notice shall be given, in the manner in which the notice of redemption was given, that such money was not so received and such redemption was not required to be made, and the Paying Agent or Agents for the Securities otherwise to have been redeemed shall promptly return to the Holders thereof any of such Securities that had been surrendered for payment upon such redemption.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3" w:name="page84"/>
    <w:bookmarkEnd w:id="83"/>
    <w:p>
      <w:pPr>
        <w:ind w:right="360" w:firstLine="1297"/>
        <w:spacing w:after="0" w:line="266"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and any notice of non-satisfaction of a condition for redemption as aforesaid, shall be given by the Company or, at the Company’s request, by the Security Registrar in the name and at the expense of the Company. Notice of mandatory redemption of Securities shall be given by the Security Registrar in the name and at the expense of the Company.</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Securities Payable on Redemption Date</w:t>
      </w:r>
      <w:r>
        <w:rPr>
          <w:rFonts w:ascii="Times New Roman" w:cs="Times New Roman" w:eastAsia="Times New Roman" w:hAnsi="Times New Roman"/>
          <w:sz w:val="18"/>
          <w:szCs w:val="18"/>
          <w:color w:val="auto"/>
        </w:rPr>
        <w:t>. (a) Notice of redemption having been given as aforesaid, and the conditions, if</w:t>
      </w:r>
    </w:p>
    <w:p>
      <w:pPr>
        <w:spacing w:after="0" w:line="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any, set forth in such notice having been satisfied, the Securities or portions thereof so to be redeemed shall, on the Redemption Date, become due and payable at the Redemption Price therein specified, and from and after such date (unless the Company defaults in the payment of the Redemption Price and accrued interest, if any) such Securities, or portions thereof, if interest-bearing, shall cease to bear interest. Upon surrender of any such Security for redemption in accordance with said notice, such Security or portion thereof, if any, shall be paid by the Company at the Redemption Price, together with accrued interest, if any, to the Redemption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installments of interest 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w:t>
      </w:r>
    </w:p>
    <w:p>
      <w:pPr>
        <w:spacing w:after="0" w:line="189" w:lineRule="exact"/>
        <w:rPr>
          <w:sz w:val="20"/>
          <w:szCs w:val="20"/>
          <w:color w:val="auto"/>
        </w:rPr>
      </w:pPr>
    </w:p>
    <w:p>
      <w:pPr>
        <w:ind w:right="220" w:firstLine="1305"/>
        <w:spacing w:after="0" w:line="329" w:lineRule="auto"/>
        <w:tabs>
          <w:tab w:leader="none" w:pos="1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Securities Redeemed in Part</w:t>
      </w:r>
      <w:r>
        <w:rPr>
          <w:rFonts w:ascii="Times New Roman" w:cs="Times New Roman" w:eastAsia="Times New Roman" w:hAnsi="Times New Roman"/>
          <w:sz w:val="18"/>
          <w:szCs w:val="18"/>
          <w:color w:val="auto"/>
        </w:rPr>
        <w:t>. Any physical Security that is to be redeemed only in part shall be surrendered at a Place of</w:t>
      </w:r>
    </w:p>
    <w:p>
      <w:pPr>
        <w:spacing w:after="0" w:line="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Payment therefor (with, if the Company or the Trustee so requires, due 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of any authorized denomination as requested by such Holder, and of like tenor and in aggregate principal amount equal to and in exchange for the unredeemed portion of the principal of the Security so surrendered.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REPAYMENT OF SECURITIES AT OPTION OF HOLDERS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Applicability of Article</w:t>
      </w:r>
      <w:r>
        <w:rPr>
          <w:rFonts w:ascii="Times New Roman" w:cs="Times New Roman" w:eastAsia="Times New Roman" w:hAnsi="Times New Roman"/>
          <w:sz w:val="18"/>
          <w:szCs w:val="18"/>
          <w:color w:val="auto"/>
        </w:rPr>
        <w:t>. Securities of any series that are repayable before their Stated Maturity at the option of the Holders</w:t>
      </w:r>
    </w:p>
    <w:p>
      <w:pPr>
        <w:spacing w:after="0" w:line="5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shall be repayable in accordance with their terms and (except as otherwise specified as contemplated by Section 301 for Securities of any series) in accordance with this Article.</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Notice of Repayment Date</w:t>
      </w:r>
      <w:r>
        <w:rPr>
          <w:rFonts w:ascii="Times New Roman" w:cs="Times New Roman" w:eastAsia="Times New Roman" w:hAnsi="Times New Roman"/>
          <w:sz w:val="18"/>
          <w:szCs w:val="18"/>
          <w:color w:val="auto"/>
        </w:rPr>
        <w:t>. Notice of any Repayment Date with respect to Securities of any series shall be given by the</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not less than 30 nor more than 45 days prior to such Repayment Date (or at such other times as may be specified for such repayment or repurchase pursuant to Section 301) to each Holder of Securities of such series in accordance with Section 106 (except as otherwise specified as contemplated by Section 301 for Securities of any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as to the Repayment Date shall state (unless otherwise specified for such repayment or repurchase pursuant to Section 301):</w:t>
      </w:r>
    </w:p>
    <w:p>
      <w:pPr>
        <w:spacing w:after="0" w:line="225" w:lineRule="exact"/>
        <w:rPr>
          <w:sz w:val="20"/>
          <w:szCs w:val="20"/>
          <w:color w:val="auto"/>
        </w:rPr>
      </w:pPr>
    </w:p>
    <w:p>
      <w:pPr>
        <w:ind w:left="1520" w:hanging="215"/>
        <w:spacing w:after="0"/>
        <w:tabs>
          <w:tab w:leader="none" w:pos="1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Date;</w:t>
      </w:r>
    </w:p>
    <w:p>
      <w:pPr>
        <w:spacing w:after="0" w:line="265" w:lineRule="exact"/>
        <w:rPr>
          <w:rFonts w:ascii="Times New Roman" w:cs="Times New Roman" w:eastAsia="Times New Roman" w:hAnsi="Times New Roman"/>
          <w:sz w:val="18"/>
          <w:szCs w:val="18"/>
          <w:color w:val="auto"/>
        </w:rPr>
      </w:pPr>
    </w:p>
    <w:p>
      <w:pPr>
        <w:ind w:left="660" w:right="180" w:firstLine="645"/>
        <w:spacing w:after="0" w:line="329" w:lineRule="auto"/>
        <w:tabs>
          <w:tab w:leader="none" w:pos="153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Securities required to be repaid or repurchased and the Repayment Price (or the formula pursuant to which the Repayment Price is to be determined if the Repayment Price cannot be determined at the time the notice is given);</w:t>
      </w:r>
    </w:p>
    <w:p>
      <w:pPr>
        <w:spacing w:after="0" w:line="12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Securities are to be surrendered for payment of the Repayment Price, and accrued interest, if any, and the</w:t>
      </w:r>
    </w:p>
    <w:p>
      <w:pPr>
        <w:spacing w:after="0" w:line="50" w:lineRule="exact"/>
        <w:rPr>
          <w:sz w:val="20"/>
          <w:szCs w:val="20"/>
          <w:color w:val="auto"/>
        </w:rPr>
      </w:pPr>
    </w:p>
    <w:p>
      <w:pPr>
        <w:ind w:left="5640" w:right="4580" w:hanging="4989"/>
        <w:spacing w:after="0" w:line="282" w:lineRule="auto"/>
        <w:rPr>
          <w:sz w:val="20"/>
          <w:szCs w:val="20"/>
          <w:color w:val="auto"/>
        </w:rPr>
      </w:pPr>
      <w:r>
        <w:rPr>
          <w:rFonts w:ascii="Times New Roman" w:cs="Times New Roman" w:eastAsia="Times New Roman" w:hAnsi="Times New Roman"/>
          <w:sz w:val="18"/>
          <w:szCs w:val="18"/>
          <w:color w:val="auto"/>
        </w:rPr>
        <w:t>date by which Securities must be so surrendered in order to be repaid or repurchased;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84" w:name="page85"/>
    <w:bookmarkEnd w:id="84"/>
    <w:p>
      <w:pPr>
        <w:ind w:left="1520" w:hanging="215"/>
        <w:spacing w:after="0"/>
        <w:tabs>
          <w:tab w:leader="none" w:pos="1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Security not tendered or accepted for payment shall continue to accrue interest;</w:t>
      </w:r>
    </w:p>
    <w:p>
      <w:pPr>
        <w:spacing w:after="0" w:line="265"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such payment or the Paying Agent is prohibited from paying such money to the Holders on</w:t>
      </w:r>
    </w:p>
    <w:p>
      <w:pPr>
        <w:spacing w:after="0" w:line="5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that date pursuant to the terms of this Indenture, Securities accepted for payment pursuant to any such offer of repayment or repurchase shall cease to accrue interest after the Repayment Date;</w:t>
      </w:r>
    </w:p>
    <w:p>
      <w:pPr>
        <w:spacing w:after="0" w:line="162" w:lineRule="exact"/>
        <w:rPr>
          <w:sz w:val="20"/>
          <w:szCs w:val="20"/>
          <w:color w:val="auto"/>
        </w:rPr>
      </w:pPr>
    </w:p>
    <w:p>
      <w:pPr>
        <w:ind w:left="1520" w:hanging="215"/>
        <w:spacing w:after="0"/>
        <w:tabs>
          <w:tab w:leader="none" w:pos="1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Security repaid or purchased pursuant to such offer may elect to have all or any portion of such Security</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w:t>
      </w:r>
    </w:p>
    <w:p>
      <w:pPr>
        <w:spacing w:after="0" w:line="225"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Security repaid or repurchased pursuant to any such offer shall be required to surrender the Security, with</w:t>
      </w:r>
    </w:p>
    <w:p>
      <w:pPr>
        <w:spacing w:after="0" w:line="50"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such customary documents of surrender and transfer as the Company may reasonably request, duly completed, or transfer by book-entry transfer, to the Company or the Paying Agent at the address specified in the notice at least two Business Days prior to the Repayment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that Holders shall be entitled to withdraw their election if the Company or the Paying Agent, as the case may be, receives, not later than</w:t>
      </w:r>
    </w:p>
    <w:p>
      <w:pPr>
        <w:spacing w:after="0" w:line="50" w:lineRule="exact"/>
        <w:rPr>
          <w:sz w:val="20"/>
          <w:szCs w:val="20"/>
          <w:color w:val="auto"/>
        </w:rPr>
      </w:pPr>
    </w:p>
    <w:p>
      <w:pPr>
        <w:ind w:left="660" w:right="480"/>
        <w:spacing w:after="0" w:line="266" w:lineRule="auto"/>
        <w:rPr>
          <w:sz w:val="20"/>
          <w:szCs w:val="20"/>
          <w:color w:val="auto"/>
        </w:rPr>
      </w:pPr>
      <w:r>
        <w:rPr>
          <w:rFonts w:ascii="Times New Roman" w:cs="Times New Roman" w:eastAsia="Times New Roman" w:hAnsi="Times New Roman"/>
          <w:sz w:val="18"/>
          <w:szCs w:val="18"/>
          <w:color w:val="auto"/>
        </w:rPr>
        <w:t>the expiration of the offer to repay or repurchase, a telegram, facsimile transmission or letter setting forth the name of the Holder, the principal amount of the Security the Holder delivered for purchase and a statement that such Holder is withdrawing its election to have such Security purchased;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that, in the case of a repayment or repurchase of less than all Outstanding Securities of a series, the method of selection of Securities to</w:t>
      </w:r>
    </w:p>
    <w:p>
      <w:pPr>
        <w:spacing w:after="0" w:line="50"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be repaid or repurchased to be applied by the Trustee if the principal amount of properly tendered Securities exceeds the principal amount of the Securities to be repaid or repurchased;</w:t>
      </w:r>
    </w:p>
    <w:p>
      <w:pPr>
        <w:spacing w:after="0" w:line="162" w:lineRule="exact"/>
        <w:rPr>
          <w:sz w:val="20"/>
          <w:szCs w:val="20"/>
          <w:color w:val="auto"/>
        </w:rPr>
      </w:pPr>
    </w:p>
    <w:p>
      <w:pPr>
        <w:ind w:left="660" w:right="120" w:firstLine="645"/>
        <w:spacing w:after="0" w:line="329" w:lineRule="auto"/>
        <w:tabs>
          <w:tab w:leader="none" w:pos="162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Securities are purchased only in part shall be issued new Securities of the same series equal in principal amount to the unpurchased portion of the Securities surrendered (or transferred by book-entry transfer); and</w:t>
      </w:r>
    </w:p>
    <w:p>
      <w:pPr>
        <w:spacing w:after="0" w:line="121" w:lineRule="exact"/>
        <w:rPr>
          <w:rFonts w:ascii="Times New Roman" w:cs="Times New Roman" w:eastAsia="Times New Roman" w:hAnsi="Times New Roman"/>
          <w:sz w:val="18"/>
          <w:szCs w:val="18"/>
          <w:color w:val="auto"/>
        </w:rPr>
      </w:pPr>
    </w:p>
    <w:p>
      <w:pPr>
        <w:ind w:left="660" w:right="220" w:firstLine="645"/>
        <w:spacing w:after="0" w:line="329" w:lineRule="auto"/>
        <w:tabs>
          <w:tab w:leader="none" w:pos="16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or other identification number, if any, printed on the Securities being repurchased and that no representation is made as to the correctness or accuracy of the CUSIP or other identification number, if any, listed in such notice or printed on the Securities.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Securities Payable on Repayment Date</w:t>
      </w:r>
      <w:r>
        <w:rPr>
          <w:rFonts w:ascii="Times New Roman" w:cs="Times New Roman" w:eastAsia="Times New Roman" w:hAnsi="Times New Roman"/>
          <w:sz w:val="18"/>
          <w:szCs w:val="18"/>
          <w:color w:val="auto"/>
        </w:rPr>
        <w:t>. The form of option to elect repurchase or repayment having been delivered as</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specified in the form of Security for such series, the Securities of such series so to be repaid (after application of the method of selection described pursuant to clause (9) of Section 1202, if the principal amount of properly tendered Securities exceeds the principal amount of the Securities to be repaid or repurchased) shall, on the Repayment Date, become due and payable at the Repayment Price applicable thereto and from and after such date (unless the Company defaults in the payment of the Repayment Price and accrued interest) such Securities shall cease to bear interest. Upon surrender of any such Security for repayment in accordance with said notice, such Security shall be paid by the Company at the Repayment Price together with accrued interest, if any, to but excluding the Repayment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Security is repaid or repurchased on or after a Regular Record Date but on or prior to the Stated Maturity of any installments of interest, then any accrued and unpaid interest due on such Stated Maturity shall be payable to the Holders of such Securities, or one or more Predecessor Securities, registered as such at the close of business on the relevant Regular Record Dates according to their terms and the provisions of Section 307.</w:t>
      </w:r>
    </w:p>
    <w:p>
      <w:pPr>
        <w:spacing w:after="0" w:line="189" w:lineRule="exact"/>
        <w:rPr>
          <w:sz w:val="20"/>
          <w:szCs w:val="20"/>
          <w:color w:val="auto"/>
        </w:rPr>
      </w:pPr>
    </w:p>
    <w:p>
      <w:pPr>
        <w:ind w:right="80" w:firstLine="1297"/>
        <w:spacing w:after="0" w:line="282" w:lineRule="auto"/>
        <w:rPr>
          <w:sz w:val="20"/>
          <w:szCs w:val="20"/>
          <w:color w:val="auto"/>
        </w:rPr>
      </w:pPr>
      <w:r>
        <w:rPr>
          <w:rFonts w:ascii="Times New Roman" w:cs="Times New Roman" w:eastAsia="Times New Roman" w:hAnsi="Times New Roman"/>
          <w:sz w:val="18"/>
          <w:szCs w:val="18"/>
          <w:color w:val="auto"/>
        </w:rPr>
        <w:t>If any Security is not paid upon surrender thereof for repayment, the principal (and premium, if any) shall, until paid, bear interest from the Repayment Date at the rate prescribed therefor in such Security.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Securities Repaid in Part</w:t>
      </w:r>
      <w:r>
        <w:rPr>
          <w:rFonts w:ascii="Times New Roman" w:cs="Times New Roman" w:eastAsia="Times New Roman" w:hAnsi="Times New Roman"/>
          <w:sz w:val="18"/>
          <w:szCs w:val="18"/>
          <w:color w:val="auto"/>
        </w:rPr>
        <w:t>. Any Security that by its terms may be repaid in part at the option of the Holder and that is to be</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repaid only in part shall be surrendered at any office or agency of the Company designated for that purpose pursuant to Section 1002 (with, if the Company or the Trustee so requires, due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5" w:name="page86"/>
    <w:bookmarkEnd w:id="85"/>
    <w:p>
      <w:pPr>
        <w:spacing w:after="0" w:line="261" w:lineRule="auto"/>
        <w:rPr>
          <w:sz w:val="20"/>
          <w:szCs w:val="20"/>
          <w:color w:val="auto"/>
        </w:rPr>
      </w:pPr>
      <w:r>
        <w:rPr>
          <w:rFonts w:ascii="Times New Roman" w:cs="Times New Roman" w:eastAsia="Times New Roman" w:hAnsi="Times New Roman"/>
          <w:sz w:val="18"/>
          <w:szCs w:val="18"/>
          <w:color w:val="auto"/>
        </w:rPr>
        <w:t>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as provided in Section 305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any authorized denomination as requested by such Holder, in aggregate principal amount equal to and in exchange for the unrepaid portion of the principal of the Security so surrendered.</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580" w:right="499" w:bottom="1440" w:gutter="0" w:footer="0" w:header="0"/>
        </w:sectPr>
      </w:pPr>
    </w:p>
    <w:bookmarkStart w:id="86" w:name="page87"/>
    <w:bookmarkEnd w:id="86"/>
    <w:p>
      <w:pPr>
        <w:ind w:firstLine="1297"/>
        <w:spacing w:after="0" w:line="282" w:lineRule="auto"/>
        <w:rPr>
          <w:sz w:val="20"/>
          <w:szCs w:val="20"/>
          <w:color w:val="auto"/>
        </w:rPr>
      </w:pPr>
      <w:r>
        <w:rPr>
          <w:rFonts w:ascii="Times New Roman" w:cs="Times New Roman" w:eastAsia="Times New Roman" w:hAnsi="Times New Roman"/>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date first above written.</w:t>
      </w:r>
    </w:p>
    <w:p>
      <w:pPr>
        <w:spacing w:after="0" w:line="38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180340</wp:posOffset>
            </wp:positionV>
            <wp:extent cx="3310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7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180340</wp:posOffset>
            </wp:positionV>
            <wp:extent cx="3310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7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580" w:right="4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116840</wp:posOffset>
            </wp:positionV>
            <wp:extent cx="2881630" cy="900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88163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your request, we have examined the Registration Statement on Form S-3 filed by Veracyte,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May 1, 2018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 connection with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offering and sale from time to time of (i) shares of the Company’s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shares of the Company’s preferred stock, $0.001 par value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(iii) one or more series of debt securities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issuable pursuant to an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by and between the Company and a financial institution to be identified therein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(iv) warrants to purchase shares of Common Stock, shares of Preferred Stock or Debt Securities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3" w:lineRule="auto"/>
        <w:tabs>
          <w:tab w:leader="none" w:pos="28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Common Stock, shares of Preferred Stock or Debt Securities (the “</w:t>
      </w:r>
      <w:r>
        <w:rPr>
          <w:rFonts w:ascii="Times New Roman" w:cs="Times New Roman" w:eastAsia="Times New Roman" w:hAnsi="Times New Roman"/>
          <w:sz w:val="18"/>
          <w:szCs w:val="18"/>
          <w:b w:val="1"/>
          <w:bCs w:val="1"/>
          <w:i w:val="1"/>
          <w:iCs w:val="1"/>
          <w:color w:val="auto"/>
        </w:rPr>
        <w:t>Subscription Rights</w:t>
      </w:r>
      <w:r>
        <w:rPr>
          <w:rFonts w:ascii="Times New Roman" w:cs="Times New Roman" w:eastAsia="Times New Roman" w:hAnsi="Times New Roman"/>
          <w:sz w:val="18"/>
          <w:szCs w:val="18"/>
          <w:color w:val="auto"/>
        </w:rPr>
        <w:t>”) and/or (vi) units consisting of any combination of such foregoing securities described in clauses (i) through (v) above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having a maximum aggregate public offering price of up to $125,000,000. The Debt Securities, the Common Stock, the Preferred Stock, the Warrants, the Subscription Rights and the Units are collectively referred to herein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The Securities may be sold from time to time by the Company as set forth in the Registration Statement, the prospectus contained within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supplements to the Prospectus.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opinion expressed below we have examined originals or copies of the Company’s Restated Certificate of Incorporation (the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b w:val="1"/>
          <w:bCs w:val="1"/>
          <w:i w:val="1"/>
          <w:iCs w:val="1"/>
          <w:color w:val="auto"/>
        </w:rPr>
        <w:t>Restated Bylaws</w:t>
      </w:r>
      <w:r>
        <w:rPr>
          <w:rFonts w:ascii="Times New Roman" w:cs="Times New Roman" w:eastAsia="Times New Roman" w:hAnsi="Times New Roman"/>
          <w:sz w:val="18"/>
          <w:szCs w:val="18"/>
          <w:color w:val="auto"/>
        </w:rPr>
        <w:t>” and, together with the Restated Certificate, as each may be amended, modified or restated, the “</w:t>
      </w:r>
      <w:r>
        <w:rPr>
          <w:rFonts w:ascii="Times New Roman" w:cs="Times New Roman" w:eastAsia="Times New Roman" w:hAnsi="Times New Roman"/>
          <w:sz w:val="18"/>
          <w:szCs w:val="18"/>
          <w:b w:val="1"/>
          <w:bCs w:val="1"/>
          <w:i w:val="1"/>
          <w:iCs w:val="1"/>
          <w:color w:val="auto"/>
        </w:rPr>
        <w:t>Charter Documents</w:t>
      </w:r>
      <w:r>
        <w:rPr>
          <w:rFonts w:ascii="Times New Roman" w:cs="Times New Roman" w:eastAsia="Times New Roman" w:hAnsi="Times New Roman"/>
          <w:sz w:val="18"/>
          <w:szCs w:val="18"/>
          <w:color w:val="auto"/>
        </w:rPr>
        <w:t>”), certain corporate proceedings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stockholders relating to the Registration Statement, the Company’s Restated Certificate and Restated Bylaws, and such other agreements, documents, certificates and statements of the Company, its transfer agent and public or government officials, as we have deemed advisable, and have examined such questions of law as we have considered necessary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assumed, and express no opinion as to, the genuineness of all signatures on documents submitted to us, the authenticity and completeness of all documents submitted to us as originals, the conformity to originals and completeness of all documents submitted to us as copies, the legal capacity of all persons or entities (except for the Company)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relied upon a good standing certificate regarding the Company issued by the Delaware Secretary of State dated April 30, 2018, and a management certificate addressed to us and dated of even date herewith executed by the Company containing certain factual representations (the “</w:t>
      </w:r>
      <w:r>
        <w:rPr>
          <w:rFonts w:ascii="Times New Roman" w:cs="Times New Roman" w:eastAsia="Times New Roman" w:hAnsi="Times New Roman"/>
          <w:sz w:val="18"/>
          <w:szCs w:val="18"/>
          <w:b w:val="1"/>
          <w:bCs w:val="1"/>
          <w:i w:val="1"/>
          <w:iCs w:val="1"/>
          <w:color w:val="auto"/>
        </w:rPr>
        <w:t>Management Certificate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have assumed that any certificates or instruments representing the Securities will be, when issued, properly signed by authorized officers of the Company, and, in the case of Debt Securities, properly authenticated in accordance with the terms of the Indenture and delivered to the intended recipients with the intent that the Company be bound thereby. Furthermore, with respect to the Company’s uncertificated capital stock, we assume that issued Common Stock will not be reissued by the Company in uncertificated form until any previously issued stock certificate representing such issued Common Stock has been surrendered to the Company in accordance with Section 158 of the Delaware General Corporation Law, and that the Company will properly register the transfer of the Common Stock to the purchasers of such Common Stock on the Company’s record of uncertificated securities. We also have assumed that the Indenture at the time of execution, authentication, issuance and delivery of the Debt Securities will be a valid and legally binding obligation of the Trustee.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to matters of fact relevant to this opinion, we have relied solely upon our examination of the documents referred to above and the Management Certificate and have assumed the current accuracy and completeness of the information obtained from the documents referred to above and the representations and warranties made by representatives of the Company to us, including but not limited to those set forth in the Management Certificate. We have made no independent investigation or other attempt to verify the accuracy of any of such information or to determine the existence or non-existence of any other factual matters.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admitted to practice law in the State of California, and we render this opinion only with respect to, and express no opinion herein concerning the application or effect of the laws of any jurisdiction other than (i) the existing laws of the State of California, (ii) the Delaware General Corporation Law, and (iii) solely with respect to whether or not the Debt Securities are the valid and binding obligations of the Company, the existing laws of the state of New York (clauses (i) through (iii) collectively, the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To the extent that any Warrant Agreement, Subscription Rights Agreement or Unit Agreement (each as defined below) is governed by the laws of any jurisdiction other than the State of California, our opinion expressed below assumes that Internal California Law (as defined below) will exclusively apply to and govern such Warrant Agreement, Subscription Rights Agreement or Unit Agreement, without regard to any interpretation or construction that might be indicated by the laws stated as governing any such Warrant Agreement, Subscription Rights Agreement or Unit Agreement. As used herein “</w:t>
      </w:r>
      <w:r>
        <w:rPr>
          <w:rFonts w:ascii="Times New Roman" w:cs="Times New Roman" w:eastAsia="Times New Roman" w:hAnsi="Times New Roman"/>
          <w:sz w:val="18"/>
          <w:szCs w:val="18"/>
          <w:b w:val="1"/>
          <w:bCs w:val="1"/>
          <w:i w:val="1"/>
          <w:iCs w:val="1"/>
          <w:color w:val="auto"/>
        </w:rPr>
        <w:t>Internal California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the internal laws of the State of California applicable to a contract made by California residents in the State of California that selects California law as the governing law of such contract, without regard to any laws or equitable principles regarding choice of law, conflict of laws or public policies that might make any other law(s) applicable. Without limitation, we express no opinion with respect to the federal laws of the United States of America or the securities or “blue sky” laws of any state or any local or regional laws.</w:t>
      </w:r>
    </w:p>
    <w:p>
      <w:pPr>
        <w:sectPr>
          <w:pgSz w:w="11900" w:h="16838" w:orient="portrait"/>
          <w:cols w:equalWidth="0" w:num="1">
            <w:col w:w="11420"/>
          </w:cols>
          <w:pgMar w:left="240" w:top="891" w:right="239" w:bottom="44" w:gutter="0" w:footer="0" w:header="0"/>
        </w:sectPr>
      </w:pPr>
    </w:p>
    <w:bookmarkStart w:id="88" w:name="page89"/>
    <w:bookmarkEnd w:id="88"/>
    <w:p>
      <w:pPr>
        <w:spacing w:after="0" w:line="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our opinions expressed below, we have assumed that, (i) at or prior to the time of the delivery of any of the Securities, there will not have occurred any change in the law or the facts affecting the validity of the Securities, (ii) if any Debt Securities are issued, such Debt Securities will only be issued pursuant to the Indenture in the form filed with the Registration Statement as an exhibit and that there will not have occurred any change in law affecting the enforceability of the Debt Securities or the Indenture, (iii) all applicable covenants binding on or applicable to the Company restricting the issuance of Debt Securities will have been validly waived, (iv) the Registration Statement and any amendments (including any necessary post-effective amendments) will have been declared effective under the Securities Act, (v) at the time of the offer, issuance and sale of any Securities, no stop order suspending the Registration Statement’s effectiveness will have been issued and remain in effect, (vi) no future amendments will be made to the Charter Documents that would be in conflict with or inconsistent with the Company’s right and ability to issue the Securities, (vii) at the time of each offer, issuance and sale of any Securities, the Company will have a sufficient number of authorized and unissued and unreserved shares of the applicable class or series of its capital stock included in (or purchasable upon exercise or conversion of) the Securities so issued and sold (after taking into account all other outstanding securities of the Company which may require the Company to issue shares of such applicable class or series) to be able to issue all such shares, and (viii) all purchasers of Securities will timely pay in full to the Company all amounts they have agreed to pay to purchase such Securities, as approved by the Board or a duly authorized committee thereof, and that the purchase price of any Securities that are shares of capital stock will not be less than the par value thereof. We also have assumed that the terms of any Debt Securities to be established subsequent to the date hereof, the issuance and delivery of Securities subsequent to the date hereof and the compliance by the Company with the terms of such Securities will not violate any applicable law (including, without limitation, any law relating to usury or similar laws) or result in a violation of any provision of any of the Charter Documents or of any instrument or agreement then binding upon the Company or any restriction imposed by any court or governmental body having jurisdiction over the Company.</w:t>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opinion is qualified by, and is subject to, and we render no opinion with respect to, the following limitations and exceptions to the enforceability of the Debt Securities:</w:t>
      </w:r>
    </w:p>
    <w:p>
      <w:pPr>
        <w:spacing w:after="0" w:line="162" w:lineRule="exact"/>
        <w:rPr>
          <w:sz w:val="20"/>
          <w:szCs w:val="20"/>
          <w:color w:val="auto"/>
        </w:rPr>
      </w:pPr>
    </w:p>
    <w:p>
      <w:pPr>
        <w:jc w:val="both"/>
        <w:ind w:left="1300" w:hanging="644"/>
        <w:spacing w:after="0" w:line="282" w:lineRule="auto"/>
        <w:tabs>
          <w:tab w:leader="none" w:pos="152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3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laws relating to usury or permissible rates of interest for loans, forbearances or the use of money.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informed us that the Company intends to issue the Securities from time to time on a delayed or continuous basis. This opinion is limited to the Applicable Laws, including the rules and regulations thereunder, as in effect on the date hereof. We are basing this opinion on our understanding that, prior to issuing any Securities in connection with the Registration Statement, the Company will advise us in writing of the terms thereof and other information material thereto, will afford us an opportunity to review the operative documents pursuant to which such Securities are to be issued (including the Registration Statement, the Prospectus and the applicable supplement to the Prospectus, as then in effect) and will file such supplement or amendment to this opinion (if any) as we may reasonably consider necessary or appropriate with respect to such Securities. However, we undertake no responsibility to monitor the Company’s future compliance with applicable laws, rules or regulations of the Commission or other governmental body. In particular, we assume that the Company will obtain the requisite approval of the Board and the requisite approval of its stockholders if required by the laws of the State of Delaware and the Charter Documents, or if necessary because the Company does not have a sufficient number of authorized but unissued and unreserved shares of its capital stock at the time of issuance to comply with any Securities. We also assume the Company will timely file any and all supplements to the Registration Statement and Prospectus as are necessary to comply with applicable laws in effect from time to time and duly amend its Restated Certificate to increase the authorized number of shares of its capital stock as necessary if the number of such shares to be sold pursuant to the Registration Statement would cause the Company to issue more such shares than it has authorized and unissued and unreserved.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the foregoing, we are of the following opinion:</w:t>
      </w:r>
    </w:p>
    <w:p>
      <w:pPr>
        <w:spacing w:after="0" w:line="200" w:lineRule="exact"/>
        <w:rPr>
          <w:sz w:val="20"/>
          <w:szCs w:val="20"/>
          <w:color w:val="auto"/>
        </w:rPr>
      </w:pPr>
    </w:p>
    <w:p>
      <w:pPr>
        <w:spacing w:after="0" w:line="241" w:lineRule="exact"/>
        <w:rPr>
          <w:sz w:val="20"/>
          <w:szCs w:val="20"/>
          <w:color w:val="auto"/>
        </w:rPr>
      </w:pPr>
    </w:p>
    <w:p>
      <w:pPr>
        <w:jc w:val="both"/>
        <w:ind w:left="1160" w:hanging="504"/>
        <w:spacing w:after="0" w:line="252" w:lineRule="auto"/>
        <w:tabs>
          <w:tab w:leader="none" w:pos="1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Debt Securities registered pursuant to the Registration Statement, when (i) the issuance of such Debt Securities has been duly authorized by all required corporate action of the Board or a duly authorized committee thereof, and, if required, of the stockholders of the Company in accordance with the Charter Documents and Applicable Laws, (ii) an Indenture relating to such Debt Securities in the form filed with the Registration Statement as an exhibit has been duly authorized and validly executed and delivered by each of the Company (by duly authorized officers of the Company) and the Trustee, (iii) the form and terms of the Debt Securities have been duly established in accordance with the Indenture pursuant to resolutions duly adopted by the Board or a duly authorized committee thereof and as set forth in an officer’s certificate or supplemental indenture duly authorized by the Board or a duly authorized committee thereof in accordance with the Charter Documents and Applicable Laws and duly executed by an authorized officer of the Company, and (iv) instruments representing such Debt Securities have been duly executed and authenticated in accordance with the terms of the Indenture and any supplement thereto, and issued, sold and delivered in the manner and for the consideration approved by the Board or a duly authorized committee thereof and stated in the Registration Statement, the Prospectus and any prospectus supplement relating thereto (as amended as of the date of such issuance, sale and delivery) and any applicable definitive purchase, underwriting or similar agreement and upon the exercise of Warrants to purchase Debt Securities, upon payment of the consideration provided for therein and approved by the Board or a duly authorized committee thereof, then the Debt Securities will be validly issued and will constitute valid and binding obligations of the Company.</w:t>
      </w:r>
    </w:p>
    <w:p>
      <w:pPr>
        <w:spacing w:after="0" w:line="198" w:lineRule="exact"/>
        <w:rPr>
          <w:rFonts w:ascii="Times New Roman" w:cs="Times New Roman" w:eastAsia="Times New Roman" w:hAnsi="Times New Roman"/>
          <w:sz w:val="18"/>
          <w:szCs w:val="18"/>
          <w:color w:val="auto"/>
        </w:rPr>
      </w:pPr>
    </w:p>
    <w:p>
      <w:pPr>
        <w:jc w:val="both"/>
        <w:ind w:left="1160" w:hanging="504"/>
        <w:spacing w:after="0" w:line="254" w:lineRule="auto"/>
        <w:tabs>
          <w:tab w:leader="none" w:pos="1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of Common Stock registered pursuant to the Registration Statement, when (i) the issuance of and the terms of the offering of such shares of Common Stock and related matters have been duly authorized by all required corporate action of the Board or a duly authorized committee thereof, and, if required, of the stockholders of the Company in accordance with the Charter Documents and the Applicable Laws and (ii) if required, certificates representing the shares of Common Stock have been duly executed, countersigned, registered and delivered either (a) in accordance with the applicable definitive purchase, underwriting or similar agreement approved by the Board or a duly authorized committee thereof, or upon the exercise of Warrants to purchase Common Stock, upon payment of the consideration therefor (in an amount not less than the par value per share of the Common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or a</w:t>
      </w:r>
    </w:p>
    <w:p>
      <w:pPr>
        <w:sectPr>
          <w:pgSz w:w="11900" w:h="16892" w:orient="portrait"/>
          <w:cols w:equalWidth="0" w:num="1">
            <w:col w:w="11420"/>
          </w:cols>
          <w:pgMar w:left="240" w:top="121" w:right="239" w:bottom="0" w:gutter="0" w:footer="0" w:header="0"/>
        </w:sectPr>
      </w:pPr>
    </w:p>
    <w:bookmarkStart w:id="89" w:name="page90"/>
    <w:bookmarkEnd w:id="89"/>
    <w:p>
      <w:pPr>
        <w:ind w:left="1160"/>
        <w:spacing w:after="0" w:line="282" w:lineRule="auto"/>
        <w:rPr>
          <w:sz w:val="20"/>
          <w:szCs w:val="20"/>
          <w:color w:val="auto"/>
        </w:rPr>
      </w:pPr>
      <w:r>
        <w:rPr>
          <w:rFonts w:ascii="Times New Roman" w:cs="Times New Roman" w:eastAsia="Times New Roman" w:hAnsi="Times New Roman"/>
          <w:sz w:val="18"/>
          <w:szCs w:val="18"/>
          <w:color w:val="auto"/>
        </w:rPr>
        <w:t>duly authorized committee thereof, for the consideration approved by the Board or a duly authorized committee thereof (in an amount not less than the par value per share of the Common Stock), then such shares of Common Stock will be validly issued, fully paid and nonassessable.</w:t>
      </w:r>
    </w:p>
    <w:p>
      <w:pPr>
        <w:spacing w:after="0" w:line="175" w:lineRule="exact"/>
        <w:rPr>
          <w:sz w:val="20"/>
          <w:szCs w:val="20"/>
          <w:color w:val="auto"/>
        </w:rPr>
      </w:pPr>
    </w:p>
    <w:p>
      <w:pPr>
        <w:ind w:left="1160" w:hanging="504"/>
        <w:spacing w:after="0" w:line="284" w:lineRule="auto"/>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particular series of shares of Preferred Stock registered pursuant to the Registration Statement, when (i) the issuance and terms of such shares of Preferred Stock, the terms of the offering thereof and related matters, including the adoption of a certificate of designation relating to such Preferred Stock conforming to the Company’s Restated Certificate and Bylaws and the Delaware General Corporation Law (a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and the filing of such Certificate with the Secretary of State of the State of Delaware (or the filing of an amendment to the Company’s Certificate of Incorporation to similar effect), have been duly authorized by all required corporate action of the Board or a duly authorized committee thereof and, if required, of the stockholders of the Company in accordance with the Charter Documents and Applicable Laws and (ii) if required, certificates representing the shares of Preferred Stock have been duly executed, countersigned, registered and delivered either (a) in accordance with the applicable definitive purchase, underwriting or similar agreement approved by the Board or a duly authorized committee thereof, or upon the exercise of Warrants to purchase Preferred Stock, upon payment of the consideration therefor (in an amount not less than the par value per share of such Preferred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or a duly authorized committee thereof, for the consideration approved by the Board or a duly authorized committee thereof (in an amount not less than the par value per share of the Preferred Stock), then such shares of Preferred Stock will be validly issued, fully paid and nonassessable.</w:t>
      </w:r>
    </w:p>
    <w:p>
      <w:pPr>
        <w:spacing w:after="0" w:line="203" w:lineRule="exact"/>
        <w:rPr>
          <w:rFonts w:ascii="Times New Roman" w:cs="Times New Roman" w:eastAsia="Times New Roman" w:hAnsi="Times New Roman"/>
          <w:sz w:val="18"/>
          <w:szCs w:val="18"/>
          <w:color w:val="auto"/>
        </w:rPr>
      </w:pPr>
    </w:p>
    <w:p>
      <w:pPr>
        <w:jc w:val="both"/>
        <w:ind w:left="1160" w:hanging="504"/>
        <w:spacing w:after="0" w:line="254" w:lineRule="auto"/>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Warrants registered pursuant to the Registration Statement, when (i) the issuance and terms of such Warrants, the terms, execution and delivery of the warrant agreement relating to the Warrants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the terms of the offering thereof and related matters have been duly authorized by all required corporate action of the Board or a duly authorized committee thereof and, if required, of the stockholders of the Company in accordance with the Charter Documents and Applicable Laws, (ii) the Warrant Agreement has been duly authorized and validly executed and delivered by the Company by duly authorized officers of the Company, and (iii) such Warrants have been duly executed, issued and delivered by the Company by duly authorized officers of the Company in accordance with the provisions of the applicable Warrant Agreement and the applicable definitive purchase, underwriting or similar agreement approved by the Board or a duly authorized committee thereof, upon payment of the consideration therefor provided for therein and approved by the Board or a duly authorized committee thereof, such Warrants will constitute valid and binding obligations of the Company.</w:t>
      </w:r>
    </w:p>
    <w:p>
      <w:pPr>
        <w:spacing w:after="0" w:line="216" w:lineRule="exact"/>
        <w:rPr>
          <w:rFonts w:ascii="Times New Roman" w:cs="Times New Roman" w:eastAsia="Times New Roman" w:hAnsi="Times New Roman"/>
          <w:sz w:val="18"/>
          <w:szCs w:val="18"/>
          <w:color w:val="auto"/>
        </w:rPr>
      </w:pPr>
    </w:p>
    <w:p>
      <w:pPr>
        <w:jc w:val="both"/>
        <w:ind w:left="1160" w:hanging="504"/>
        <w:spacing w:after="0" w:line="254" w:lineRule="auto"/>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Subscription Rights registered pursuant to the Registration Statement, when (i) the issuance and terms of such Subscription Rights, the terms, execution and delivery of the subscription rights agreement relating to the Subscription Rights (“</w:t>
      </w:r>
      <w:r>
        <w:rPr>
          <w:rFonts w:ascii="Times New Roman" w:cs="Times New Roman" w:eastAsia="Times New Roman" w:hAnsi="Times New Roman"/>
          <w:sz w:val="18"/>
          <w:szCs w:val="18"/>
          <w:b w:val="1"/>
          <w:bCs w:val="1"/>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the terms of the offering thereof and related matters have been duly authorized by all required corporate action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or a duly authorized committee thereof and, if required, of the stockholders of the Company in accordance with the Charter Documents and Applicable Laws, (ii) the Subscription Rights Agreement has been duly authorized and validly executed and delivered by duly authorized officers of the Company, and (iii) such Subscription Rights have been duly executed, issued and delivered by the Company by duly authorized officers of the Company in accordance with the provisions of the applicable Subscription Rights Agreement and the applicable definitive purchase, underwriting or similar agreement approved by the Board or a duly authorized committee thereof, upon payment of the consideration therefor provided for therein and approved by the Board or a duly authorized committee thereof, such Subscription Rights will constitute valid and binding obligations of the Company.</w:t>
      </w:r>
    </w:p>
    <w:p>
      <w:pPr>
        <w:spacing w:after="0" w:line="186" w:lineRule="exact"/>
        <w:rPr>
          <w:rFonts w:ascii="Times New Roman" w:cs="Times New Roman" w:eastAsia="Times New Roman" w:hAnsi="Times New Roman"/>
          <w:sz w:val="18"/>
          <w:szCs w:val="18"/>
          <w:color w:val="auto"/>
        </w:rPr>
      </w:pPr>
    </w:p>
    <w:p>
      <w:pPr>
        <w:jc w:val="both"/>
        <w:ind w:left="1160" w:hanging="504"/>
        <w:spacing w:after="0" w:line="254" w:lineRule="auto"/>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Units registered pursuant to the Registration Statement, when (i) the conditions outlined in the immediately preceding paragraphs (1) through (5) that apply to the Securities that make up such Units are all met, (ii) the issuance and terms of such Units, the terms, execution and delivery of the unit agreement relating to the Units (“</w:t>
      </w:r>
      <w:r>
        <w:rPr>
          <w:rFonts w:ascii="Times New Roman" w:cs="Times New Roman" w:eastAsia="Times New Roman" w:hAnsi="Times New Roman"/>
          <w:sz w:val="18"/>
          <w:szCs w:val="18"/>
          <w:b w:val="1"/>
          <w:bCs w:val="1"/>
          <w:i w:val="1"/>
          <w:iCs w:val="1"/>
          <w:color w:val="auto"/>
        </w:rPr>
        <w:t>Unit Agreement</w:t>
      </w:r>
      <w:r>
        <w:rPr>
          <w:rFonts w:ascii="Times New Roman" w:cs="Times New Roman" w:eastAsia="Times New Roman" w:hAnsi="Times New Roman"/>
          <w:sz w:val="18"/>
          <w:szCs w:val="18"/>
          <w:color w:val="auto"/>
        </w:rPr>
        <w:t>”), the terms of the offering thereof and related matters have been duly authorized by appropriate corporate action of the Board or a duly authorized committee thereof and, if required, the stockholders of the Company, (iii) the Unit Agreement has been duly authorized and validly executed and delivered, and (iv) such Units have been duly executed, issued and delivered by duly authorized officers of the Company in accordance with the provisions of the applicable Unit Agreement and the applicable definitive purchase, underwriting or similar agreement approved by the Board or a duly authorized committee thereof, upon payment of the consideration therefor provided for therein, such Units will constitute valid and binding obligations of the Company.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if any, in the Registration Statement, the Prospectus constituting parts thereof and any amendments thereto. In giving this consent we do not thereby admit that we come within the category of persons whose consent is required by the Securities Act or by the rules and regulations promulgated thereunder.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[Concluding Paragraph Follows on Next Page]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ectPr>
          <w:pgSz w:w="11900" w:h="16838" w:orient="portrait"/>
          <w:cols w:equalWidth="0" w:num="1">
            <w:col w:w="11420"/>
          </w:cols>
          <w:pgMar w:left="240" w:top="121" w:right="239"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/s/ FENWICK &amp; WEST LLP</w:t>
      </w:r>
    </w:p>
    <w:p>
      <w:pPr>
        <w:sectPr>
          <w:pgSz w:w="11900" w:h="16838" w:orient="portrait"/>
          <w:cols w:equalWidth="0" w:num="1">
            <w:col w:w="11420"/>
          </w:cols>
          <w:pgMar w:left="240" w:top="121" w:right="239" w:bottom="115" w:gutter="0" w:footer="0" w:header="0"/>
          <w:type w:val="continuous"/>
        </w:sectPr>
      </w:pPr>
    </w:p>
    <w:bookmarkStart w:id="90" w:name="page91"/>
    <w:bookmarkEnd w:id="9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8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w w:val="98"/>
              </w:rPr>
              <w:t>Exhibit 12.1</w:t>
            </w:r>
          </w:p>
        </w:tc>
        <w:tc>
          <w:tcPr>
            <w:tcW w:w="0" w:type="dxa"/>
            <w:vAlign w:val="bottom"/>
          </w:tcPr>
          <w:p>
            <w:pPr>
              <w:spacing w:after="0"/>
              <w:rPr>
                <w:sz w:val="1"/>
                <w:szCs w:val="1"/>
                <w:color w:val="auto"/>
              </w:rPr>
            </w:pPr>
          </w:p>
        </w:tc>
      </w:tr>
      <w:tr>
        <w:trPr>
          <w:trHeight w:val="513"/>
        </w:trPr>
        <w:tc>
          <w:tcPr>
            <w:tcW w:w="4080" w:type="dxa"/>
            <w:vAlign w:val="bottom"/>
          </w:tcPr>
          <w:p>
            <w:pPr>
              <w:spacing w:after="0"/>
              <w:rPr>
                <w:sz w:val="24"/>
                <w:szCs w:val="24"/>
                <w:color w:val="auto"/>
              </w:rPr>
            </w:pPr>
          </w:p>
        </w:tc>
        <w:tc>
          <w:tcPr>
            <w:tcW w:w="210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00" w:type="dxa"/>
            <w:vAlign w:val="bottom"/>
            <w:gridSpan w:val="10"/>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STATEMENT REGARDING COMPUTATION OF RATIOS</w:t>
            </w:r>
          </w:p>
        </w:tc>
        <w:tc>
          <w:tcPr>
            <w:tcW w:w="10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210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9"/>
        </w:trPr>
        <w:tc>
          <w:tcPr>
            <w:tcW w:w="4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000" w:type="dxa"/>
            <w:vAlign w:val="bottom"/>
          </w:tcPr>
          <w:p>
            <w:pPr>
              <w:spacing w:after="0"/>
              <w:rPr>
                <w:sz w:val="24"/>
                <w:szCs w:val="24"/>
                <w:color w:val="auto"/>
              </w:rPr>
            </w:pPr>
          </w:p>
        </w:tc>
        <w:tc>
          <w:tcPr>
            <w:tcW w:w="2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2017</w:t>
            </w:r>
          </w:p>
        </w:tc>
        <w:tc>
          <w:tcPr>
            <w:tcW w:w="2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(deficiency):</w:t>
            </w: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25,580</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(33,704)</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0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(31,003)</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4,987</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Earnings (deficiency)</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25,874</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(28,503)</w:t>
            </w:r>
          </w:p>
        </w:tc>
        <w:tc>
          <w:tcPr>
            <w:tcW w:w="1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(26,016)</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8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4,941</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Estimated interest portion of rental expense</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4,987</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0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Deficiency in the coverage of fixed charges</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25,580</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(33,704)</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0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(31,003)</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Ratio of Earnings to Fixed Charges(1)(2)</w:t>
            </w: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8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20" w:firstLine="6"/>
        <w:spacing w:after="0" w:line="258" w:lineRule="auto"/>
        <w:tabs>
          <w:tab w:leader="none" w:pos="5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earnings to fixed charges is computed by dividing loss before taxes plus fixed charges by fixed charges. Fixed charges consist of interest expense (including interest expense from capital leases), debt financing expense, end-of-term debt obligation and prepayment penalty expense and the estimated portion of rental expense deemed by us to be representative of the interest factor of rental payments under operating leases. Earnings were insufficient to cover fixed charges by the amounts set forth in the table above under the heading “Deficiency in the coverage of fixed charges.”</w:t>
      </w:r>
    </w:p>
    <w:p>
      <w:pPr>
        <w:spacing w:after="0" w:line="373" w:lineRule="exact"/>
        <w:rPr>
          <w:rFonts w:ascii="Times New Roman" w:cs="Times New Roman" w:eastAsia="Times New Roman" w:hAnsi="Times New Roman"/>
          <w:sz w:val="18"/>
          <w:szCs w:val="18"/>
          <w:color w:val="auto"/>
        </w:rPr>
      </w:pPr>
    </w:p>
    <w:p>
      <w:pPr>
        <w:ind w:left="720" w:hanging="714"/>
        <w:spacing w:after="0"/>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NM—Not meaningful.</w:t>
      </w:r>
    </w:p>
    <w:p>
      <w:pPr>
        <w:spacing w:after="0" w:line="200" w:lineRule="exact"/>
        <w:rPr>
          <w:sz w:val="20"/>
          <w:szCs w:val="20"/>
          <w:color w:val="auto"/>
        </w:rPr>
      </w:pPr>
    </w:p>
    <w:p>
      <w:pPr>
        <w:spacing w:after="0" w:line="241"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For the periods presented above, there were no outstanding shares of preferred stock with required dividend payments. Therefore, earnings were insufficient to cover combined fixed charges and preferred stock dividends in the same amounts referenced in the line entitled “Deficiency in the coverage of fixed charges” in the table above.</w:t>
      </w:r>
    </w:p>
    <w:p>
      <w:pPr>
        <w:sectPr>
          <w:pgSz w:w="11900" w:h="16838" w:orient="portrait"/>
          <w:cols w:equalWidth="0" w:num="1">
            <w:col w:w="11080"/>
          </w:cols>
          <w:pgMar w:left="580" w:top="644"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Veracyte, Inc. for the registration of common stock, preferred stock, debt securities, warrants, subscription rights, and units, and to the incorporation by reference therein of our report dated February 27, 2018, with respect to the financial statements of Veracyte, Inc. included in its Annual Report (Form 10-K) for the year ended December 31, 2017,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2018</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1"/>
    </w:lvl>
  </w:abstractNum>
  <w:abstractNum w:abstractNumId="1">
    <w:nsid w:val="1BA026FA"/>
    <w:multiLevelType w:val="hybridMultilevel"/>
    <w:lvl w:ilvl="0">
      <w:lvlJc w:val="left"/>
      <w:lvlText w:val="(%1)"/>
      <w:numFmt w:val="decimal"/>
      <w:start w:val="1"/>
    </w:lvl>
    <w:lvl w:ilvl="1">
      <w:lvlJc w:val="left"/>
      <w:lvlText w:val="(%2)"/>
      <w:numFmt w:val="decimal"/>
      <w:start w:val="2"/>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1)"/>
      <w:numFmt w:val="decimal"/>
      <w:start w:val="1"/>
    </w:lvl>
    <w:lvl w:ilvl="1">
      <w:lvlJc w:val="left"/>
      <w:lvlText w:val="(%2)"/>
      <w:numFmt w:val="lowerRoman"/>
      <w:start w:val="1"/>
    </w:lvl>
  </w:abstractNum>
  <w:abstractNum w:abstractNumId="29">
    <w:nsid w:val="2F305DEF"/>
    <w:multiLevelType w:val="hybridMultilevel"/>
    <w:lvl w:ilvl="0">
      <w:lvlJc w:val="left"/>
      <w:lvlText w:val="(%1)"/>
      <w:numFmt w:val="decimal"/>
      <w:start w:val="2"/>
    </w:lvl>
  </w:abstractNum>
  <w:abstractNum w:abstractNumId="30">
    <w:nsid w:val="25A70BF7"/>
    <w:multiLevelType w:val="hybridMultilevel"/>
    <w:lvl w:ilvl="0">
      <w:lvlJc w:val="left"/>
      <w:lvlText w:val="(%1)"/>
      <w:numFmt w:val="decimal"/>
      <w:start w:val="3"/>
    </w:lvl>
    <w:lvl w:ilvl="1">
      <w:lvlJc w:val="left"/>
      <w:lvlText w:val="(%2)"/>
      <w:numFmt w:val="lowerRoman"/>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4"/>
    </w:lvl>
  </w:abstractNum>
  <w:abstractNum w:abstractNumId="33">
    <w:nsid w:val="1F48EAA1"/>
    <w:multiLevelType w:val="hybridMultilevel"/>
    <w:lvl w:ilvl="0">
      <w:lvlJc w:val="left"/>
      <w:lvlText w:val="(%1)"/>
      <w:numFmt w:val="lowerLetter"/>
      <w:start w:val="1"/>
    </w:lvl>
  </w:abstractNum>
  <w:abstractNum w:abstractNumId="34">
    <w:nsid w:val="1381823A"/>
    <w:multiLevelType w:val="hybridMultilevel"/>
    <w:lvl w:ilvl="0">
      <w:lvlJc w:val="left"/>
      <w:lvlText w:val="(%1)"/>
      <w:numFmt w:val="lowerLetter"/>
      <w:start w:val="1"/>
    </w:lvl>
  </w:abstractNum>
  <w:abstractNum w:abstractNumId="35">
    <w:nsid w:val="5DB70AE5"/>
    <w:multiLevelType w:val="hybridMultilevel"/>
    <w:lvl w:ilvl="0">
      <w:lvlJc w:val="left"/>
      <w:lvlText w:val="(%1)"/>
      <w:numFmt w:val="lowerLetter"/>
      <w:start w:val="3"/>
    </w:lvl>
  </w:abstractNum>
  <w:abstractNum w:abstractNumId="36">
    <w:nsid w:val="100F8FCA"/>
    <w:multiLevelType w:val="hybridMultilevel"/>
    <w:lvl w:ilvl="0">
      <w:lvlJc w:val="left"/>
      <w:lvlText w:val="(%1)"/>
      <w:numFmt w:val="lowerLetter"/>
      <w:start w:val="2"/>
    </w:lvl>
  </w:abstractNum>
  <w:abstractNum w:abstractNumId="37">
    <w:nsid w:val="6590700B"/>
    <w:multiLevelType w:val="hybridMultilevel"/>
    <w:lvl w:ilvl="0">
      <w:lvlJc w:val="left"/>
      <w:lvlText w:val="(%1)"/>
      <w:numFmt w:val="decimal"/>
      <w:start w:val="2"/>
    </w:lvl>
  </w:abstractNum>
  <w:abstractNum w:abstractNumId="38">
    <w:nsid w:val="15014ACB"/>
    <w:multiLevelType w:val="hybridMultilevel"/>
    <w:lvl w:ilvl="0">
      <w:lvlJc w:val="left"/>
      <w:lvlText w:val="(%1)"/>
      <w:numFmt w:val="lowerLetter"/>
      <w:start w:val="3"/>
    </w:lvl>
  </w:abstractNum>
  <w:abstractNum w:abstractNumId="39">
    <w:nsid w:val="5F5E7FD0"/>
    <w:multiLevelType w:val="hybridMultilevel"/>
    <w:lvl w:ilvl="0">
      <w:lvlJc w:val="left"/>
      <w:lvlText w:val="(%1)"/>
      <w:numFmt w:val="lowerLetter"/>
      <w:start w:val="3"/>
    </w:lvl>
  </w:abstractNum>
  <w:abstractNum w:abstractNumId="40">
    <w:nsid w:val="98A3148"/>
    <w:multiLevelType w:val="hybridMultilevel"/>
    <w:lvl w:ilvl="0">
      <w:lvlJc w:val="left"/>
      <w:lvlText w:val="(%1)"/>
      <w:numFmt w:val="lowerLetter"/>
      <w:start w:val="1"/>
    </w:lvl>
  </w:abstractNum>
  <w:abstractNum w:abstractNumId="41">
    <w:nsid w:val="799D0247"/>
    <w:multiLevelType w:val="hybridMultilevel"/>
    <w:lvl w:ilvl="0">
      <w:lvlJc w:val="left"/>
      <w:lvlText w:val="(%1)"/>
      <w:numFmt w:val="lowerLetter"/>
      <w:start w:val="2"/>
    </w:lvl>
  </w:abstractNum>
  <w:abstractNum w:abstractNumId="42">
    <w:nsid w:val="6B94764"/>
    <w:multiLevelType w:val="hybridMultilevel"/>
    <w:lvl w:ilvl="0">
      <w:lvlJc w:val="left"/>
      <w:lvlText w:val="(%1)"/>
      <w:numFmt w:val="lowerLetter"/>
      <w:start w:val="2"/>
    </w:lvl>
  </w:abstractNum>
  <w:abstractNum w:abstractNumId="43">
    <w:nsid w:val="42C296BD"/>
    <w:multiLevelType w:val="hybridMultilevel"/>
    <w:lvl w:ilvl="0">
      <w:lvlJc w:val="left"/>
      <w:lvlText w:val="(%1)"/>
      <w:numFmt w:val="lowerLetter"/>
      <w:start w:val="2"/>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8"/>
    </w:lvl>
  </w:abstractNum>
  <w:abstractNum w:abstractNumId="46">
    <w:nsid w:val="661E3F1E"/>
    <w:multiLevelType w:val="hybridMultilevel"/>
    <w:lvl w:ilvl="0">
      <w:lvlJc w:val="left"/>
      <w:lvlText w:val="(%1)"/>
      <w:numFmt w:val="decimal"/>
      <w:start w:val="14"/>
    </w:lvl>
  </w:abstractNum>
  <w:abstractNum w:abstractNumId="47">
    <w:nsid w:val="5DC79EA8"/>
    <w:multiLevelType w:val="hybridMultilevel"/>
    <w:lvl w:ilvl="0">
      <w:lvlJc w:val="left"/>
      <w:lvlText w:val="(%1)"/>
      <w:numFmt w:val="decimal"/>
      <w:start w:val="21"/>
    </w:lvl>
  </w:abstractNum>
  <w:abstractNum w:abstractNumId="48">
    <w:nsid w:val="540A471C"/>
    <w:multiLevelType w:val="hybridMultilevel"/>
    <w:lvl w:ilvl="0">
      <w:lvlJc w:val="left"/>
      <w:lvlText w:val="(%1)"/>
      <w:numFmt w:val="lowerLetter"/>
      <w:start w:val="4"/>
    </w:lvl>
  </w:abstractNum>
  <w:abstractNum w:abstractNumId="49">
    <w:nsid w:val="7BD3EE7B"/>
    <w:multiLevelType w:val="hybridMultilevel"/>
    <w:lvl w:ilvl="0">
      <w:lvlJc w:val="left"/>
      <w:lvlText w:val="(%1)"/>
      <w:numFmt w:val="lowerRoman"/>
      <w:start w:val="1"/>
    </w:lvl>
  </w:abstractNum>
  <w:abstractNum w:abstractNumId="50">
    <w:nsid w:val="51D9C564"/>
    <w:multiLevelType w:val="hybridMultilevel"/>
    <w:lvl w:ilvl="0">
      <w:lvlJc w:val="left"/>
      <w:lvlText w:val="(%1)"/>
      <w:numFmt w:val="lowerLetter"/>
      <w:start w:val="3"/>
    </w:lvl>
  </w:abstractNum>
  <w:abstractNum w:abstractNumId="51">
    <w:nsid w:val="613EFDC5"/>
    <w:multiLevelType w:val="hybridMultilevel"/>
    <w:lvl w:ilvl="0">
      <w:lvlJc w:val="left"/>
      <w:lvlText w:val="(%1)"/>
      <w:numFmt w:val="lowerLetter"/>
      <w:start w:val="3"/>
    </w:lvl>
  </w:abstractNum>
  <w:abstractNum w:abstractNumId="52">
    <w:nsid w:val="BF72B14"/>
    <w:multiLevelType w:val="hybridMultilevel"/>
    <w:lvl w:ilvl="0">
      <w:lvlJc w:val="left"/>
      <w:lvlText w:val="(%1)"/>
      <w:numFmt w:val="lowerLetter"/>
      <w:start w:val="6"/>
    </w:lvl>
  </w:abstractNum>
  <w:abstractNum w:abstractNumId="53">
    <w:nsid w:val="11447B73"/>
    <w:multiLevelType w:val="hybridMultilevel"/>
    <w:lvl w:ilvl="0">
      <w:lvlJc w:val="left"/>
      <w:lvlText w:val="(%1)"/>
      <w:numFmt w:val="lowerLetter"/>
      <w:start w:val="2"/>
    </w:lvl>
  </w:abstractNum>
  <w:abstractNum w:abstractNumId="54">
    <w:nsid w:val="42963E5A"/>
    <w:multiLevelType w:val="hybridMultilevel"/>
    <w:lvl w:ilvl="0">
      <w:lvlJc w:val="left"/>
      <w:lvlText w:val="(%1)"/>
      <w:numFmt w:val="lowerLetter"/>
      <w:start w:val="3"/>
    </w:lvl>
  </w:abstractNum>
  <w:abstractNum w:abstractNumId="55">
    <w:nsid w:val="A0382C5"/>
    <w:multiLevelType w:val="hybridMultilevel"/>
    <w:lvl w:ilvl="0">
      <w:lvlJc w:val="left"/>
      <w:lvlText w:val="(%1)"/>
      <w:numFmt w:val="upperLetter"/>
      <w:start w:val="2"/>
    </w:lvl>
    <w:lvl w:ilvl="1">
      <w:lvlJc w:val="left"/>
      <w:lvlText w:val="(%2)"/>
      <w:numFmt w:val="lowerRoman"/>
      <w:start w:val="1"/>
    </w:lvl>
  </w:abstractNum>
  <w:abstractNum w:abstractNumId="56">
    <w:nsid w:val="8F2B15E"/>
    <w:multiLevelType w:val="hybridMultilevel"/>
    <w:lvl w:ilvl="0">
      <w:lvlJc w:val="left"/>
      <w:lvlText w:val="(%1)"/>
      <w:numFmt w:val="decimal"/>
      <w:start w:val="2"/>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lowerRoman"/>
      <w:start w:val="4"/>
    </w:lvl>
  </w:abstractNum>
  <w:abstractNum w:abstractNumId="59">
    <w:nsid w:val="68EB2F63"/>
    <w:multiLevelType w:val="hybridMultilevel"/>
    <w:lvl w:ilvl="0">
      <w:lvlJc w:val="left"/>
      <w:lvlText w:val="(%1)"/>
      <w:numFmt w:val="lowerRoman"/>
      <w:start w:val="8"/>
    </w:lvl>
  </w:abstractNum>
  <w:abstractNum w:abstractNumId="60">
    <w:nsid w:val="4962813B"/>
    <w:multiLevelType w:val="hybridMultilevel"/>
    <w:lvl w:ilvl="0">
      <w:lvlJc w:val="left"/>
      <w:lvlText w:val="(%1)"/>
      <w:numFmt w:val="decimal"/>
      <w:start w:val="2"/>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upperLetter"/>
      <w:start w:val="1"/>
    </w:lvl>
  </w:abstractNum>
  <w:abstractNum w:abstractNumId="63">
    <w:nsid w:val="14330624"/>
    <w:multiLevelType w:val="hybridMultilevel"/>
    <w:lvl w:ilvl="0">
      <w:lvlJc w:val="left"/>
      <w:lvlText w:val="(%1)"/>
      <w:numFmt w:val="decimal"/>
      <w:start w:val="2"/>
    </w:lvl>
  </w:abstractNum>
  <w:abstractNum w:abstractNumId="64">
    <w:nsid w:val="7FFFCA11"/>
    <w:multiLevelType w:val="hybridMultilevel"/>
    <w:lvl w:ilvl="0">
      <w:lvlJc w:val="left"/>
      <w:lvlText w:val="(%1)"/>
      <w:numFmt w:val="decimal"/>
      <w:start w:val="2"/>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decimal"/>
      <w:start w:val="1"/>
    </w:lvl>
  </w:abstractNum>
  <w:abstractNum w:abstractNumId="67">
    <w:nsid w:val="100F59DC"/>
    <w:multiLevelType w:val="hybridMultilevel"/>
    <w:lvl w:ilvl="0">
      <w:lvlJc w:val="left"/>
      <w:lvlText w:val="(%1)"/>
      <w:numFmt w:val="decimal"/>
      <w:start w:val="1"/>
    </w:lvl>
  </w:abstractNum>
  <w:abstractNum w:abstractNumId="68">
    <w:nsid w:val="7FB7E0AA"/>
    <w:multiLevelType w:val="hybridMultilevel"/>
    <w:lvl w:ilvl="0">
      <w:lvlJc w:val="left"/>
      <w:lvlText w:val="(%1)"/>
      <w:numFmt w:val="lowerLetter"/>
      <w:start w:val="3"/>
    </w:lvl>
    <w:lvl w:ilvl="1">
      <w:lvlJc w:val="left"/>
      <w:lvlText w:val="(%2)"/>
      <w:numFmt w:val="decimal"/>
      <w:start w:val="1"/>
    </w:lvl>
  </w:abstractNum>
  <w:abstractNum w:abstractNumId="69">
    <w:nsid w:val="6EB5BD4"/>
    <w:multiLevelType w:val="hybridMultilevel"/>
    <w:lvl w:ilvl="0">
      <w:lvlJc w:val="left"/>
      <w:lvlText w:val="(%1)"/>
      <w:numFmt w:val="lowerLetter"/>
      <w:start w:val="4"/>
    </w:lvl>
  </w:abstractNum>
  <w:abstractNum w:abstractNumId="70">
    <w:nsid w:val="6F6DD9AC"/>
    <w:multiLevelType w:val="hybridMultilevel"/>
    <w:lvl w:ilvl="0">
      <w:lvlJc w:val="left"/>
      <w:lvlText w:val="(%1)"/>
      <w:numFmt w:val="lowerLetter"/>
      <w:start w:val="2"/>
    </w:lvl>
  </w:abstractNum>
  <w:abstractNum w:abstractNumId="71">
    <w:nsid w:val="94211F2"/>
    <w:multiLevelType w:val="hybridMultilevel"/>
    <w:lvl w:ilvl="0">
      <w:lvlJc w:val="left"/>
      <w:lvlText w:val="(%1)"/>
      <w:numFmt w:val="lowerLetter"/>
      <w:start w:val="4"/>
    </w:lvl>
  </w:abstractNum>
  <w:abstractNum w:abstractNumId="72">
    <w:nsid w:val="885E1B"/>
    <w:multiLevelType w:val="hybridMultilevel"/>
    <w:lvl w:ilvl="0">
      <w:lvlJc w:val="left"/>
      <w:lvlText w:val="(%1)"/>
      <w:numFmt w:val="decimal"/>
      <w:start w:val="1"/>
    </w:lvl>
  </w:abstractNum>
  <w:abstractNum w:abstractNumId="73">
    <w:nsid w:val="76272110"/>
    <w:multiLevelType w:val="hybridMultilevel"/>
    <w:lvl w:ilvl="0">
      <w:lvlJc w:val="left"/>
      <w:lvlText w:val="(%1)"/>
      <w:numFmt w:val="lowerLetter"/>
      <w:start w:val="3"/>
    </w:lvl>
    <w:lvl w:ilvl="1">
      <w:lvlJc w:val="left"/>
      <w:lvlText w:val="(%2)"/>
      <w:numFmt w:val="decimal"/>
      <w:start w:val="1"/>
    </w:lvl>
  </w:abstractNum>
  <w:abstractNum w:abstractNumId="74">
    <w:nsid w:val="4C04A8AF"/>
    <w:multiLevelType w:val="hybridMultilevel"/>
    <w:lvl w:ilvl="0">
      <w:lvlJc w:val="left"/>
      <w:lvlText w:val="(%1)"/>
      <w:numFmt w:val="lowerLetter"/>
      <w:start w:val="3"/>
    </w:lvl>
  </w:abstractNum>
  <w:abstractNum w:abstractNumId="75">
    <w:nsid w:val="1716703B"/>
    <w:multiLevelType w:val="hybridMultilevel"/>
    <w:lvl w:ilvl="0">
      <w:lvlJc w:val="left"/>
      <w:lvlText w:val="(%1)"/>
      <w:numFmt w:val="lowerLetter"/>
      <w:start w:val="4"/>
    </w:lvl>
  </w:abstractNum>
  <w:abstractNum w:abstractNumId="76">
    <w:nsid w:val="14E17E33"/>
    <w:multiLevelType w:val="hybridMultilevel"/>
    <w:lvl w:ilvl="0">
      <w:lvlJc w:val="left"/>
      <w:lvlText w:val="(%1)"/>
      <w:numFmt w:val="lowerLetter"/>
      <w:start w:val="2"/>
    </w:lvl>
  </w:abstractNum>
  <w:abstractNum w:abstractNumId="77">
    <w:nsid w:val="3222E7CD"/>
    <w:multiLevelType w:val="hybridMultilevel"/>
    <w:lvl w:ilvl="0">
      <w:lvlJc w:val="left"/>
      <w:lvlText w:val="(%1)"/>
      <w:numFmt w:val="lowerLetter"/>
      <w:start w:val="2"/>
    </w:lvl>
  </w:abstractNum>
  <w:abstractNum w:abstractNumId="78">
    <w:nsid w:val="74DE0EE3"/>
    <w:multiLevelType w:val="hybridMultilevel"/>
    <w:lvl w:ilvl="0">
      <w:lvlJc w:val="left"/>
      <w:lvlText w:val="(%1)"/>
      <w:numFmt w:val="decimal"/>
      <w:start w:val="2"/>
    </w:lvl>
  </w:abstractNum>
  <w:abstractNum w:abstractNumId="79">
    <w:nsid w:val="68EBC550"/>
    <w:multiLevelType w:val="hybridMultilevel"/>
    <w:lvl w:ilvl="0">
      <w:lvlJc w:val="left"/>
      <w:lvlText w:val="(%1)"/>
      <w:numFmt w:val="decimal"/>
      <w:start w:val="1"/>
    </w:lvl>
  </w:abstractNum>
  <w:abstractNum w:abstractNumId="80">
    <w:nsid w:val="2DF6D648"/>
    <w:multiLevelType w:val="hybridMultilevel"/>
    <w:lvl w:ilvl="0">
      <w:lvlJc w:val="left"/>
      <w:lvlText w:val="(%1)"/>
      <w:numFmt w:val="decimal"/>
      <w:start w:val="3"/>
    </w:lvl>
  </w:abstractNum>
  <w:abstractNum w:abstractNumId="81">
    <w:nsid w:val="46B7D447"/>
    <w:multiLevelType w:val="hybridMultilevel"/>
    <w:lvl w:ilvl="0">
      <w:lvlJc w:val="left"/>
      <w:lvlText w:val="(%1)"/>
      <w:numFmt w:val="decimal"/>
      <w:start w:val="5"/>
    </w:lvl>
  </w:abstractNum>
  <w:abstractNum w:abstractNumId="82">
    <w:nsid w:val="4A2AC315"/>
    <w:multiLevelType w:val="hybridMultilevel"/>
    <w:lvl w:ilvl="0">
      <w:lvlJc w:val="left"/>
      <w:lvlText w:val="(%1)"/>
      <w:numFmt w:val="decimal"/>
      <w:start w:val="7"/>
    </w:lvl>
  </w:abstractNum>
  <w:abstractNum w:abstractNumId="83">
    <w:nsid w:val="39EE015C"/>
    <w:multiLevelType w:val="hybridMultilevel"/>
    <w:lvl w:ilvl="0">
      <w:lvlJc w:val="left"/>
      <w:lvlText w:val="(%1)"/>
      <w:numFmt w:val="decimal"/>
      <w:start w:val="12"/>
    </w:lvl>
  </w:abstractNum>
  <w:abstractNum w:abstractNumId="84">
    <w:nsid w:val="57FC4FBB"/>
    <w:multiLevelType w:val="hybridMultilevel"/>
    <w:lvl w:ilvl="0">
      <w:lvlJc w:val="left"/>
      <w:lvlText w:val="(%1)"/>
      <w:numFmt w:val="decimal"/>
      <w:start w:val="3"/>
    </w:lvl>
  </w:abstractNum>
  <w:abstractNum w:abstractNumId="85">
    <w:nsid w:val="CC1016F"/>
    <w:multiLevelType w:val="hybridMultilevel"/>
    <w:lvl w:ilvl="0">
      <w:lvlJc w:val="left"/>
      <w:lvlText w:val="(%1)"/>
      <w:numFmt w:val="lowerLetter"/>
      <w:start w:val="3"/>
    </w:lvl>
  </w:abstractNum>
  <w:abstractNum w:abstractNumId="86">
    <w:nsid w:val="43F18422"/>
    <w:multiLevelType w:val="hybridMultilevel"/>
    <w:lvl w:ilvl="0">
      <w:lvlJc w:val="left"/>
      <w:lvlText w:val="(%1)"/>
      <w:numFmt w:val="lowerLetter"/>
      <w:start w:val="3"/>
    </w:lvl>
  </w:abstractNum>
  <w:abstractNum w:abstractNumId="87">
    <w:nsid w:val="60EF0119"/>
    <w:multiLevelType w:val="hybridMultilevel"/>
    <w:lvl w:ilvl="0">
      <w:lvlJc w:val="left"/>
      <w:lvlText w:val="(%1)"/>
      <w:numFmt w:val="lowerRoman"/>
      <w:start w:val="1"/>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decimal"/>
      <w:start w:val="4"/>
    </w:lvl>
  </w:abstractNum>
  <w:abstractNum w:abstractNumId="90">
    <w:nsid w:val="49DA307D"/>
    <w:multiLevelType w:val="hybridMultilevel"/>
    <w:lvl w:ilvl="0">
      <w:lvlJc w:val="left"/>
      <w:lvlText w:val="(%1)"/>
      <w:numFmt w:val="lowerLetter"/>
      <w:start w:val="2"/>
    </w:lvl>
  </w:abstractNum>
  <w:abstractNum w:abstractNumId="91">
    <w:nsid w:val="7055A5F5"/>
    <w:multiLevelType w:val="hybridMultilevel"/>
    <w:lvl w:ilvl="0">
      <w:lvlJc w:val="left"/>
      <w:lvlText w:val="(%1)"/>
      <w:numFmt w:val="decimal"/>
      <w:start w:val="1"/>
    </w:lvl>
  </w:abstractNum>
  <w:abstractNum w:abstractNumId="92">
    <w:nsid w:val="5FB8370B"/>
    <w:multiLevelType w:val="hybridMultilevel"/>
    <w:lvl w:ilvl="0">
      <w:lvlJc w:val="left"/>
      <w:lvlText w:val="(%1)"/>
      <w:numFmt w:val="decimal"/>
      <w:start w:val="4"/>
    </w:lvl>
  </w:abstractNum>
  <w:abstractNum w:abstractNumId="93">
    <w:nsid w:val="50801EE1"/>
    <w:multiLevelType w:val="hybridMultilevel"/>
    <w:lvl w:ilvl="0">
      <w:lvlJc w:val="left"/>
      <w:lvlText w:val="(%1)"/>
      <w:numFmt w:val="decimal"/>
      <w:start w:val="6"/>
    </w:lvl>
  </w:abstractNum>
  <w:abstractNum w:abstractNumId="94">
    <w:nsid w:val="488AC1A"/>
    <w:multiLevelType w:val="hybridMultilevel"/>
    <w:lvl w:ilvl="0">
      <w:lvlJc w:val="left"/>
      <w:lvlText w:val="(%1)"/>
      <w:numFmt w:val="decimal"/>
      <w:start w:val="10"/>
    </w:lvl>
  </w:abstractNum>
  <w:abstractNum w:abstractNumId="95">
    <w:nsid w:val="5FB8011C"/>
    <w:multiLevelType w:val="hybridMultilevel"/>
    <w:lvl w:ilvl="0">
      <w:lvlJc w:val="left"/>
      <w:lvlText w:val="(%1)"/>
      <w:numFmt w:val="lowerRoman"/>
      <w:start w:val="5"/>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decimal"/>
      <w:start w:val="1"/>
    </w:lvl>
  </w:abstractNum>
  <w:abstractNum w:abstractNumId="98">
    <w:nsid w:val="6FC75AF8"/>
    <w:multiLevelType w:val="hybridMultilevel"/>
    <w:lvl w:ilvl="0">
      <w:lvlJc w:val="left"/>
      <w:lvlText w:val="%1."/>
      <w:numFmt w:val="decimal"/>
      <w:start w:val="3"/>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jpeg"/><Relationship Id="rId13" Type="http://schemas.openxmlformats.org/officeDocument/2006/relationships/hyperlink" Target="http://www.sec.gov/Archives/edgar/data/1384101/000110465913082910/a13-23874_1ex3d1.htm" TargetMode="External"/><Relationship Id="rId14" Type="http://schemas.openxmlformats.org/officeDocument/2006/relationships/hyperlink" Target="http://www.sec.gov/Archives/edgar/data/1384101/000110465913082910/a13-23874_1ex3d2.htm" TargetMode="External"/><Relationship Id="rId15" Type="http://schemas.openxmlformats.org/officeDocument/2006/relationships/hyperlink" Target="http://www.sec.gov/Archives/edgar/data/1384101/000104746913009631/a2216954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2019-12-07T07:23:17Z</dcterms:created>
  <dcterms:modified xsi:type="dcterms:W3CDTF">2019-12-07T07:23:17Z</dcterms:modified>
</cp:coreProperties>
</file>