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July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VERACYTE,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6000 Shoreline Court, Suite 300</w:t>
      </w:r>
    </w:p>
    <w:p>
      <w:pPr>
        <w:spacing w:after="0" w:line="50"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South San Francisco, California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94080</w:t>
      </w:r>
    </w:p>
    <w:p>
      <w:pPr>
        <w:spacing w:after="0" w:line="266"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(650) 243-6300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25, 2018, Veracyte, Inc. (the “Company”) entered into an underwriting agreement (the “Underwriting Agreement”) with Leerink Partners LLC and William Blair &amp; Company L.L.C., as representatives of the several underwriters named therein (collectively, the “Underwriters”), relating to the public offering of 5,000,000 shares of the Company’s common stock, par value $0.001 per share (the “Shares”), at a public offering price of $10.25 per share (the “Offering”). The Offering is expected to close on or about July 30, 2018, subject to customary closing conditions. The Company has granted the Underwriters an option, exercisable within 30 days from the date of the Underwriting Agreement, to purchase up to 750,000 additional Shares. The Offering is being made pursuant to the Company’s effective shelf registration statement on Form S-3 (File No. 333-224576) previously filed with the Securities and Exchange Commission (the “SEC”), including the related prospectus dated May 11, 2018, as supplemented by the prospectus supplement dated July 25, 2018.</w:t>
      </w:r>
    </w:p>
    <w:p>
      <w:pPr>
        <w:spacing w:after="0" w:line="16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estimates that net proceeds from the Offering will be approximately $47.9 million, after deducting underwriting discounts and commissions and estimated Offering expenses, and assuming no exercise of the Underwriters’ option to purchase additional shares. The Company intends to use the net proceeds from the Offering for working capital and other general corporate purposes. The Company may also use a portion of the net proceeds from the offering to acquire or invest in complementary businesses, technologies or other assets, although it has no present commitments or agreements to do so.</w:t>
      </w:r>
    </w:p>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A copy of the Underwriting Agreement is filed with this Current Report on Form 8-K as Exhibit 1.1 and is incorporated herein by reference.</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copy of the opinion of Fenwick &amp; West LLP, relating to the validity of the Shares in connection with the Offering, is filed with this Current Report on Form 8-K as Exhibit 5.1.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July 25, 2018, the Company issued a press release announcing the pricing of the Offering. A copy of the press release is filed as Exhibit 99.1 to this Current Report on Form 8-K and is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78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2900" w:type="dxa"/>
            <w:vAlign w:val="bottom"/>
            <w:gridSpan w:val="4"/>
          </w:tcPr>
          <w:p>
            <w:pPr>
              <w:spacing w:after="0"/>
              <w:rPr>
                <w:sz w:val="14"/>
                <w:szCs w:val="14"/>
                <w:color w:val="auto"/>
              </w:rPr>
            </w:pPr>
          </w:p>
        </w:tc>
      </w:tr>
      <w:tr>
        <w:trPr>
          <w:trHeight w:val="26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2"/>
                <w:szCs w:val="22"/>
                <w:color w:val="auto"/>
              </w:rPr>
            </w:pPr>
          </w:p>
        </w:tc>
        <w:tc>
          <w:tcPr>
            <w:tcW w:w="426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Underwriting Agreement dated July 25, 2018.</w:t>
              </w:r>
            </w:hyperlink>
          </w:p>
        </w:tc>
      </w:tr>
      <w:tr>
        <w:trPr>
          <w:trHeight w:val="30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Opinion of Fenwick &amp; West LLP.</w:t>
              </w:r>
            </w:hyperlink>
          </w:p>
        </w:tc>
        <w:tc>
          <w:tcPr>
            <w:tcW w:w="880" w:type="dxa"/>
            <w:vAlign w:val="bottom"/>
            <w:tcBorders>
              <w:top w:val="single" w:sz="8" w:color="0000EE"/>
            </w:tcBorders>
            <w:gridSpan w:val="2"/>
          </w:tcPr>
          <w:p>
            <w:pPr>
              <w:spacing w:after="0"/>
              <w:rPr>
                <w:sz w:val="24"/>
                <w:szCs w:val="24"/>
                <w:color w:val="auto"/>
              </w:rPr>
            </w:pPr>
          </w:p>
        </w:tc>
        <w:tc>
          <w:tcPr>
            <w:tcW w:w="960" w:type="dxa"/>
            <w:vAlign w:val="bottom"/>
          </w:tcPr>
          <w:p>
            <w:pPr>
              <w:spacing w:after="0"/>
              <w:rPr>
                <w:sz w:val="24"/>
                <w:szCs w:val="24"/>
                <w:color w:val="auto"/>
              </w:rPr>
            </w:pPr>
          </w:p>
        </w:tc>
      </w:tr>
      <w:tr>
        <w:trPr>
          <w:trHeight w:val="30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23.1</w:t>
            </w:r>
          </w:p>
        </w:tc>
        <w:tc>
          <w:tcPr>
            <w:tcW w:w="780" w:type="dxa"/>
            <w:vAlign w:val="bottom"/>
          </w:tcPr>
          <w:p>
            <w:pPr>
              <w:spacing w:after="0"/>
              <w:rPr>
                <w:sz w:val="24"/>
                <w:szCs w:val="24"/>
                <w:color w:val="auto"/>
              </w:rPr>
            </w:pPr>
          </w:p>
        </w:tc>
        <w:tc>
          <w:tcPr>
            <w:tcW w:w="4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Consent of Fenwick &amp; West LLP (included in Exhibit 5.1).</w:t>
              </w:r>
            </w:hyperlink>
          </w:p>
        </w:tc>
      </w:tr>
      <w:tr>
        <w:trPr>
          <w:trHeight w:val="30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24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Press Release dated July 25, 2018.</w:t>
              </w:r>
            </w:hyperlink>
          </w:p>
        </w:tc>
        <w:tc>
          <w:tcPr>
            <w:tcW w:w="1780" w:type="dxa"/>
            <w:vAlign w:val="bottom"/>
            <w:gridSpan w:val="2"/>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26,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Keith Kennedy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Keith Kennedy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 Shares of Common Stock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Veracyte,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with Leerink Partners LLC (“</w:t>
      </w:r>
      <w:r>
        <w:rPr>
          <w:rFonts w:ascii="Arial" w:cs="Arial" w:eastAsia="Arial" w:hAnsi="Arial"/>
          <w:sz w:val="18"/>
          <w:szCs w:val="18"/>
          <w:u w:val="single" w:color="auto"/>
          <w:color w:val="auto"/>
        </w:rPr>
        <w:t>Leerink</w:t>
      </w:r>
      <w:r>
        <w:rPr>
          <w:rFonts w:ascii="Arial" w:cs="Arial" w:eastAsia="Arial" w:hAnsi="Arial"/>
          <w:sz w:val="18"/>
          <w:szCs w:val="18"/>
          <w:color w:val="auto"/>
        </w:rPr>
        <w:t>”) and William Blair &amp; Company, L.L.C. (“</w:t>
      </w:r>
      <w:r>
        <w:rPr>
          <w:rFonts w:ascii="Arial" w:cs="Arial" w:eastAsia="Arial" w:hAnsi="Arial"/>
          <w:sz w:val="18"/>
          <w:szCs w:val="18"/>
          <w:u w:val="single" w:color="auto"/>
          <w:color w:val="auto"/>
        </w:rPr>
        <w:t>William Blair</w:t>
      </w:r>
      <w:r>
        <w:rPr>
          <w:rFonts w:ascii="Arial" w:cs="Arial" w:eastAsia="Arial" w:hAnsi="Arial"/>
          <w:sz w:val="18"/>
          <w:szCs w:val="18"/>
          <w:color w:val="auto"/>
        </w:rPr>
        <w:t xml:space="preserve">”), and each of the other 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which term shall also include any underwriter substituted as hereinafter provided in Section 10 hereof), for which Leerink and William Blair are acting as representatives (in such capacity,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with respect to (i) the sale by the Company and the purchase by the Underwriters, acting severally and not jointly, of the respective numbers of shares of common stock, par value $0.001 per share, of the Company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(ii) the grant by the Company to the Underwriters, acting severally and not jointly, of the option described in Section 2(b) hereof to purchase all or any part of 750,000 additional shares of Common Stock. The aforesaid 5,000,000 shares of Common Stock (the “</w:t>
      </w:r>
      <w:r>
        <w:rPr>
          <w:rFonts w:ascii="Arial" w:cs="Arial" w:eastAsia="Arial" w:hAnsi="Arial"/>
          <w:sz w:val="18"/>
          <w:szCs w:val="18"/>
          <w:u w:val="single" w:color="auto"/>
          <w:color w:val="auto"/>
        </w:rPr>
        <w:t>Initial Securities</w:t>
      </w:r>
      <w:r>
        <w:rPr>
          <w:rFonts w:ascii="Arial" w:cs="Arial" w:eastAsia="Arial" w:hAnsi="Arial"/>
          <w:sz w:val="18"/>
          <w:szCs w:val="18"/>
          <w:color w:val="auto"/>
        </w:rPr>
        <w:t>”) to be purchased by the Underwriters and all or any part of the 750,000 shares of Common Stock subject to the option described in Section 2(b) hereof (the “</w:t>
      </w:r>
      <w:r>
        <w:rPr>
          <w:rFonts w:ascii="Arial" w:cs="Arial" w:eastAsia="Arial" w:hAnsi="Arial"/>
          <w:sz w:val="18"/>
          <w:szCs w:val="18"/>
          <w:u w:val="single" w:color="auto"/>
          <w:color w:val="auto"/>
        </w:rPr>
        <w:t>Option Securities</w:t>
      </w:r>
      <w:r>
        <w:rPr>
          <w:rFonts w:ascii="Arial" w:cs="Arial" w:eastAsia="Arial" w:hAnsi="Arial"/>
          <w:sz w:val="18"/>
          <w:szCs w:val="18"/>
          <w:color w:val="auto"/>
        </w:rPr>
        <w:t>”) are herein called,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9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Underwriting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has been executed and delivered.</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shelf registration statement on Form S-3 (No. 333-224576), covering the public offering and sale of certain securities, including the Securities, under the Securities Act of 1933, as amended (the “</w:t>
      </w:r>
      <w:r>
        <w:rPr>
          <w:rFonts w:ascii="Arial" w:cs="Arial" w:eastAsia="Arial" w:hAnsi="Arial"/>
          <w:sz w:val="17"/>
          <w:szCs w:val="17"/>
          <w:u w:val="single" w:color="auto"/>
          <w:color w:val="auto"/>
        </w:rPr>
        <w:t>1933</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and the rules and regulations of the Commission promulgated thereunder (the “</w:t>
      </w:r>
      <w:r>
        <w:rPr>
          <w:rFonts w:ascii="Arial" w:cs="Arial" w:eastAsia="Arial" w:hAnsi="Arial"/>
          <w:sz w:val="17"/>
          <w:szCs w:val="17"/>
          <w:u w:val="single" w:color="auto"/>
          <w:color w:val="auto"/>
        </w:rPr>
        <w:t>1933 Act Regulations</w:t>
      </w:r>
      <w:r>
        <w:rPr>
          <w:rFonts w:ascii="Arial" w:cs="Arial" w:eastAsia="Arial" w:hAnsi="Arial"/>
          <w:sz w:val="17"/>
          <w:szCs w:val="17"/>
          <w:color w:val="auto"/>
        </w:rPr>
        <w:t>”), which shelf registration statement was declared effective on May 11, 2018. The information included in such prospectus that was omitted from such registration statement at the time such registration statement became effective but that is deemed to be part of such registration statement at the time it became effective pursuant</w:t>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Rule 430B under the 1933 Act Regulations (“</w:t>
      </w:r>
      <w:r>
        <w:rPr>
          <w:rFonts w:ascii="Arial" w:cs="Arial" w:eastAsia="Arial" w:hAnsi="Arial"/>
          <w:sz w:val="16"/>
          <w:szCs w:val="16"/>
          <w:u w:val="single" w:color="auto"/>
          <w:color w:val="auto"/>
        </w:rPr>
        <w:t>Rule 430B</w:t>
      </w:r>
      <w:r>
        <w:rPr>
          <w:rFonts w:ascii="Arial" w:cs="Arial" w:eastAsia="Arial" w:hAnsi="Arial"/>
          <w:sz w:val="16"/>
          <w:szCs w:val="16"/>
          <w:color w:val="auto"/>
        </w:rPr>
        <w:t>”) is herein called the “</w:t>
      </w:r>
      <w:r>
        <w:rPr>
          <w:rFonts w:ascii="Arial" w:cs="Arial" w:eastAsia="Arial" w:hAnsi="Arial"/>
          <w:sz w:val="16"/>
          <w:szCs w:val="16"/>
          <w:u w:val="single" w:color="auto"/>
          <w:color w:val="auto"/>
        </w:rPr>
        <w:t>Rule 430 Information</w:t>
      </w:r>
      <w:r>
        <w:rPr>
          <w:rFonts w:ascii="Arial" w:cs="Arial" w:eastAsia="Arial" w:hAnsi="Arial"/>
          <w:sz w:val="16"/>
          <w:szCs w:val="16"/>
          <w:color w:val="auto"/>
        </w:rPr>
        <w:t>.” Such registration statement, as of any time, means such registration statement as amended by any post-effective amendments thereto to such time, including the exhibits and any schedules thereto at such time, and including the Rule 430 Information, the documents incorporated or deemed to be incorporated by reference therein at such time pursuant to Item 12 of Form S-3 under the 1933 Act and the documents otherwise deemed to be a part thereof as of such time pursuant to Rule 430B,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Any registration statement filed pursuant to Rule 462(b) of the 1933 Act Regulations is herein called the “</w:t>
      </w:r>
      <w:r>
        <w:rPr>
          <w:rFonts w:ascii="Arial" w:cs="Arial" w:eastAsia="Arial" w:hAnsi="Arial"/>
          <w:sz w:val="16"/>
          <w:szCs w:val="16"/>
          <w:u w:val="single" w:color="auto"/>
          <w:color w:val="auto"/>
        </w:rPr>
        <w:t>Rule 462(b) Registration Statement</w:t>
      </w:r>
      <w:r>
        <w:rPr>
          <w:rFonts w:ascii="Arial" w:cs="Arial" w:eastAsia="Arial" w:hAnsi="Arial"/>
          <w:sz w:val="16"/>
          <w:szCs w:val="16"/>
          <w:color w:val="auto"/>
        </w:rPr>
        <w:t>” and, after such filing, the term “Registration Statement” shall include the Rule 462(b) Registration Statement. Each preliminary prospectus used in connection with the offering of the Securities, including the documents incorporated or deemed to be incorporated by reference therein pursuant to Item 12 of Form S-3 under the 1933 Act, are collectively referred to herein as a “</w:t>
      </w:r>
      <w:r>
        <w:rPr>
          <w:rFonts w:ascii="Arial" w:cs="Arial" w:eastAsia="Arial" w:hAnsi="Arial"/>
          <w:sz w:val="16"/>
          <w:szCs w:val="16"/>
          <w:u w:val="single" w:color="auto"/>
          <w:color w:val="auto"/>
        </w:rPr>
        <w:t>preliminary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Promptly after execution and delivery of this Agreement, the Company will prepare and file a final prospectus relating to the Securities in accordance with the provisions of Rule 424(b) under the 1933 Act Regulations (“</w:t>
      </w:r>
      <w:r>
        <w:rPr>
          <w:rFonts w:ascii="Arial" w:cs="Arial" w:eastAsia="Arial" w:hAnsi="Arial"/>
          <w:sz w:val="16"/>
          <w:szCs w:val="16"/>
          <w:u w:val="single" w:color="auto"/>
          <w:color w:val="auto"/>
        </w:rPr>
        <w:t>Rule 424(b)</w:t>
      </w:r>
      <w:r>
        <w:rPr>
          <w:rFonts w:ascii="Arial" w:cs="Arial" w:eastAsia="Arial" w:hAnsi="Arial"/>
          <w:sz w:val="16"/>
          <w:szCs w:val="16"/>
          <w:color w:val="auto"/>
        </w:rPr>
        <w:t>”).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w:t>
      </w:r>
      <w:r>
        <w:rPr>
          <w:rFonts w:ascii="Arial" w:cs="Arial" w:eastAsia="Arial" w:hAnsi="Arial"/>
          <w:sz w:val="16"/>
          <w:szCs w:val="16"/>
          <w:u w:val="single" w:color="auto"/>
          <w:color w:val="auto"/>
        </w:rPr>
        <w:t>Prospectus</w:t>
      </w:r>
      <w:r>
        <w:rPr>
          <w:rFonts w:ascii="Arial" w:cs="Arial" w:eastAsia="Arial" w:hAnsi="Arial"/>
          <w:sz w:val="16"/>
          <w:szCs w:val="16"/>
          <w:color w:val="auto"/>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Arial" w:cs="Arial" w:eastAsia="Arial" w:hAnsi="Arial"/>
          <w:sz w:val="16"/>
          <w:szCs w:val="16"/>
          <w:u w:val="single" w:color="auto"/>
          <w:color w:val="auto"/>
        </w:rPr>
        <w:t>EDGAR</w:t>
      </w:r>
      <w:r>
        <w:rPr>
          <w:rFonts w:ascii="Arial" w:cs="Arial" w:eastAsia="Arial" w:hAnsi="Arial"/>
          <w:sz w:val="16"/>
          <w:szCs w:val="16"/>
          <w:color w:val="auto"/>
        </w:rPr>
        <w:t>”).</w:t>
      </w:r>
    </w:p>
    <w:p>
      <w:pPr>
        <w:spacing w:after="0" w:line="3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w:t>
      </w:r>
    </w:p>
    <w:p>
      <w:pPr>
        <w:spacing w:after="0" w:line="117" w:lineRule="exact"/>
        <w:rPr>
          <w:sz w:val="20"/>
          <w:szCs w:val="20"/>
          <w:color w:val="auto"/>
        </w:rPr>
      </w:pPr>
    </w:p>
    <w:p>
      <w:pPr>
        <w:ind w:left="460" w:right="1180" w:firstLine="438"/>
        <w:spacing w:after="0" w:line="277" w:lineRule="auto"/>
        <w:rPr>
          <w:sz w:val="20"/>
          <w:szCs w:val="20"/>
          <w:color w:val="auto"/>
        </w:rPr>
      </w:pPr>
      <w:r>
        <w:rPr>
          <w:rFonts w:ascii="Arial" w:cs="Arial" w:eastAsia="Arial" w:hAnsi="Arial"/>
          <w:sz w:val="18"/>
          <w:szCs w:val="18"/>
          <w:color w:val="auto"/>
        </w:rPr>
        <w:t>“Applicable Time” means 6:15 P.M., New York City time, on July 25, 2018 or such other time as agreed by the Company and the Representatives.</w:t>
      </w:r>
    </w:p>
    <w:p>
      <w:pPr>
        <w:spacing w:after="0" w:line="62" w:lineRule="exact"/>
        <w:rPr>
          <w:sz w:val="20"/>
          <w:szCs w:val="20"/>
          <w:color w:val="auto"/>
        </w:rPr>
      </w:pPr>
    </w:p>
    <w:p>
      <w:pPr>
        <w:jc w:val="both"/>
        <w:ind w:left="460" w:firstLine="438"/>
        <w:spacing w:after="0" w:line="264" w:lineRule="auto"/>
        <w:rPr>
          <w:sz w:val="20"/>
          <w:szCs w:val="20"/>
          <w:color w:val="auto"/>
        </w:rPr>
      </w:pPr>
      <w:r>
        <w:rPr>
          <w:rFonts w:ascii="Arial" w:cs="Arial" w:eastAsia="Arial" w:hAnsi="Arial"/>
          <w:sz w:val="18"/>
          <w:szCs w:val="18"/>
          <w:color w:val="auto"/>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Arial" w:cs="Arial" w:eastAsia="Arial" w:hAnsi="Arial"/>
          <w:sz w:val="18"/>
          <w:szCs w:val="18"/>
          <w:u w:val="single" w:color="auto"/>
          <w:color w:val="auto"/>
        </w:rPr>
        <w:t>Schedule B-1</w:t>
      </w:r>
      <w:r>
        <w:rPr>
          <w:rFonts w:ascii="Arial" w:cs="Arial" w:eastAsia="Arial" w:hAnsi="Arial"/>
          <w:sz w:val="18"/>
          <w:szCs w:val="18"/>
          <w:color w:val="auto"/>
        </w:rPr>
        <w:t xml:space="preserve"> hereto, all considered together.</w:t>
      </w:r>
    </w:p>
    <w:p>
      <w:pPr>
        <w:spacing w:after="0" w:line="73" w:lineRule="exact"/>
        <w:rPr>
          <w:sz w:val="20"/>
          <w:szCs w:val="20"/>
          <w:color w:val="auto"/>
        </w:rPr>
      </w:pPr>
    </w:p>
    <w:p>
      <w:pPr>
        <w:ind w:left="460" w:right="100" w:firstLine="438"/>
        <w:spacing w:after="0" w:line="293" w:lineRule="auto"/>
        <w:rPr>
          <w:sz w:val="20"/>
          <w:szCs w:val="20"/>
          <w:color w:val="auto"/>
        </w:rPr>
      </w:pPr>
      <w:r>
        <w:rPr>
          <w:rFonts w:ascii="Arial" w:cs="Arial" w:eastAsia="Arial" w:hAnsi="Arial"/>
          <w:sz w:val="16"/>
          <w:szCs w:val="16"/>
          <w:color w:val="auto"/>
        </w:rPr>
        <w:t>“Issuer Free Writing Prospectus” means any “issuer free writing prospectus,” as defined in Rule 433 of the 1933 Act Regulations (“</w:t>
      </w:r>
      <w:r>
        <w:rPr>
          <w:rFonts w:ascii="Arial" w:cs="Arial" w:eastAsia="Arial" w:hAnsi="Arial"/>
          <w:sz w:val="16"/>
          <w:szCs w:val="16"/>
          <w:u w:val="single" w:color="auto"/>
          <w:color w:val="auto"/>
        </w:rPr>
        <w:t>Rule 433</w:t>
      </w:r>
      <w:r>
        <w:rPr>
          <w:rFonts w:ascii="Arial" w:cs="Arial" w:eastAsia="Arial" w:hAnsi="Arial"/>
          <w:sz w:val="16"/>
          <w:szCs w:val="16"/>
          <w:color w:val="auto"/>
        </w:rPr>
        <w:t>”), including without limitation any “free writing prospectus” (as defined in Rule 405 of the 1933 Act Regulations (“</w:t>
      </w:r>
      <w:r>
        <w:rPr>
          <w:rFonts w:ascii="Arial" w:cs="Arial" w:eastAsia="Arial" w:hAnsi="Arial"/>
          <w:sz w:val="16"/>
          <w:szCs w:val="16"/>
          <w:u w:val="single" w:color="auto"/>
          <w:color w:val="auto"/>
        </w:rPr>
        <w:t>Rule 405</w:t>
      </w:r>
      <w:r>
        <w:rPr>
          <w:rFonts w:ascii="Arial" w:cs="Arial" w:eastAsia="Arial" w:hAnsi="Arial"/>
          <w:sz w:val="16"/>
          <w:szCs w:val="16"/>
          <w:color w:val="auto"/>
        </w:rPr>
        <w:t>”)) relating to the Securities that is (i) required to be filed with the Commission by the Company, (ii) a “road show for an offering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57" w:lineRule="exact"/>
        <w:rPr>
          <w:sz w:val="20"/>
          <w:szCs w:val="20"/>
          <w:color w:val="auto"/>
        </w:rPr>
      </w:pPr>
    </w:p>
    <w:p>
      <w:pPr>
        <w:ind w:left="460" w:right="200" w:firstLine="438"/>
        <w:spacing w:after="0" w:line="264"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(a “</w:t>
      </w:r>
      <w:r>
        <w:rPr>
          <w:rFonts w:ascii="Arial" w:cs="Arial" w:eastAsia="Arial" w:hAnsi="Arial"/>
          <w:sz w:val="18"/>
          <w:szCs w:val="18"/>
          <w:u w:val="single" w:color="auto"/>
          <w:color w:val="auto"/>
        </w:rPr>
        <w:t>Bona Fide Electronic Road Show</w:t>
      </w:r>
      <w:r>
        <w:rPr>
          <w:rFonts w:ascii="Arial" w:cs="Arial" w:eastAsia="Arial" w:hAnsi="Arial"/>
          <w:sz w:val="18"/>
          <w:szCs w:val="18"/>
          <w:color w:val="auto"/>
        </w:rPr>
        <w:t xml:space="preserve">”)), as evidenced by its being specified in </w:t>
      </w:r>
      <w:r>
        <w:rPr>
          <w:rFonts w:ascii="Arial" w:cs="Arial" w:eastAsia="Arial" w:hAnsi="Arial"/>
          <w:sz w:val="18"/>
          <w:szCs w:val="18"/>
          <w:u w:val="single" w:color="auto"/>
          <w:color w:val="auto"/>
        </w:rPr>
        <w:t>Schedule B-2</w:t>
      </w:r>
      <w:r>
        <w:rPr>
          <w:rFonts w:ascii="Arial" w:cs="Arial" w:eastAsia="Arial" w:hAnsi="Arial"/>
          <w:sz w:val="18"/>
          <w:szCs w:val="18"/>
          <w:color w:val="auto"/>
        </w:rPr>
        <w:t xml:space="preserve"> hereto.</w:t>
      </w:r>
    </w:p>
    <w:p>
      <w:pPr>
        <w:sectPr>
          <w:pgSz w:w="11900" w:h="16838" w:orient="portrait"/>
          <w:cols w:equalWidth="0" w:num="1">
            <w:col w:w="11400"/>
          </w:cols>
          <w:pgMar w:left="240" w:top="274" w:right="259" w:bottom="1440" w:gutter="0" w:footer="0" w:header="0"/>
        </w:sectPr>
      </w:pPr>
    </w:p>
    <w:bookmarkStart w:id="5" w:name="page6"/>
    <w:bookmarkEnd w:id="5"/>
    <w:p>
      <w:pPr>
        <w:ind w:left="460" w:right="78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Limited Use Free Writing Prospectus” means any Issuer Free Writing Prospectus that is not an Issuer General Use Free Writing Prospectus.</w:t>
      </w:r>
    </w:p>
    <w:p>
      <w:pPr>
        <w:spacing w:after="0" w:line="17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and the rules and regulations promulgated thereunder (collectively, the “</w:t>
      </w:r>
      <w:r>
        <w:rPr>
          <w:rFonts w:ascii="Arial" w:cs="Arial" w:eastAsia="Arial" w:hAnsi="Arial"/>
          <w:sz w:val="18"/>
          <w:szCs w:val="18"/>
          <w:u w:val="single" w:color="auto"/>
          <w:color w:val="auto"/>
        </w:rPr>
        <w:t>1934 Act</w:t>
      </w:r>
      <w:r>
        <w:rPr>
          <w:rFonts w:ascii="Arial" w:cs="Arial" w:eastAsia="Arial" w:hAnsi="Arial"/>
          <w:sz w:val="18"/>
          <w:szCs w:val="18"/>
          <w:color w:val="auto"/>
        </w:rPr>
        <w:t>”), incorporated or deemed to be incorporated by reference in the Registration Statement, such preliminary prospectus or the Prospectus, as the case may be, at or after the execution and delivery of this Agreement.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200" w:firstLine="464"/>
        <w:spacing w:after="0" w:line="308" w:lineRule="auto"/>
        <w:tabs>
          <w:tab w:leader="none" w:pos="701"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by the Company</w:t>
      </w:r>
      <w:r>
        <w:rPr>
          <w:rFonts w:ascii="Arial" w:cs="Arial" w:eastAsia="Arial" w:hAnsi="Arial"/>
          <w:sz w:val="17"/>
          <w:szCs w:val="17"/>
          <w:color w:val="auto"/>
        </w:rPr>
        <w:t>. The Company represents and warrants to each Underwriter as of the date hereof,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Time, the Closing Time (as defined below) and any Date of Delivery (as defined below), and agrees with each Underwriter, as follows:</w:t>
      </w:r>
    </w:p>
    <w:p>
      <w:pPr>
        <w:spacing w:after="0" w:line="38" w:lineRule="exact"/>
        <w:rPr>
          <w:rFonts w:ascii="Arial" w:cs="Arial" w:eastAsia="Arial" w:hAnsi="Arial"/>
          <w:sz w:val="17"/>
          <w:szCs w:val="17"/>
          <w:color w:val="auto"/>
        </w:rPr>
      </w:pPr>
    </w:p>
    <w:p>
      <w:pPr>
        <w:ind w:left="460" w:firstLine="443"/>
        <w:spacing w:after="0" w:line="255" w:lineRule="auto"/>
        <w:tabs>
          <w:tab w:leader="none" w:pos="111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meets the requirements for use of Form S-3 under the 1933 Act. Each of the Registration Statement and any amendment thereto has become effective under the 1933 Act.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by the Commission or are pending or, to the Company’s knowledge, contemplated by the Commission. The Company has complied with each request (if any) from the Commission for additional information.</w:t>
      </w:r>
    </w:p>
    <w:p>
      <w:pPr>
        <w:spacing w:after="0" w:line="85" w:lineRule="exact"/>
        <w:rPr>
          <w:sz w:val="20"/>
          <w:szCs w:val="20"/>
          <w:color w:val="auto"/>
        </w:rPr>
      </w:pPr>
    </w:p>
    <w:p>
      <w:pPr>
        <w:ind w:left="460" w:right="140" w:firstLine="438"/>
        <w:spacing w:after="0" w:line="273" w:lineRule="auto"/>
        <w:rPr>
          <w:sz w:val="20"/>
          <w:szCs w:val="20"/>
          <w:color w:val="auto"/>
        </w:rPr>
      </w:pPr>
      <w:r>
        <w:rPr>
          <w:rFonts w:ascii="Arial" w:cs="Arial" w:eastAsia="Arial" w:hAnsi="Arial"/>
          <w:sz w:val="17"/>
          <w:szCs w:val="17"/>
          <w:color w:val="auto"/>
        </w:rPr>
        <w:t>Each of the Registration Statement and any post-effective amendment thereto, at the time of its effectiveness and at each deemed effective date with respect to the Underwriters pursuant to Rule 430B, complied in all material respects with the requirements of the 1933 Act and the 1933 Act Regulations.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the offering and the Prospectus was or will be identical to the electronically transmitted copies thereof filed with the Commission pursuant to EDGAR, except to the extent permitted by Regulation S-T.</w:t>
      </w:r>
    </w:p>
    <w:p>
      <w:pPr>
        <w:spacing w:after="0" w:line="70" w:lineRule="exact"/>
        <w:rPr>
          <w:sz w:val="20"/>
          <w:szCs w:val="20"/>
          <w:color w:val="auto"/>
        </w:rPr>
      </w:pPr>
    </w:p>
    <w:p>
      <w:pPr>
        <w:ind w:left="460" w:right="20" w:firstLine="438"/>
        <w:spacing w:after="0" w:line="286" w:lineRule="auto"/>
        <w:rPr>
          <w:sz w:val="20"/>
          <w:szCs w:val="20"/>
          <w:color w:val="auto"/>
        </w:rPr>
      </w:pPr>
      <w:r>
        <w:rPr>
          <w:rFonts w:ascii="Arial" w:cs="Arial" w:eastAsia="Arial" w:hAnsi="Arial"/>
          <w:sz w:val="17"/>
          <w:szCs w:val="17"/>
          <w:color w:val="auto"/>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rules and regulations of the Commission under the 1934 Act (the “</w:t>
      </w:r>
      <w:r>
        <w:rPr>
          <w:rFonts w:ascii="Arial" w:cs="Arial" w:eastAsia="Arial" w:hAnsi="Arial"/>
          <w:sz w:val="17"/>
          <w:szCs w:val="17"/>
          <w:u w:val="single" w:color="auto"/>
          <w:color w:val="auto"/>
        </w:rPr>
        <w:t>1934 Act Regulations</w:t>
      </w:r>
      <w:r>
        <w:rPr>
          <w:rFonts w:ascii="Arial" w:cs="Arial" w:eastAsia="Arial" w:hAnsi="Arial"/>
          <w:sz w:val="17"/>
          <w:szCs w:val="17"/>
          <w:color w:val="auto"/>
        </w:rPr>
        <w:t>”).</w:t>
      </w:r>
    </w:p>
    <w:p>
      <w:pPr>
        <w:sectPr>
          <w:pgSz w:w="11900" w:h="16838" w:orient="portrait"/>
          <w:cols w:equalWidth="0" w:num="1">
            <w:col w:w="11420"/>
          </w:cols>
          <w:pgMar w:left="240" w:top="274" w:right="239" w:bottom="1440" w:gutter="0" w:footer="0" w:header="0"/>
        </w:sectPr>
      </w:pPr>
    </w:p>
    <w:bookmarkStart w:id="6" w:name="page7"/>
    <w:bookmarkEnd w:id="6"/>
    <w:p>
      <w:pPr>
        <w:ind w:right="220" w:firstLine="43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any preliminary prospectus and the Prospectus, and the filing of the Registration Statement, any preliminary prospectus and the Prospectus with the Commission have been duly authorized by and on behalf of the Company, and the Registration Statement has been duly executed pursuant to such authorization.</w:t>
      </w:r>
    </w:p>
    <w:p>
      <w:pPr>
        <w:spacing w:after="0" w:line="73" w:lineRule="exact"/>
        <w:rPr>
          <w:sz w:val="20"/>
          <w:szCs w:val="20"/>
          <w:color w:val="auto"/>
        </w:rPr>
      </w:pPr>
    </w:p>
    <w:p>
      <w:pPr>
        <w:ind w:firstLine="443"/>
        <w:spacing w:after="0" w:line="268" w:lineRule="auto"/>
        <w:tabs>
          <w:tab w:leader="none" w:pos="703" w:val="left"/>
        </w:tabs>
        <w:numPr>
          <w:ilvl w:val="0"/>
          <w:numId w:val="4"/>
        </w:numPr>
        <w:rPr>
          <w:rFonts w:ascii="Arial" w:cs="Arial" w:eastAsia="Arial" w:hAnsi="Arial"/>
          <w:sz w:val="17"/>
          <w:szCs w:val="17"/>
          <w:color w:val="auto"/>
        </w:rPr>
      </w:pPr>
      <w:r>
        <w:rPr>
          <w:rFonts w:ascii="Arial" w:cs="Arial" w:eastAsia="Arial" w:hAnsi="Arial"/>
          <w:sz w:val="17"/>
          <w:szCs w:val="17"/>
          <w:color w:val="auto"/>
        </w:rPr>
        <w:t>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none of the General Disclosure Package nor any individual Issuer Limited Use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77"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including any prospectus wrapper) made in reliance upon and in conformity with written information furnished to the Company by any Underwriter through the Representatives expressly for use therein. For purposes of this Agreement, the only information so furnished shall be the information in the first sentence under the heading “Underwriting—Commissions and Discounts”, the information in the second, third and fourth paragraphs under the heading “Underwriting—Price Stabilization, Short Positions and Penalty Bids” and the information under the heading “Underwriting—Electronic Distribution” in each case contained in the Prospectus (collectively, the “</w:t>
      </w:r>
      <w:r>
        <w:rPr>
          <w:rFonts w:ascii="Arial" w:cs="Arial" w:eastAsia="Arial" w:hAnsi="Arial"/>
          <w:sz w:val="18"/>
          <w:szCs w:val="18"/>
          <w:u w:val="single" w:color="auto"/>
          <w:color w:val="auto"/>
        </w:rPr>
        <w:t>Underwriter Information</w:t>
      </w:r>
      <w:r>
        <w:rPr>
          <w:rFonts w:ascii="Arial" w:cs="Arial" w:eastAsia="Arial" w:hAnsi="Arial"/>
          <w:sz w:val="18"/>
          <w:szCs w:val="18"/>
          <w:color w:val="auto"/>
        </w:rPr>
        <w:t>”).</w:t>
      </w:r>
    </w:p>
    <w:p>
      <w:pPr>
        <w:spacing w:after="0" w:line="81" w:lineRule="exact"/>
        <w:rPr>
          <w:sz w:val="20"/>
          <w:szCs w:val="20"/>
          <w:color w:val="auto"/>
        </w:rPr>
      </w:pPr>
    </w:p>
    <w:p>
      <w:pPr>
        <w:jc w:val="both"/>
        <w:ind w:right="180" w:firstLine="443"/>
        <w:spacing w:after="0" w:line="279" w:lineRule="auto"/>
        <w:tabs>
          <w:tab w:leader="none" w:pos="753"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At the time of filing the Registration Statement and any post-effective amendments thereto, at the earliest time thereafter that the Company or another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63" w:lineRule="exact"/>
        <w:rPr>
          <w:rFonts w:ascii="Arial" w:cs="Arial" w:eastAsia="Arial" w:hAnsi="Arial"/>
          <w:sz w:val="17"/>
          <w:szCs w:val="17"/>
          <w:color w:val="auto"/>
        </w:rPr>
      </w:pPr>
    </w:p>
    <w:p>
      <w:pPr>
        <w:ind w:right="80" w:firstLine="443"/>
        <w:spacing w:after="0" w:line="302" w:lineRule="auto"/>
        <w:tabs>
          <w:tab w:leader="none" w:pos="743"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Any Issuer Free Writing Prospectus that the Company is required to file pursuant to Rule 433(d) under the 1933 Act has been, or will be, filed with the Commission in accordance with the requirements of the 1933 Act and the applicable rules and regulations of the</w:t>
      </w:r>
    </w:p>
    <w:p>
      <w:pPr>
        <w:sectPr>
          <w:pgSz w:w="11900" w:h="16838" w:orient="portrait"/>
          <w:cols w:equalWidth="0" w:num="1">
            <w:col w:w="10940"/>
          </w:cols>
          <w:pgMar w:left="700" w:top="274" w:right="259" w:bottom="1440" w:gutter="0" w:footer="0" w:header="0"/>
        </w:sectPr>
      </w:pPr>
    </w:p>
    <w:bookmarkStart w:id="7" w:name="page8"/>
    <w:bookmarkEnd w:id="7"/>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Commission thereunder. Each Issuer Free Writing Prospectus that the Company has filed, or is required to file, pursuant to Rule 433(d) under the 1933 Act or that was prepared by or on behalf of or used or referred to by the Company complies or will, as of the time of such filing, comply in all material respects with the requirements of the 1933 Act and the applicable rules and regulations of the Commission thereunder. Except for the Issuer Free Writing Prospectuses, if any, identified in </w:t>
      </w:r>
      <w:r>
        <w:rPr>
          <w:rFonts w:ascii="Arial" w:cs="Arial" w:eastAsia="Arial" w:hAnsi="Arial"/>
          <w:sz w:val="16"/>
          <w:szCs w:val="16"/>
          <w:u w:val="single" w:color="auto"/>
          <w:color w:val="auto"/>
        </w:rPr>
        <w:t>Schedule B-2</w:t>
      </w:r>
      <w:r>
        <w:rPr>
          <w:rFonts w:ascii="Arial" w:cs="Arial" w:eastAsia="Arial" w:hAnsi="Arial"/>
          <w:sz w:val="16"/>
          <w:szCs w:val="16"/>
          <w:color w:val="auto"/>
        </w:rPr>
        <w:t xml:space="preserve"> hereto, and electronic road shows, if any, each furnished to you before first use, the Company has not prepared, used or referred to, and will not, without your prior consent, prepare, use or refer to, any Issuer Free Writing Prospectus.</w:t>
      </w:r>
    </w:p>
    <w:p>
      <w:pPr>
        <w:spacing w:after="0" w:line="50" w:lineRule="exact"/>
        <w:rPr>
          <w:sz w:val="20"/>
          <w:szCs w:val="20"/>
          <w:color w:val="auto"/>
        </w:rPr>
      </w:pPr>
    </w:p>
    <w:p>
      <w:pPr>
        <w:ind w:right="60" w:firstLine="443"/>
        <w:spacing w:after="0" w:line="255"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jurisdiction of its incorporation, has the corporate power and authority to own its property and to conduct its business as described in the Registration Statement, the General Disclosure Package and the Prospectus and to enter into this Agreement; and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The Company does not have any subsidiaries.</w:t>
      </w:r>
    </w:p>
    <w:p>
      <w:pPr>
        <w:spacing w:after="0" w:line="85" w:lineRule="exact"/>
        <w:rPr>
          <w:rFonts w:ascii="Arial" w:cs="Arial" w:eastAsia="Arial" w:hAnsi="Arial"/>
          <w:sz w:val="18"/>
          <w:szCs w:val="18"/>
          <w:color w:val="auto"/>
        </w:rPr>
      </w:pPr>
    </w:p>
    <w:p>
      <w:pPr>
        <w:ind w:left="740" w:hanging="29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120" w:firstLine="443"/>
        <w:spacing w:after="0" w:line="264" w:lineRule="auto"/>
        <w:tabs>
          <w:tab w:leader="none" w:pos="79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Closing Time and each Date of Delivery, the authorized capital stock of the Company will conform as to legal matters to the description thereof contained in each of the Registration Statement, the General Disclosure Package and the Prospectus and such description conforms to the rights set forth in the instruments defining the same.</w:t>
      </w:r>
    </w:p>
    <w:p>
      <w:pPr>
        <w:spacing w:after="0" w:line="73" w:lineRule="exact"/>
        <w:rPr>
          <w:rFonts w:ascii="Arial" w:cs="Arial" w:eastAsia="Arial" w:hAnsi="Arial"/>
          <w:sz w:val="18"/>
          <w:szCs w:val="18"/>
          <w:color w:val="auto"/>
        </w:rPr>
      </w:pPr>
    </w:p>
    <w:p>
      <w:pPr>
        <w:ind w:right="40" w:firstLine="443"/>
        <w:spacing w:after="0" w:line="264" w:lineRule="auto"/>
        <w:tabs>
          <w:tab w:leader="none" w:pos="8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Securities have been duly authorized and are validly issued, fully paid and non-assessable. None of the outstanding shares of capital stock of the Company was issued in violation of the preemptive or other similar rights of any securityholder of the Company.</w:t>
      </w:r>
    </w:p>
    <w:p>
      <w:pPr>
        <w:spacing w:after="0" w:line="73" w:lineRule="exact"/>
        <w:rPr>
          <w:rFonts w:ascii="Arial" w:cs="Arial" w:eastAsia="Arial" w:hAnsi="Arial"/>
          <w:sz w:val="18"/>
          <w:szCs w:val="18"/>
          <w:color w:val="auto"/>
        </w:rPr>
      </w:pPr>
    </w:p>
    <w:p>
      <w:pPr>
        <w:ind w:right="360" w:firstLine="443"/>
        <w:spacing w:after="0" w:line="308" w:lineRule="auto"/>
        <w:tabs>
          <w:tab w:leader="none" w:pos="74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Securities have been duly authorized and, when issued and delivered in accordance with the terms of this Agreement, will be validly issued, fully paid and non-assessable, and the issuance of such Securities will not be subject to any preemptive or similar rights.</w:t>
      </w:r>
    </w:p>
    <w:p>
      <w:pPr>
        <w:spacing w:after="0" w:line="38" w:lineRule="exact"/>
        <w:rPr>
          <w:rFonts w:ascii="Arial" w:cs="Arial" w:eastAsia="Arial" w:hAnsi="Arial"/>
          <w:sz w:val="17"/>
          <w:szCs w:val="17"/>
          <w:color w:val="auto"/>
        </w:rPr>
      </w:pPr>
    </w:p>
    <w:p>
      <w:pPr>
        <w:ind w:firstLine="443"/>
        <w:spacing w:after="0" w:line="253"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that in the case of clauses (i), (iii) and (iv) as would not, individually or in the aggregate, have a material adverse effect on the Company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or foreign jurisdictions or the rules and regulations of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in connection with the offer and sale of the Securities.</w:t>
      </w:r>
    </w:p>
    <w:p>
      <w:pPr>
        <w:spacing w:after="0" w:line="89" w:lineRule="exact"/>
        <w:rPr>
          <w:rFonts w:ascii="Arial" w:cs="Arial" w:eastAsia="Arial" w:hAnsi="Arial"/>
          <w:sz w:val="18"/>
          <w:szCs w:val="18"/>
          <w:color w:val="auto"/>
        </w:rPr>
      </w:pPr>
    </w:p>
    <w:p>
      <w:pPr>
        <w:ind w:right="280" w:firstLine="443"/>
        <w:spacing w:after="0" w:line="264"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reasonably likely to result in a prospective material adverse change, in the condition, financial or otherwise, or in the earnings, business or operations of the Company, whether or not arising out of the ordinary course of business, from that set forth in the General Disclosure Package.</w:t>
      </w:r>
    </w:p>
    <w:p>
      <w:pPr>
        <w:sectPr>
          <w:pgSz w:w="11900" w:h="16838" w:orient="portrait"/>
          <w:cols w:equalWidth="0" w:num="1">
            <w:col w:w="10960"/>
          </w:cols>
          <w:pgMar w:left="700" w:top="274" w:right="239" w:bottom="1440" w:gutter="0" w:footer="0" w:header="0"/>
        </w:sectPr>
      </w:pPr>
    </w:p>
    <w:bookmarkStart w:id="8" w:name="page9"/>
    <w:bookmarkEnd w:id="8"/>
    <w:p>
      <w:pPr>
        <w:ind w:left="-4" w:right="260" w:firstLine="443"/>
        <w:spacing w:after="0" w:line="264" w:lineRule="auto"/>
        <w:tabs>
          <w:tab w:leader="none" w:pos="789"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accountants who certified the financial statements and supporting schedules included in the Registration Statement, the General Disclosure Package and the Prospectus are independent public accountants as required by the 1933 Act, the 1933 Act Regulations, the 1934 Act, the 1934 Act Regulations and the Public Company Accounting Oversight Board (United States).</w:t>
      </w:r>
    </w:p>
    <w:p>
      <w:pPr>
        <w:spacing w:after="0" w:line="73" w:lineRule="exact"/>
        <w:rPr>
          <w:rFonts w:ascii="Arial" w:cs="Arial" w:eastAsia="Arial" w:hAnsi="Arial"/>
          <w:sz w:val="18"/>
          <w:szCs w:val="18"/>
          <w:color w:val="auto"/>
        </w:rPr>
      </w:pPr>
    </w:p>
    <w:p>
      <w:pPr>
        <w:jc w:val="both"/>
        <w:ind w:left="-4" w:right="40" w:firstLine="443"/>
        <w:spacing w:after="0" w:line="286" w:lineRule="auto"/>
        <w:tabs>
          <w:tab w:leader="none" w:pos="839"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Company’s knowledge, threatened to which the Company is a party or to which any of the properties of the Company is subject (i) other than proceedings accurately described in all material respects in the General Disclosure Package or proceedings that would not reasonably be expected to have a material adverse effect on the Company or on the power or ability of the Company to perform its obligations under this Agreement or to consummate the transactions contemplated by the General Disclosure Package or</w:t>
      </w:r>
    </w:p>
    <w:p>
      <w:pPr>
        <w:spacing w:after="0" w:line="1" w:lineRule="exact"/>
        <w:rPr>
          <w:rFonts w:ascii="Arial" w:cs="Arial" w:eastAsia="Arial" w:hAnsi="Arial"/>
          <w:sz w:val="16"/>
          <w:szCs w:val="16"/>
          <w:color w:val="auto"/>
        </w:rPr>
      </w:pPr>
    </w:p>
    <w:p>
      <w:pPr>
        <w:ind w:left="-4" w:right="220" w:firstLine="4"/>
        <w:spacing w:after="0" w:line="277" w:lineRule="auto"/>
        <w:tabs>
          <w:tab w:leader="none" w:pos="26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65" w:lineRule="exact"/>
        <w:rPr>
          <w:rFonts w:ascii="Arial" w:cs="Arial" w:eastAsia="Arial" w:hAnsi="Arial"/>
          <w:sz w:val="17"/>
          <w:szCs w:val="17"/>
          <w:color w:val="auto"/>
        </w:rPr>
      </w:pPr>
    </w:p>
    <w:p>
      <w:pPr>
        <w:ind w:left="-4" w:right="120" w:firstLine="443"/>
        <w:spacing w:after="0" w:line="264" w:lineRule="auto"/>
        <w:tabs>
          <w:tab w:leader="none" w:pos="829"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1933 Act, complied when so filed in all material respects with the 1933 Act and the applicable rules and regulations of the Commission thereunder.</w:t>
      </w:r>
    </w:p>
    <w:p>
      <w:pPr>
        <w:spacing w:after="0" w:line="73" w:lineRule="exact"/>
        <w:rPr>
          <w:rFonts w:ascii="Arial" w:cs="Arial" w:eastAsia="Arial" w:hAnsi="Arial"/>
          <w:sz w:val="18"/>
          <w:szCs w:val="18"/>
          <w:color w:val="auto"/>
        </w:rPr>
      </w:pPr>
    </w:p>
    <w:p>
      <w:pPr>
        <w:ind w:left="-4" w:right="40" w:firstLine="443"/>
        <w:spacing w:after="0" w:line="264" w:lineRule="auto"/>
        <w:tabs>
          <w:tab w:leader="none" w:pos="779"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left="-4" w:firstLine="443"/>
        <w:spacing w:after="0" w:line="268" w:lineRule="auto"/>
        <w:tabs>
          <w:tab w:leader="none" w:pos="829" w:val="left"/>
        </w:tabs>
        <w:numPr>
          <w:ilvl w:val="1"/>
          <w:numId w:val="8"/>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General Disclosure Package and the Prospectus or would not, singly or in the aggregate, reasonably be expected to result in a material adverse effect on the Company,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(B) the Company has all permits, authorizations and approvals required under any applicable Environmental Laws and is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and (D) to the Company’s knowledge, there are no events or circumstances that would reasonably be expected to form the basis of an order for clean-up or remediation, or an action, suit or proceeding by any private party or Governmental Entity, against or affecting the Company relating to Hazardous Materials or any Environmental Laws.</w:t>
      </w:r>
    </w:p>
    <w:p>
      <w:pPr>
        <w:sectPr>
          <w:pgSz w:w="11900" w:h="16838" w:orient="portrait"/>
          <w:cols w:equalWidth="0" w:num="1">
            <w:col w:w="10936"/>
          </w:cols>
          <w:pgMar w:left="704" w:top="274" w:right="259" w:bottom="1440" w:gutter="0" w:footer="0" w:header="0"/>
        </w:sectPr>
      </w:pPr>
    </w:p>
    <w:bookmarkStart w:id="9" w:name="page10"/>
    <w:bookmarkEnd w:id="9"/>
    <w:p>
      <w:pPr>
        <w:ind w:left="-443" w:right="220" w:firstLine="443"/>
        <w:spacing w:after="0" w:line="25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78" w:lineRule="exact"/>
        <w:rPr>
          <w:rFonts w:ascii="Arial" w:cs="Arial" w:eastAsia="Arial" w:hAnsi="Arial"/>
          <w:sz w:val="18"/>
          <w:szCs w:val="18"/>
          <w:color w:val="auto"/>
        </w:rPr>
      </w:pPr>
    </w:p>
    <w:p>
      <w:pPr>
        <w:jc w:val="both"/>
        <w:ind w:left="-443" w:right="160" w:firstLine="443"/>
        <w:spacing w:after="0" w:line="259" w:lineRule="auto"/>
        <w:tabs>
          <w:tab w:leader="none" w:pos="49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described in the General Disclosure Package and the Prospectus, there are no contracts, agreements or understandings between the Company and any person granting such person the right to require the Company to file a registration statement under the 1933 Act with respect to any securities of the Company or to require the Company to include such securities with the Securities registered pursuant to the Registration Statement.</w:t>
      </w:r>
    </w:p>
    <w:p>
      <w:pPr>
        <w:spacing w:after="0" w:line="78" w:lineRule="exact"/>
        <w:rPr>
          <w:rFonts w:ascii="Arial" w:cs="Arial" w:eastAsia="Arial" w:hAnsi="Arial"/>
          <w:sz w:val="18"/>
          <w:szCs w:val="18"/>
          <w:color w:val="auto"/>
        </w:rPr>
      </w:pPr>
    </w:p>
    <w:p>
      <w:pPr>
        <w:ind w:left="-443" w:firstLine="443"/>
        <w:spacing w:after="0" w:line="272" w:lineRule="auto"/>
        <w:tabs>
          <w:tab w:leader="none" w:pos="39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Company nor, to the Company’s knowledge, any director, officer, employee, agent, affiliate or representative thereof, has taken (or has any plans to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illegally influence official action or secure an improper advantage for the Company; and the Company has conducted its business in compliance with applicable anti-corruption laws and has instituted and maintains (and has no intent to discontinue) policies and procedures designed to promote and achieve compliance with such laws.</w:t>
      </w:r>
    </w:p>
    <w:p>
      <w:pPr>
        <w:spacing w:after="0" w:line="69" w:lineRule="exact"/>
        <w:rPr>
          <w:rFonts w:ascii="Arial" w:cs="Arial" w:eastAsia="Arial" w:hAnsi="Arial"/>
          <w:sz w:val="17"/>
          <w:szCs w:val="17"/>
          <w:color w:val="auto"/>
        </w:rPr>
      </w:pPr>
    </w:p>
    <w:p>
      <w:pPr>
        <w:ind w:left="-443" w:firstLine="443"/>
        <w:spacing w:after="0" w:line="271"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None of the Company, or, to the knowledge of the Company, any director, officer, agent, employee, affiliate or representative thereof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7"/>
          <w:szCs w:val="17"/>
          <w:u w:val="single" w:color="auto"/>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has conducted its businesses in compliance with the FCPA and have instituted and maintain policies and procedures designed to ensure, and which are reasonably expected to continue to ensure, continued compliance therewith.</w:t>
      </w:r>
    </w:p>
    <w:p>
      <w:pPr>
        <w:spacing w:after="0" w:line="70" w:lineRule="exact"/>
        <w:rPr>
          <w:rFonts w:ascii="Arial" w:cs="Arial" w:eastAsia="Arial" w:hAnsi="Arial"/>
          <w:sz w:val="17"/>
          <w:szCs w:val="17"/>
          <w:color w:val="auto"/>
        </w:rPr>
      </w:pPr>
    </w:p>
    <w:p>
      <w:pPr>
        <w:ind w:left="-443" w:right="40" w:firstLine="443"/>
        <w:spacing w:after="0" w:line="291" w:lineRule="auto"/>
        <w:tabs>
          <w:tab w:leader="none" w:pos="39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the Currency and Foreign Transactions Reporting Act of 1970, as amended,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Anti-Money Laundering Laws is pending or, to the knowledge of the Company, threatened.</w:t>
      </w:r>
    </w:p>
    <w:p>
      <w:pPr>
        <w:sectPr>
          <w:pgSz w:w="11900" w:h="16838" w:orient="portrait"/>
          <w:cols w:equalWidth="0" w:num="1">
            <w:col w:w="10517"/>
          </w:cols>
          <w:pgMar w:left="1143" w:top="274" w:right="239" w:bottom="1440" w:gutter="0" w:footer="0" w:header="0"/>
        </w:sectPr>
      </w:pPr>
    </w:p>
    <w:bookmarkStart w:id="10" w:name="page11"/>
    <w:bookmarkEnd w:id="10"/>
    <w:p>
      <w:pPr>
        <w:ind w:left="-4" w:right="80" w:firstLine="443"/>
        <w:spacing w:after="0" w:line="277" w:lineRule="auto"/>
        <w:tabs>
          <w:tab w:leader="none" w:pos="879"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Neither the Company nor, to the Company’s knowledge, any director, officer, employee, agent, affiliate or representative thereof, is an individual or entity (“</w:t>
      </w:r>
      <w:r>
        <w:rPr>
          <w:rFonts w:ascii="Arial" w:cs="Arial" w:eastAsia="Arial" w:hAnsi="Arial"/>
          <w:sz w:val="18"/>
          <w:szCs w:val="18"/>
          <w:u w:val="single" w:color="auto"/>
          <w:color w:val="auto"/>
        </w:rPr>
        <w:t>Person</w:t>
      </w:r>
      <w:r>
        <w:rPr>
          <w:rFonts w:ascii="Arial" w:cs="Arial" w:eastAsia="Arial" w:hAnsi="Arial"/>
          <w:sz w:val="18"/>
          <w:szCs w:val="18"/>
          <w:color w:val="auto"/>
        </w:rPr>
        <w:t>”) that is, or is owned or controlled by a Person that is:</w:t>
      </w:r>
    </w:p>
    <w:p>
      <w:pPr>
        <w:spacing w:after="0" w:line="75" w:lineRule="exact"/>
        <w:rPr>
          <w:rFonts w:ascii="Arial" w:cs="Arial" w:eastAsia="Arial" w:hAnsi="Arial"/>
          <w:sz w:val="18"/>
          <w:szCs w:val="18"/>
          <w:color w:val="auto"/>
        </w:rPr>
      </w:pPr>
    </w:p>
    <w:p>
      <w:pPr>
        <w:ind w:left="1456" w:right="360" w:hanging="440"/>
        <w:spacing w:after="0" w:line="264" w:lineRule="auto"/>
        <w:tabs>
          <w:tab w:leader="none" w:pos="1456"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the United Nations Security Council (“</w:t>
      </w:r>
      <w:r>
        <w:rPr>
          <w:rFonts w:ascii="Arial" w:cs="Arial" w:eastAsia="Arial" w:hAnsi="Arial"/>
          <w:sz w:val="18"/>
          <w:szCs w:val="18"/>
          <w:u w:val="single" w:color="auto"/>
          <w:color w:val="auto"/>
        </w:rPr>
        <w:t>UNSC</w:t>
      </w:r>
      <w:r>
        <w:rPr>
          <w:rFonts w:ascii="Arial" w:cs="Arial" w:eastAsia="Arial" w:hAnsi="Arial"/>
          <w:sz w:val="18"/>
          <w:szCs w:val="18"/>
          <w:color w:val="auto"/>
        </w:rPr>
        <w:t>”), the European Union (“</w:t>
      </w:r>
      <w:r>
        <w:rPr>
          <w:rFonts w:ascii="Arial" w:cs="Arial" w:eastAsia="Arial" w:hAnsi="Arial"/>
          <w:sz w:val="18"/>
          <w:szCs w:val="18"/>
          <w:u w:val="single" w:color="auto"/>
          <w:color w:val="auto"/>
        </w:rPr>
        <w:t>EU</w:t>
      </w:r>
      <w:r>
        <w:rPr>
          <w:rFonts w:ascii="Arial" w:cs="Arial" w:eastAsia="Arial" w:hAnsi="Arial"/>
          <w:sz w:val="18"/>
          <w:szCs w:val="18"/>
          <w:color w:val="auto"/>
        </w:rPr>
        <w:t>”),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nor</w:t>
      </w:r>
    </w:p>
    <w:p>
      <w:pPr>
        <w:spacing w:after="0" w:line="86" w:lineRule="exact"/>
        <w:rPr>
          <w:rFonts w:ascii="Arial" w:cs="Arial" w:eastAsia="Arial" w:hAnsi="Arial"/>
          <w:sz w:val="18"/>
          <w:szCs w:val="18"/>
          <w:color w:val="auto"/>
        </w:rPr>
      </w:pPr>
    </w:p>
    <w:p>
      <w:pPr>
        <w:ind w:left="1456" w:right="300" w:hanging="440"/>
        <w:spacing w:after="0" w:line="277" w:lineRule="auto"/>
        <w:tabs>
          <w:tab w:leader="none" w:pos="1456" w:val="left"/>
        </w:tabs>
        <w:numPr>
          <w:ilvl w:val="2"/>
          <w:numId w:val="10"/>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Cuba, Iran, North Korea, Sudan and Syria).</w:t>
      </w:r>
    </w:p>
    <w:p>
      <w:pPr>
        <w:spacing w:after="0" w:line="62" w:lineRule="exact"/>
        <w:rPr>
          <w:rFonts w:ascii="Arial" w:cs="Arial" w:eastAsia="Arial" w:hAnsi="Arial"/>
          <w:sz w:val="18"/>
          <w:szCs w:val="18"/>
          <w:color w:val="auto"/>
        </w:rPr>
      </w:pPr>
    </w:p>
    <w:p>
      <w:pPr>
        <w:ind w:left="-4" w:right="380" w:firstLine="881"/>
        <w:spacing w:after="0" w:line="277" w:lineRule="auto"/>
        <w:tabs>
          <w:tab w:leader="none" w:pos="11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75" w:lineRule="exact"/>
        <w:rPr>
          <w:rFonts w:ascii="Arial" w:cs="Arial" w:eastAsia="Arial" w:hAnsi="Arial"/>
          <w:sz w:val="18"/>
          <w:szCs w:val="18"/>
          <w:color w:val="auto"/>
        </w:rPr>
      </w:pPr>
    </w:p>
    <w:p>
      <w:pPr>
        <w:ind w:left="1456" w:hanging="440"/>
        <w:spacing w:after="0" w:line="277" w:lineRule="auto"/>
        <w:tabs>
          <w:tab w:leader="none" w:pos="1456"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75" w:lineRule="exact"/>
        <w:rPr>
          <w:rFonts w:ascii="Arial" w:cs="Arial" w:eastAsia="Arial" w:hAnsi="Arial"/>
          <w:sz w:val="18"/>
          <w:szCs w:val="18"/>
          <w:color w:val="auto"/>
        </w:rPr>
      </w:pPr>
    </w:p>
    <w:p>
      <w:pPr>
        <w:ind w:left="1456" w:right="240" w:hanging="440"/>
        <w:spacing w:after="0" w:line="277" w:lineRule="auto"/>
        <w:tabs>
          <w:tab w:leader="none" w:pos="1456"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4" w:right="80" w:firstLine="881"/>
        <w:spacing w:after="0" w:line="264" w:lineRule="auto"/>
        <w:tabs>
          <w:tab w:leader="none" w:pos="11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the past 5 years, the Company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73" w:lineRule="exact"/>
        <w:rPr>
          <w:sz w:val="20"/>
          <w:szCs w:val="20"/>
          <w:color w:val="auto"/>
        </w:rPr>
      </w:pPr>
    </w:p>
    <w:p>
      <w:pPr>
        <w:ind w:left="-4" w:right="40" w:firstLine="443"/>
        <w:spacing w:after="0" w:line="291" w:lineRule="auto"/>
        <w:tabs>
          <w:tab w:leader="none" w:pos="779" w:val="left"/>
        </w:tabs>
        <w:numPr>
          <w:ilvl w:val="1"/>
          <w:numId w:val="11"/>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General Disclosure Package and the Prospectus, (i) the Company has not incurred any material liability or obligation, direct or contingent, nor entered into any material transaction;</w:t>
      </w:r>
    </w:p>
    <w:p>
      <w:pPr>
        <w:ind w:left="-4" w:right="100" w:firstLine="4"/>
        <w:spacing w:after="0" w:line="292" w:lineRule="auto"/>
        <w:tabs>
          <w:tab w:leader="none" w:pos="26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not purchased any of its outstanding capital stock (other than pursuant to agreements that permit the Company to repurchase Common Stock upon an employee or service provider’s termination of employment or services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short-term debt or long-term debt of the Company, except in each case as described in each of the Registration Statement, the General Disclosure Package and the Prospectus, respectively.</w:t>
      </w:r>
    </w:p>
    <w:p>
      <w:pPr>
        <w:spacing w:after="0" w:line="54" w:lineRule="exact"/>
        <w:rPr>
          <w:rFonts w:ascii="Arial" w:cs="Arial" w:eastAsia="Arial" w:hAnsi="Arial"/>
          <w:sz w:val="16"/>
          <w:szCs w:val="16"/>
          <w:color w:val="auto"/>
        </w:rPr>
      </w:pPr>
    </w:p>
    <w:p>
      <w:pPr>
        <w:ind w:left="-4" w:right="120" w:firstLine="443"/>
        <w:spacing w:after="0" w:line="293" w:lineRule="auto"/>
        <w:tabs>
          <w:tab w:leader="none" w:pos="8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does not own any real property. The Company has good and marketable title to all personal property owned by it that is material to the business of the Company, in each case free and clear of all liens, encumbrances and defects except such as are described in the General Disclosure Package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to the Company’s knowledge, enforceable leases with such exceptions as are not material and do not materially interfere with the use made and proposed to be made of such property and buildings by the Company, in each case except as described in the General Disclosure Package.</w:t>
      </w:r>
    </w:p>
    <w:p>
      <w:pPr>
        <w:sectPr>
          <w:pgSz w:w="11900" w:h="16838" w:orient="portrait"/>
          <w:cols w:equalWidth="0" w:num="1">
            <w:col w:w="10936"/>
          </w:cols>
          <w:pgMar w:left="704" w:top="274" w:right="259" w:bottom="1440" w:gutter="0" w:footer="0" w:header="0"/>
        </w:sectPr>
      </w:pPr>
    </w:p>
    <w:bookmarkStart w:id="11" w:name="page12"/>
    <w:bookmarkEnd w:id="11"/>
    <w:p>
      <w:pPr>
        <w:ind w:left="-443" w:right="40" w:firstLine="443"/>
        <w:spacing w:after="0" w:line="286"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owns or possesses, or can acquire on commercially reasonable terms, valid and enforceable rights to use all material patents, patent rights, licenses, inventions, copyrights, know-how (including trade secrets and other unpatented and/or unpatentable proprietary or confidential information, systems or procedures), software, databases, domain names, trademarks, service marks, trade names, and other intellectual property and similar rights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reasonably necessary for the conduct of its business as currently conducted or as currently proposed to be conducted. Except as described in the General Disclosure Package, (i) the Company has not received any notice of infringement of or conflict with asserted rights of others with respect to any of the foregoing and (ii) to the Company’s knowledge, the conduct of the Company’s business as currently conducted does not, and the Company’s business as currently proposed to be conducted would not reasonably be expected to, infringe, misappropriate or otherwise violate any such rights of others, which in either case, singly or in the aggregate, if the subject of an unfavorable decision, ruling or finding, would reasonably be expected to have a material adverse effect on the Company. The Company has taken reasonable steps to protect, maintain and safeguard the Intellectual Property owned by or, to the extent the Company has rights to do so, licensed to the Company, including, without limitation, the execution of appropriate nondisclosure and invention assignment agreements. There are no rights of third parties to any of the Intellectual Property owned by the Company, and there is no infringement by third parties of any Intellectual Property owned by or, to the Company’s knowledge, licensed to the Company, except as would not reasonably be expected to have a material adverse effect on the Company. There is no pending or to the Company’s knowledge threatened action, suit, proceeding or claim by others challenging the Company’s rights in or to any Intellectual Property, and the Company is unaware of any facts which could form a reasonable basis for any such action, suit, proceeding or claim.</w:t>
      </w:r>
    </w:p>
    <w:p>
      <w:pPr>
        <w:spacing w:after="0" w:line="60" w:lineRule="exact"/>
        <w:rPr>
          <w:rFonts w:ascii="Arial" w:cs="Arial" w:eastAsia="Arial" w:hAnsi="Arial"/>
          <w:sz w:val="16"/>
          <w:szCs w:val="16"/>
          <w:color w:val="auto"/>
        </w:rPr>
      </w:pPr>
    </w:p>
    <w:p>
      <w:pPr>
        <w:ind w:left="-443" w:right="80" w:firstLine="443"/>
        <w:spacing w:after="0" w:line="259"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exists, except as described in the General Disclosure Package, or, to the knowledge of the Company, is imminent; and the Company is not aware of any existing, threatened or imminent labor disturbance by the employees of any of its principal suppliers, manufacturers or contractors (including, without limitation, Thyroid Cytopathology Partners, P.A. (“</w:t>
      </w:r>
      <w:r>
        <w:rPr>
          <w:rFonts w:ascii="Arial" w:cs="Arial" w:eastAsia="Arial" w:hAnsi="Arial"/>
          <w:sz w:val="18"/>
          <w:szCs w:val="18"/>
          <w:u w:val="single" w:color="auto"/>
          <w:color w:val="auto"/>
        </w:rPr>
        <w:t>TCP</w:t>
      </w:r>
      <w:r>
        <w:rPr>
          <w:rFonts w:ascii="Arial" w:cs="Arial" w:eastAsia="Arial" w:hAnsi="Arial"/>
          <w:sz w:val="18"/>
          <w:szCs w:val="18"/>
          <w:color w:val="auto"/>
        </w:rPr>
        <w:t>”)) that would reasonably be expected to have a material adverse effect on the Company.</w:t>
      </w:r>
    </w:p>
    <w:p>
      <w:pPr>
        <w:spacing w:after="0" w:line="78" w:lineRule="exact"/>
        <w:rPr>
          <w:rFonts w:ascii="Arial" w:cs="Arial" w:eastAsia="Arial" w:hAnsi="Arial"/>
          <w:sz w:val="18"/>
          <w:szCs w:val="18"/>
          <w:color w:val="auto"/>
        </w:rPr>
      </w:pPr>
    </w:p>
    <w:p>
      <w:pPr>
        <w:jc w:val="both"/>
        <w:ind w:left="-443" w:firstLine="443"/>
        <w:spacing w:after="0" w:line="276"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is insured by insurers of recognized financial responsibility against such losses and risks and in such amounts as are, in the reasonable judgment of the Company, prudent and customary in the business in which it is engaged; the Company has not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except as described in the General Disclosure Package.</w:t>
      </w:r>
    </w:p>
    <w:p>
      <w:pPr>
        <w:spacing w:after="0" w:line="64" w:lineRule="exact"/>
        <w:rPr>
          <w:rFonts w:ascii="Arial" w:cs="Arial" w:eastAsia="Arial" w:hAnsi="Arial"/>
          <w:sz w:val="17"/>
          <w:szCs w:val="17"/>
          <w:color w:val="auto"/>
        </w:rPr>
      </w:pPr>
    </w:p>
    <w:p>
      <w:pPr>
        <w:ind w:left="-443" w:right="60" w:firstLine="443"/>
        <w:spacing w:after="0" w:line="257" w:lineRule="auto"/>
        <w:tabs>
          <w:tab w:leader="none" w:pos="4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possesses and, to the knowledge of the Company, TCP possesses all licenses, certificates, authorizations, registrations, clearances, approvals, exemptions, certifications, accreditations, provider or supplier numbers and permits (“</w:t>
      </w:r>
      <w:r>
        <w:rPr>
          <w:rFonts w:ascii="Arial" w:cs="Arial" w:eastAsia="Arial" w:hAnsi="Arial"/>
          <w:sz w:val="18"/>
          <w:szCs w:val="18"/>
          <w:u w:val="single" w:color="auto"/>
          <w:color w:val="auto"/>
        </w:rPr>
        <w:t>Permits</w:t>
      </w:r>
      <w:r>
        <w:rPr>
          <w:rFonts w:ascii="Arial" w:cs="Arial" w:eastAsia="Arial" w:hAnsi="Arial"/>
          <w:sz w:val="18"/>
          <w:szCs w:val="18"/>
          <w:color w:val="auto"/>
        </w:rPr>
        <w:t>”) issued by the appropriate federal, state or foreign governmental or regulatory authorities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necessary to conduct its business, including, without limitation, all such Permits required by any Regulatory Authority, except where the failure to obtain such Permits would not, singly or in the aggregate, be reasonably expected to have a material adverse effect on the</w:t>
      </w:r>
    </w:p>
    <w:p>
      <w:pPr>
        <w:sectPr>
          <w:pgSz w:w="11900" w:h="16838" w:orient="portrait"/>
          <w:cols w:equalWidth="0" w:num="1">
            <w:col w:w="10517"/>
          </w:cols>
          <w:pgMar w:left="1143" w:top="274" w:right="239" w:bottom="1440" w:gutter="0" w:footer="0" w:header="0"/>
        </w:sectPr>
      </w:pPr>
    </w:p>
    <w:bookmarkStart w:id="12" w:name="page13"/>
    <w:bookmarkEnd w:id="1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the Company and, to the knowledge of the Company, TCP, have not received any notice of proceedings relating to the revocation, suspension, limitation or modification of any such Permit nor does the Company have any reason to believe that any such Permit will not be renewed in the future, which, singly or in the aggregate, if the subject of an unfavorable decision, ruling or finding, would reasonably be expected to have a material adverse effect on the Company, except as described in the General Disclosure Package.</w:t>
      </w:r>
    </w:p>
    <w:p>
      <w:pPr>
        <w:spacing w:after="0" w:line="63" w:lineRule="exact"/>
        <w:rPr>
          <w:sz w:val="20"/>
          <w:szCs w:val="20"/>
          <w:color w:val="auto"/>
        </w:rPr>
      </w:pPr>
    </w:p>
    <w:p>
      <w:pPr>
        <w:ind w:right="60" w:firstLine="443"/>
        <w:spacing w:after="0" w:line="286" w:lineRule="auto"/>
        <w:tabs>
          <w:tab w:leader="none" w:pos="9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financial statements included or incorporated by reference in the Registration Statement, the General Disclosure Package and the Prospectus, together with the related schedules and notes, comply as to form in all material respects with Regulation S-X under the 1933 Act and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except as may be set forth in the related notes included or incorporated by reference in the General Disclosure Package or in the case of unaudited, interim financial statements, subject to the normal year-end adjustments and the exclusion of certain footnotes. The supporting schedules, if any, present fairly, in all material respects, in accordance with GAAP the information required to be stated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All disclosures contained in the Registration Statement, the General Disclosure Package or the Prospectus, or incorporated by reference therein, regarding “non-GAAP financial measures” (as such term is defined by the rules and regulations of the Commission) comply with Regulation G of the 1934 Act, and Item 10 of Regulation S-K, to the extent applicable.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3" w:lineRule="exact"/>
        <w:rPr>
          <w:rFonts w:ascii="Arial" w:cs="Arial" w:eastAsia="Arial" w:hAnsi="Arial"/>
          <w:sz w:val="16"/>
          <w:szCs w:val="16"/>
          <w:color w:val="auto"/>
        </w:rPr>
      </w:pPr>
    </w:p>
    <w:p>
      <w:pPr>
        <w:ind w:right="80" w:firstLine="443"/>
        <w:spacing w:after="0" w:line="270" w:lineRule="auto"/>
        <w:tabs>
          <w:tab w:leader="none" w:pos="97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is accurate. Except as described in the Registration Statement, the General Disclosure Package or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73" w:lineRule="exact"/>
        <w:rPr>
          <w:rFonts w:ascii="Arial" w:cs="Arial" w:eastAsia="Arial" w:hAnsi="Arial"/>
          <w:sz w:val="17"/>
          <w:szCs w:val="17"/>
          <w:color w:val="auto"/>
        </w:rPr>
      </w:pPr>
    </w:p>
    <w:p>
      <w:pPr>
        <w:ind w:right="200" w:firstLine="443"/>
        <w:spacing w:after="0" w:line="259" w:lineRule="auto"/>
        <w:tabs>
          <w:tab w:leader="none" w:pos="10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General Disclosure Package, the Company has not sold, issued or distributed any shares of Common Stock during the six-month period preceding the date hereof, including any sales pursuant to Rule 144A under, or Regulation D or S of, the 1933 Act, other than shares issued pursuant to employee benefit plans, stock option plans or other employee compensation plans or pursuant to outstanding options, rights or warrants.</w:t>
      </w:r>
    </w:p>
    <w:p>
      <w:pPr>
        <w:sectPr>
          <w:pgSz w:w="11900" w:h="16838" w:orient="portrait"/>
          <w:cols w:equalWidth="0" w:num="1">
            <w:col w:w="10940"/>
          </w:cols>
          <w:pgMar w:left="700" w:top="274" w:right="259" w:bottom="1440" w:gutter="0" w:footer="0" w:header="0"/>
        </w:sectPr>
      </w:pPr>
    </w:p>
    <w:bookmarkStart w:id="13" w:name="page14"/>
    <w:bookmarkEnd w:id="13"/>
    <w:p>
      <w:pPr>
        <w:ind w:left="-443" w:right="40" w:firstLine="443"/>
        <w:spacing w:after="0" w:line="291"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all federal, state, local and foreign tax returns required to be filed through the date of this Agreement or has requested extensions thereof (except where the failure to file would not, individually or in the aggregate, be reasonably expected to have a material adverse effect on the Company) and have paid all taxes required to be paid thereon (except for cases in which the failure to pay would not be reasonably expected to have a material adverse effect on the Company or except as are currently being contested in good faith and for which reserves required by GAAP have been created in the financial statements of the Company), and no unpaid tax deficiency has been determined adversely to the Company which has had (nor does the Company have any notice or knowledge of any unpaid tax deficiency which could reasonably be expected to be determined adversely to the Company and which would reasonably be expected to have) a material adverse effect on the Company.</w:t>
      </w:r>
    </w:p>
    <w:p>
      <w:pPr>
        <w:spacing w:after="0" w:line="59" w:lineRule="exact"/>
        <w:rPr>
          <w:rFonts w:ascii="Arial" w:cs="Arial" w:eastAsia="Arial" w:hAnsi="Arial"/>
          <w:sz w:val="16"/>
          <w:szCs w:val="16"/>
          <w:color w:val="auto"/>
        </w:rPr>
      </w:pPr>
    </w:p>
    <w:p>
      <w:pPr>
        <w:ind w:left="437" w:hanging="437"/>
        <w:spacing w:after="0"/>
        <w:tabs>
          <w:tab w:leader="none" w:pos="43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is an “emerging growth company,” as defined in Section 2(a) of the 1933 Act (an “</w:t>
      </w:r>
      <w:r>
        <w:rPr>
          <w:rFonts w:ascii="Arial" w:cs="Arial" w:eastAsia="Arial" w:hAnsi="Arial"/>
          <w:sz w:val="17"/>
          <w:szCs w:val="17"/>
          <w:u w:val="single" w:color="auto"/>
          <w:color w:val="auto"/>
        </w:rPr>
        <w:t>Emerging Growth Company</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3" w:right="260" w:firstLine="443"/>
        <w:spacing w:after="0" w:line="302"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the time of each sale of the Securities in connection with the offering when the Prospectus is not yet available to prospective purchasers, none of (A) the General Disclosure Package and (B) any free writing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46" w:lineRule="exact"/>
        <w:rPr>
          <w:rFonts w:ascii="Arial" w:cs="Arial" w:eastAsia="Arial" w:hAnsi="Arial"/>
          <w:sz w:val="16"/>
          <w:szCs w:val="16"/>
          <w:color w:val="auto"/>
        </w:rPr>
      </w:pPr>
    </w:p>
    <w:p>
      <w:pPr>
        <w:ind w:left="-443" w:firstLine="443"/>
        <w:spacing w:after="0" w:line="285" w:lineRule="auto"/>
        <w:tabs>
          <w:tab w:leader="none" w:pos="5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and, to the knowledge of the Company, TCP, have operated and currently are in material compliance with all applicable health care laws, including, without limitation, the federal Anti-Kickback Statute (42 U.S.C. § 1320a-7b(b)), the Physician Payments Sunshine Act (42 U.S.C. § 1320a-7h), the Civil Monetary Penalties Law (42 U.S.C. § 1320a-7a), the civil False Claims Act (31 U.S.C. §§ 3729 et seq.), the criminal False Claims Law (42 U.S.C. § 1320a-7b(a)), the Stark Law (42 U.S.C. § 1395nn), all applicable criminal laws relating to healthcare fraud and abuse, including but not limited to 18 U.S.C. sections 286 and 287, the healthcare fraud criminal provisions under the U.S. Health Insurance Portability and Accountability Act of 1996 (“</w:t>
      </w:r>
      <w:r>
        <w:rPr>
          <w:rFonts w:ascii="Arial" w:cs="Arial" w:eastAsia="Arial" w:hAnsi="Arial"/>
          <w:sz w:val="16"/>
          <w:szCs w:val="16"/>
          <w:u w:val="single" w:color="auto"/>
          <w:color w:val="auto"/>
        </w:rPr>
        <w:t>HIPAA</w:t>
      </w:r>
      <w:r>
        <w:rPr>
          <w:rFonts w:ascii="Arial" w:cs="Arial" w:eastAsia="Arial" w:hAnsi="Arial"/>
          <w:sz w:val="16"/>
          <w:szCs w:val="16"/>
          <w:color w:val="auto"/>
        </w:rPr>
        <w:t>”) (42 U.S.C. §§ 1320d et seq.), HIPAA, as amended by the Health Information Technology for Economic and Clinical Health Act (42 U.S.C. §§ 17921 et seq.), the exclusion laws (42 U.S.C. § 1320a-7), the Federal Food, Drug, and Cosmetic Act (21 U.S.C. §§ 301 et seq.), Medicare (Title XVIII of the Social Security Act), Medicaid (Title XIX of the Social Security Act), the Clinical Laboratory Improvement Amendments of 1998 (42 U.S.C. § 263a et seq.), and any other applicable similar local, state or federal laws or other applicable laws of federal, state and foreign governmental agencies or bodies engaged in regulation of clinical laboratories, and the applicable regulations promulgated pursuant to all such laws, each as amended from time to time (“</w:t>
      </w:r>
      <w:r>
        <w:rPr>
          <w:rFonts w:ascii="Arial" w:cs="Arial" w:eastAsia="Arial" w:hAnsi="Arial"/>
          <w:sz w:val="16"/>
          <w:szCs w:val="16"/>
          <w:u w:val="single" w:color="auto"/>
          <w:color w:val="auto"/>
        </w:rPr>
        <w:t>Health Care Laws</w:t>
      </w:r>
      <w:r>
        <w:rPr>
          <w:rFonts w:ascii="Arial" w:cs="Arial" w:eastAsia="Arial" w:hAnsi="Arial"/>
          <w:sz w:val="16"/>
          <w:szCs w:val="16"/>
          <w:color w:val="auto"/>
        </w:rPr>
        <w:t>”). To the knowledge of the Company, neither the Company nor any of its officers, directors, employees or agents has engaged in activities which are, as applicable, cause for false claims liability, civil penalties, or mandatory or permissive exclusion from Medicare, Medicaid, or any other state or federal healthcare program (collectively, the “Programs”). Neither the Company nor, to the knowledge of the Company, TCP, has received any notice, correspondence or other communication, including notification of any pending or threatened claim, action, suit, audit, survey, proceeding, hearing, enforcement, investigation, arbitration or other action (“Action”) from any Regulatory Authority, of potential or actual non-compliance by, or liability of, the Company or TCP under any Health Care Laws, including, without limitation, FDA Form 483s, Warning Letters, untitled letters, or similar written correspondence from the FDA. To the knowledge of the Company, there are no facts or circumstances that would reasonably be expected to give rise to material liability of the Company under any Health Care Laws. The Company is not party to or has any ongoing reporting obligations pursuant to any corporate integrity agreement, deferred prosecution agreement,</w:t>
      </w:r>
    </w:p>
    <w:p>
      <w:pPr>
        <w:sectPr>
          <w:pgSz w:w="11900" w:h="16838" w:orient="portrait"/>
          <w:cols w:equalWidth="0" w:num="1">
            <w:col w:w="10457"/>
          </w:cols>
          <w:pgMar w:left="1143" w:top="274" w:right="299" w:bottom="1440" w:gutter="0" w:footer="0" w:header="0"/>
        </w:sectPr>
      </w:pPr>
    </w:p>
    <w:bookmarkStart w:id="14" w:name="page15"/>
    <w:bookmarkEnd w:id="14"/>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monitoring agreement, consent decree, settlement order, plan of correction or similar agreement imposed by any Regulatory Authority. None of the Company or, to the knowledge of the Company, TCP, or the Company’s employees, officers or directors, or, to the knowledge of the Company, TCP’s employees, officers or directors, has been excluded, suspended or debarred from participation in any Program or, to the knowledge of the Company, is subject to a governmental inquiry, investigation, proceeding, or other similar action that could reasonably be expected to result in debarment, suspension, or exclusion.</w:t>
      </w:r>
    </w:p>
    <w:p>
      <w:pPr>
        <w:spacing w:after="0" w:line="80" w:lineRule="exact"/>
        <w:rPr>
          <w:sz w:val="20"/>
          <w:szCs w:val="20"/>
          <w:color w:val="auto"/>
        </w:rPr>
      </w:pPr>
    </w:p>
    <w:p>
      <w:pPr>
        <w:ind w:firstLine="443"/>
        <w:spacing w:after="0" w:line="270" w:lineRule="auto"/>
        <w:tabs>
          <w:tab w:leader="none" w:pos="102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has not received, and is not aware of, any notice from any Regulatory Authority requiring the termination, suspension, clinical hold or material modification of any tests, studies or trials conducted by or on behalf of the Company or in which the Company’s products have participated. The clinical studies and tests and clinical trials conducted by on behalf of the Company or in which the Company’s products participated were and are being conducted in all material respects in accordance with experimental protocols, procedures and controls pursuant to any applicable professional and scientific standards for products and product candidates comparable to those being developed by the Company and all applicable laws, rules, and regulations, and the description of such studies, tests or trials, and the results thereof included in the General Disclosure Package and the Prospectus are accurate and complete in all material respects. The Company is not aware of any tests, studies or trials not described in the General Disclosure Package and the Prospectus, the results of which reasonably call into question the results of the tests, studies and trials described in the General Disclosure Package and the Prospectus.</w:t>
      </w:r>
    </w:p>
    <w:p>
      <w:pPr>
        <w:spacing w:after="0" w:line="73" w:lineRule="exact"/>
        <w:rPr>
          <w:rFonts w:ascii="Arial" w:cs="Arial" w:eastAsia="Arial" w:hAnsi="Arial"/>
          <w:sz w:val="17"/>
          <w:szCs w:val="17"/>
          <w:color w:val="auto"/>
        </w:rPr>
      </w:pPr>
    </w:p>
    <w:p>
      <w:pPr>
        <w:ind w:right="20" w:firstLine="443"/>
        <w:spacing w:after="0" w:line="254" w:lineRule="auto"/>
        <w:tabs>
          <w:tab w:leader="none" w:pos="1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meets all Program requirements and conditions of participation and is a party to valid participation or other agreements required for payment by such Programs and other third-party payor programs. There are no material suspensions, offsets or recoupments of any Program or third-party payor payments being sought, requested or claimed, or to the Company’s knowledge, threatened against the Company. As of the date of this Agreement, the Company has not received any notice of denial of payment or overpayment from any Program or other third-party payor that would, individually or in the aggregate, reasonably be expected to have a material adverse effect on the Company. There is no Action pending or, to the knowledge of the Company, threatened, against the Company which relates to a violation of any applicable legal requirement pertaining to the Programs or which would reasonably be expected to result in the imposition of material penalties, termination or the exclusion of the Company from participation in any Programs.</w:t>
      </w:r>
    </w:p>
    <w:p>
      <w:pPr>
        <w:spacing w:after="0" w:line="84" w:lineRule="exact"/>
        <w:rPr>
          <w:rFonts w:ascii="Arial" w:cs="Arial" w:eastAsia="Arial" w:hAnsi="Arial"/>
          <w:sz w:val="18"/>
          <w:szCs w:val="18"/>
          <w:color w:val="auto"/>
        </w:rPr>
      </w:pPr>
    </w:p>
    <w:p>
      <w:pPr>
        <w:ind w:right="20" w:firstLine="443"/>
        <w:spacing w:after="0" w:line="273" w:lineRule="auto"/>
        <w:tabs>
          <w:tab w:leader="none" w:pos="96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has complied, and is presently in compliance with its privacy policies regarding the collection, use, transfer, storage, protection, disposal and disclosure by the Company of personally identifiable information. The Company has taken commercially reasonable steps to protect its information technology systems and the data used in the operation of its business. The Company has used commercially reasonable efforts to establish, and has established, commercially reasonable disaster recovery and security plans and procedures for its business, including, without limitation, for its information technology systems. To its knowledge, the Company has not experienced a security breach or other compromise of its information technology systems or data requiring notice to any third party under applicable state or federal law.</w:t>
      </w:r>
    </w:p>
    <w:p>
      <w:pPr>
        <w:spacing w:after="0" w:line="70" w:lineRule="exact"/>
        <w:rPr>
          <w:rFonts w:ascii="Arial" w:cs="Arial" w:eastAsia="Arial" w:hAnsi="Arial"/>
          <w:sz w:val="17"/>
          <w:szCs w:val="17"/>
          <w:color w:val="auto"/>
        </w:rPr>
      </w:pPr>
    </w:p>
    <w:p>
      <w:pPr>
        <w:ind w:right="300" w:firstLine="443"/>
        <w:spacing w:after="0" w:line="255" w:lineRule="auto"/>
        <w:tabs>
          <w:tab w:leader="none" w:pos="10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required under applicable rules, the Company maintains an effective system of disclosure controls and procedures (as defined in Rule 13a-15 under the 1934 Act and the 1934 Act Regulations), that comply with the requirements of the 1934 Act and the 1934 Act Regulations; such disclosure controls and procedures have been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and such disclosure controls and procedures are effective in all material respects.</w:t>
      </w:r>
    </w:p>
    <w:p>
      <w:pPr>
        <w:sectPr>
          <w:pgSz w:w="11900" w:h="16838" w:orient="portrait"/>
          <w:cols w:equalWidth="0" w:num="1">
            <w:col w:w="10940"/>
          </w:cols>
          <w:pgMar w:left="700" w:top="274" w:right="259" w:bottom="1440" w:gutter="0" w:footer="0" w:header="0"/>
        </w:sectPr>
      </w:pPr>
    </w:p>
    <w:bookmarkStart w:id="15" w:name="page16"/>
    <w:bookmarkEnd w:id="15"/>
    <w:p>
      <w:pPr>
        <w:ind w:right="20" w:firstLine="443"/>
        <w:spacing w:after="0" w:line="302" w:lineRule="auto"/>
        <w:tabs>
          <w:tab w:leader="none" w:pos="1063"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and has been no failure on the part of the Company, and to the Company’s knowledge, any of the Company’s directors or officers, in their capacities as such, to comply in all material respects with the provisions of the Sarbanes-Oxley Act of 2002 and the rules and regulations promulgated in connection therewith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currently applicable to it, and the Company is taking steps to ensure that it will be in compliance with the provisions of the Sarbanes-Oxley Act that are, or will become, applicable to the Company after the date hereof.</w:t>
      </w:r>
    </w:p>
    <w:p>
      <w:pPr>
        <w:spacing w:after="0" w:line="46" w:lineRule="exact"/>
        <w:rPr>
          <w:rFonts w:ascii="Arial" w:cs="Arial" w:eastAsia="Arial" w:hAnsi="Arial"/>
          <w:sz w:val="16"/>
          <w:szCs w:val="16"/>
          <w:color w:val="auto"/>
        </w:rPr>
      </w:pPr>
    </w:p>
    <w:p>
      <w:pPr>
        <w:ind w:firstLine="443"/>
        <w:spacing w:after="0" w:line="259" w:lineRule="auto"/>
        <w:tabs>
          <w:tab w:leader="none" w:pos="11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statements of the Company filed with the Commission as part of the Registration Statement and included in each of the General Disclosure Package and the Prospectus present fairly the financial position of the Company as of the dates indicated therein and the results of its operations and cash flows for the periods specified therein. Such financial statements have been prepared in conformity with GAAP and applied on a consistent basis throughout the periods involved.</w:t>
      </w:r>
    </w:p>
    <w:p>
      <w:pPr>
        <w:spacing w:after="0" w:line="78" w:lineRule="exact"/>
        <w:rPr>
          <w:rFonts w:ascii="Arial" w:cs="Arial" w:eastAsia="Arial" w:hAnsi="Arial"/>
          <w:sz w:val="18"/>
          <w:szCs w:val="18"/>
          <w:color w:val="auto"/>
        </w:rPr>
      </w:pPr>
    </w:p>
    <w:p>
      <w:pPr>
        <w:ind w:right="120" w:firstLine="443"/>
        <w:spacing w:after="0" w:line="264" w:lineRule="auto"/>
        <w:tabs>
          <w:tab w:leader="none" w:pos="10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statistical, industry related and market related data included in the Registration Statement, the General Disclosure Package and the Prospectus are based on or derived from sources which the Company reasonably and in good faith believes are reliable and are accurate, and such data is consistent with the sources from which they are derived.</w:t>
      </w:r>
    </w:p>
    <w:p>
      <w:pPr>
        <w:spacing w:after="0" w:line="73" w:lineRule="exact"/>
        <w:rPr>
          <w:sz w:val="20"/>
          <w:szCs w:val="20"/>
          <w:color w:val="auto"/>
        </w:rPr>
      </w:pPr>
    </w:p>
    <w:p>
      <w:pPr>
        <w:ind w:right="80" w:firstLine="438"/>
        <w:spacing w:after="0" w:line="308" w:lineRule="auto"/>
        <w:rPr>
          <w:sz w:val="20"/>
          <w:szCs w:val="20"/>
          <w:color w:val="auto"/>
        </w:rPr>
      </w:pPr>
      <w:r>
        <w:rPr>
          <w:rFonts w:ascii="Arial" w:cs="Arial" w:eastAsia="Arial" w:hAnsi="Arial"/>
          <w:sz w:val="17"/>
          <w:szCs w:val="17"/>
          <w:color w:val="auto"/>
        </w:rPr>
        <w:t>(xl)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(xli) The Securities have been approved for listing, subject to notice of issuance, on The Nasdaq Global Market.</w:t>
      </w:r>
    </w:p>
    <w:p>
      <w:pPr>
        <w:spacing w:after="0" w:line="117"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(xlii) Neither the Company nor, to the Company’s knowledge, any affiliate of the Company has taken, nor will the Company or, to the Company’s knowledge, any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79" w:lineRule="exact"/>
        <w:rPr>
          <w:sz w:val="20"/>
          <w:szCs w:val="20"/>
          <w:color w:val="auto"/>
        </w:rPr>
      </w:pPr>
    </w:p>
    <w:p>
      <w:pPr>
        <w:ind w:right="240" w:firstLine="438"/>
        <w:spacing w:after="0" w:line="264" w:lineRule="auto"/>
        <w:rPr>
          <w:sz w:val="20"/>
          <w:szCs w:val="20"/>
          <w:color w:val="auto"/>
        </w:rPr>
      </w:pPr>
      <w:r>
        <w:rPr>
          <w:rFonts w:ascii="Arial" w:cs="Arial" w:eastAsia="Arial" w:hAnsi="Arial"/>
          <w:sz w:val="18"/>
          <w:szCs w:val="18"/>
          <w:color w:val="auto"/>
        </w:rPr>
        <w:t>(xliii) Except as disclosed in the Registration Statement, the General Disclosure Package and the Prospectus, the Company (i) does not have any material lending or other relationship with any banking or lending affiliate of any Underwriter and (ii) does not intend to use any of the proceeds from the sale of the Securities to repay any outstanding debt owed to any affiliate of any Underwriter.</w:t>
      </w:r>
    </w:p>
    <w:p>
      <w:pPr>
        <w:spacing w:after="0" w:line="73"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(xliv) Except as disclosed in the General Disclosure Package, there are no contracts, agreements or understandings between the Company and any person that would give rise to a valid claim against the Company or any Underwriter for a brokerage commission, finder’s fee or other like payment in connection with the offering of the Securities contemplated hereby.</w:t>
      </w:r>
    </w:p>
    <w:p>
      <w:pPr>
        <w:spacing w:after="0" w:line="73" w:lineRule="exact"/>
        <w:rPr>
          <w:sz w:val="20"/>
          <w:szCs w:val="20"/>
          <w:color w:val="auto"/>
        </w:rPr>
      </w:pPr>
    </w:p>
    <w:p>
      <w:pPr>
        <w:ind w:left="-460" w:right="40" w:firstLine="464"/>
        <w:spacing w:after="0" w:line="277" w:lineRule="auto"/>
        <w:tabs>
          <w:tab w:leader="none" w:pos="251"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delivered to the Representatives or to counsel for the Underwriters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deemed a representation and warranty by the Company to each Underwriter as to the matters covered thereby.</w:t>
      </w:r>
    </w:p>
    <w:p>
      <w:pPr>
        <w:sectPr>
          <w:pgSz w:w="11900" w:h="16838" w:orient="portrait"/>
          <w:cols w:equalWidth="0" w:num="1">
            <w:col w:w="10960"/>
          </w:cols>
          <w:pgMar w:left="700" w:top="274"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117" w:lineRule="exact"/>
        <w:rPr>
          <w:sz w:val="20"/>
          <w:szCs w:val="20"/>
          <w:color w:val="auto"/>
        </w:rPr>
      </w:pPr>
    </w:p>
    <w:p>
      <w:pPr>
        <w:ind w:right="80" w:firstLine="464"/>
        <w:spacing w:after="0" w:line="255"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 forth,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agrees to sell to each Underwriter, severally and not jointly, and each Underwriter, severally and not jointly, agrees to purchase from the Company, at the price per share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that number of Initial Securities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85" w:lineRule="exact"/>
        <w:rPr>
          <w:rFonts w:ascii="Arial" w:cs="Arial" w:eastAsia="Arial" w:hAnsi="Arial"/>
          <w:sz w:val="18"/>
          <w:szCs w:val="18"/>
          <w:color w:val="auto"/>
        </w:rPr>
      </w:pPr>
    </w:p>
    <w:p>
      <w:pPr>
        <w:ind w:firstLine="464"/>
        <w:spacing w:after="0" w:line="269" w:lineRule="auto"/>
        <w:tabs>
          <w:tab w:leader="none" w:pos="711"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Option Securities</w:t>
      </w:r>
      <w:r>
        <w:rPr>
          <w:rFonts w:ascii="Arial" w:cs="Arial" w:eastAsia="Arial" w:hAnsi="Arial"/>
          <w:sz w:val="17"/>
          <w:szCs w:val="17"/>
          <w:color w:val="auto"/>
        </w:rPr>
        <w:t>. In addition, 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forth, the Company hereby grants an option to the Underwriters, severally and not jointly, to purchase up to an additional 750,000 shares of Common Stock, at the price per share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Arial" w:cs="Arial" w:eastAsia="Arial" w:hAnsi="Arial"/>
          <w:sz w:val="17"/>
          <w:szCs w:val="17"/>
          <w:u w:val="single" w:color="auto"/>
          <w:color w:val="auto"/>
        </w:rPr>
        <w:t>Date of Delivery</w:t>
      </w:r>
      <w:r>
        <w:rPr>
          <w:rFonts w:ascii="Arial" w:cs="Arial" w:eastAsia="Arial" w:hAnsi="Arial"/>
          <w:sz w:val="17"/>
          <w:szCs w:val="17"/>
          <w:color w:val="auto"/>
        </w:rPr>
        <w:t xml:space="preserve">”) shall be determined by the Representatives, but any Date of Delivery after the Closing Time shall not be later than seven full business days nor earlier than two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71" w:lineRule="exact"/>
        <w:rPr>
          <w:rFonts w:ascii="Arial" w:cs="Arial" w:eastAsia="Arial" w:hAnsi="Arial"/>
          <w:sz w:val="17"/>
          <w:szCs w:val="17"/>
          <w:color w:val="auto"/>
        </w:rPr>
      </w:pPr>
    </w:p>
    <w:p>
      <w:pPr>
        <w:ind w:firstLine="464"/>
        <w:spacing w:after="0" w:line="255"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or electronic records for, the Initial Securities shall be made at the offices of</w:t>
      </w:r>
      <w:r>
        <w:rPr>
          <w:rFonts w:ascii="Arial" w:cs="Arial" w:eastAsia="Arial" w:hAnsi="Arial"/>
          <w:sz w:val="18"/>
          <w:szCs w:val="18"/>
          <w:i w:val="1"/>
          <w:iCs w:val="1"/>
          <w:color w:val="auto"/>
        </w:rPr>
        <w:t xml:space="preserve"> </w:t>
      </w:r>
      <w:r>
        <w:rPr>
          <w:rFonts w:ascii="Arial" w:cs="Arial" w:eastAsia="Arial" w:hAnsi="Arial"/>
          <w:sz w:val="18"/>
          <w:szCs w:val="18"/>
          <w:color w:val="auto"/>
        </w:rPr>
        <w:t>Latham &amp; Watkins LLP, 12670 High Bluff Drive, San Diego, CA 92130, or at such other place as shall be agreed upon by the Representatives and the Company, at 10:00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w:t>
      </w:r>
      <w:r>
        <w:rPr>
          <w:rFonts w:ascii="Arial" w:cs="Arial" w:eastAsia="Arial" w:hAnsi="Arial"/>
          <w:sz w:val="18"/>
          <w:szCs w:val="18"/>
          <w:u w:val="single" w:color="auto"/>
          <w:color w:val="auto"/>
        </w:rPr>
        <w:t>Closing Time</w:t>
      </w:r>
      <w:r>
        <w:rPr>
          <w:rFonts w:ascii="Arial" w:cs="Arial" w:eastAsia="Arial" w:hAnsi="Arial"/>
          <w:sz w:val="18"/>
          <w:szCs w:val="18"/>
          <w:color w:val="auto"/>
        </w:rPr>
        <w:t>”). Delivery of the Initial Securities at the Closing Time shall be made through the facilities of The Depository Trust Company unless the Representatives shall otherwise instruct.</w:t>
      </w:r>
    </w:p>
    <w:p>
      <w:pPr>
        <w:spacing w:after="0" w:line="18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and delivery of certificates or electronic records for, such Option Securities shall be made at the above-mentioned offices, or at such other place as shall be agreed upon by the Representatives and the Company, on each Date of Delivery as specified in the notice from the Representatives to the Company. Delivery of the Option Securities on each such Date of Delivery shall be made through the facilities of The Depository Trust Company unless the Representatives shall otherwise instruct.</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Payment shall be made to the Company by wire transfer of immediately available funds to a bank account designated by the Company against delivery to the Representatives for the respective accounts of the Underwriters of certificates or electronic records for the Securities to be purchased by them. It is understood that each Underwriter has authorized the Representatives, for their accounts, to accept delivery</w:t>
      </w:r>
    </w:p>
    <w:p>
      <w:pPr>
        <w:sectPr>
          <w:pgSz w:w="11900" w:h="16838" w:orient="portrait"/>
          <w:cols w:equalWidth="0" w:num="1">
            <w:col w:w="11400"/>
          </w:cols>
          <w:pgMar w:left="240" w:top="274" w:right="259" w:bottom="1440" w:gutter="0" w:footer="0" w:header="0"/>
        </w:sectPr>
      </w:pPr>
    </w:p>
    <w:bookmarkStart w:id="17" w:name="page18"/>
    <w:bookmarkEnd w:id="17"/>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receipt for, and make payment of the purchase price for, the Initial Securities and the Option Securities, if any, which it has agreed to purchase. Leerink and William Blair, individually and not as representatives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sz w:val="20"/>
          <w:szCs w:val="20"/>
          <w:color w:val="auto"/>
        </w:rPr>
      </w:pPr>
    </w:p>
    <w:p>
      <w:pPr>
        <w:ind w:firstLine="464"/>
        <w:spacing w:after="0" w:line="268" w:lineRule="auto"/>
        <w:tabs>
          <w:tab w:leader="none" w:pos="701"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Compliance with Securities Regulations and Commission Requests</w:t>
      </w:r>
      <w:r>
        <w:rPr>
          <w:rFonts w:ascii="Arial" w:cs="Arial" w:eastAsia="Arial" w:hAnsi="Arial"/>
          <w:sz w:val="17"/>
          <w:szCs w:val="17"/>
          <w:color w:val="auto"/>
        </w:rPr>
        <w:t>. The Company, subject to Section 3(b), will comply with the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Rule 430B, and will notify the Representatives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at the earliest possible moment.</w:t>
      </w:r>
    </w:p>
    <w:p>
      <w:pPr>
        <w:spacing w:after="0" w:line="77" w:lineRule="exact"/>
        <w:rPr>
          <w:rFonts w:ascii="Arial" w:cs="Arial" w:eastAsia="Arial" w:hAnsi="Arial"/>
          <w:sz w:val="17"/>
          <w:szCs w:val="17"/>
          <w:color w:val="auto"/>
        </w:rPr>
      </w:pPr>
    </w:p>
    <w:p>
      <w:pPr>
        <w:ind w:firstLine="464"/>
        <w:spacing w:after="0" w:line="286" w:lineRule="auto"/>
        <w:tabs>
          <w:tab w:leader="none" w:pos="71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the 1933 Act Regulations, the 1934 Act and the 1934</w:t>
      </w:r>
      <w:r>
        <w:rPr>
          <w:rFonts w:ascii="Arial" w:cs="Arial" w:eastAsia="Arial" w:hAnsi="Arial"/>
          <w:sz w:val="16"/>
          <w:szCs w:val="16"/>
          <w:i w:val="1"/>
          <w:iCs w:val="1"/>
          <w:color w:val="auto"/>
        </w:rPr>
        <w:t xml:space="preserve"> </w:t>
      </w:r>
      <w:r>
        <w:rPr>
          <w:rFonts w:ascii="Arial" w:cs="Arial" w:eastAsia="Arial" w:hAnsi="Arial"/>
          <w:sz w:val="16"/>
          <w:szCs w:val="16"/>
          <w:color w:val="auto"/>
        </w:rPr>
        <w:t>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w:t>
      </w:r>
      <w:r>
        <w:rPr>
          <w:rFonts w:ascii="Arial" w:cs="Arial" w:eastAsia="Arial" w:hAnsi="Arial"/>
          <w:sz w:val="16"/>
          <w:szCs w:val="16"/>
          <w:u w:val="single" w:color="auto"/>
          <w:color w:val="auto"/>
        </w:rPr>
        <w:t>Rule 172</w:t>
      </w:r>
      <w:r>
        <w:rPr>
          <w:rFonts w:ascii="Arial" w:cs="Arial" w:eastAsia="Arial" w:hAnsi="Arial"/>
          <w:sz w:val="16"/>
          <w:szCs w:val="16"/>
          <w:color w:val="auto"/>
        </w:rPr>
        <w:t>”), would be) required by the 1933 Act to be delivered in connection with sales of the Securities, any event shall occur or condition shall exist, whether before or after the time that the Registration Statement becomes effective,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w:t>
      </w:r>
    </w:p>
    <w:p>
      <w:pPr>
        <w:sectPr>
          <w:pgSz w:w="11900" w:h="16838" w:orient="portrait"/>
          <w:cols w:equalWidth="0" w:num="1">
            <w:col w:w="11420"/>
          </w:cols>
          <w:pgMar w:left="240" w:top="274" w:right="239" w:bottom="1440" w:gutter="0" w:footer="0" w:header="0"/>
        </w:sectPr>
      </w:pPr>
    </w:p>
    <w:bookmarkStart w:id="18" w:name="page19"/>
    <w:bookmarkEnd w:id="1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Representatives notice of any filings made pursuant to the 1934 Act and the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provide the Representatives a reasonable opportunity to comment thereon; and the Company will file promptly all reports and any definitive proxy or information statements required to be filed by the Company with the Commission pursuant to Section 13(a), 13(c), 14 or 15(d) of the 1934 Act subsequent to the date of the Prospectus and for so long as the delivery of a prospectus is required in connection with the offering or sale of the Securities.</w:t>
      </w:r>
    </w:p>
    <w:p>
      <w:pPr>
        <w:spacing w:after="0" w:line="59" w:lineRule="exact"/>
        <w:rPr>
          <w:sz w:val="20"/>
          <w:szCs w:val="20"/>
          <w:color w:val="auto"/>
        </w:rPr>
      </w:pPr>
    </w:p>
    <w:p>
      <w:pPr>
        <w:ind w:right="60" w:firstLine="464"/>
        <w:spacing w:after="0" w:line="290" w:lineRule="auto"/>
        <w:tabs>
          <w:tab w:leader="none" w:pos="70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Delivery of Registration Statement</w:t>
      </w:r>
      <w:r>
        <w:rPr>
          <w:rFonts w:ascii="Arial" w:cs="Arial" w:eastAsia="Arial" w:hAnsi="Arial"/>
          <w:sz w:val="16"/>
          <w:szCs w:val="16"/>
          <w:color w:val="auto"/>
        </w:rPr>
        <w:t>. To the extent not available on EDGAR, the Company has furnished or will deliver to the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Underwriters, without charge, signed copies of the Registration Statement as originally filed and each amendment thereto (including exhibits filed therewith or incorporated by reference therein and documented incorporated or deemed incorporated by reference therein)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58" w:lineRule="exact"/>
        <w:rPr>
          <w:rFonts w:ascii="Arial" w:cs="Arial" w:eastAsia="Arial" w:hAnsi="Arial"/>
          <w:sz w:val="16"/>
          <w:szCs w:val="16"/>
          <w:color w:val="auto"/>
        </w:rPr>
      </w:pPr>
    </w:p>
    <w:p>
      <w:pPr>
        <w:ind w:firstLine="464"/>
        <w:spacing w:after="0" w:line="272" w:lineRule="auto"/>
        <w:tabs>
          <w:tab w:leader="none" w:pos="71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Delivery of Prospectuses</w:t>
      </w:r>
      <w:r>
        <w:rPr>
          <w:rFonts w:ascii="Arial" w:cs="Arial" w:eastAsia="Arial" w:hAnsi="Arial"/>
          <w:sz w:val="17"/>
          <w:szCs w:val="17"/>
          <w:color w:val="auto"/>
        </w:rPr>
        <w:t>. The Company has delivered to each Underwriter, without charge, as many copies of each preliminary prospectus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or documents incorporated by reference therein, as such Underwriter may reasonably request. The Prospectus and any amendments or supplements thereto or documents incorporated by reference therein furnished to the Underwriters will be identical to the electronically transmitted copies thereof filed with the Commission pursuant to EDGAR, except to the extent permitted by Regulation S-T.</w:t>
      </w:r>
    </w:p>
    <w:p>
      <w:pPr>
        <w:spacing w:after="0" w:line="69" w:lineRule="exact"/>
        <w:rPr>
          <w:rFonts w:ascii="Arial" w:cs="Arial" w:eastAsia="Arial" w:hAnsi="Arial"/>
          <w:sz w:val="17"/>
          <w:szCs w:val="17"/>
          <w:color w:val="auto"/>
        </w:rPr>
      </w:pPr>
    </w:p>
    <w:p>
      <w:pPr>
        <w:ind w:right="80" w:firstLine="464"/>
        <w:spacing w:after="0" w:line="297" w:lineRule="auto"/>
        <w:tabs>
          <w:tab w:leader="none" w:pos="70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use commercially reasonable efforts, in cooperation with the Underwriters, to qualify the Securities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and sale under the applicable securities laws of such states and other jurisdictions (domestic or foreign) as the Representatives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50" w:lineRule="exact"/>
        <w:rPr>
          <w:rFonts w:ascii="Arial" w:cs="Arial" w:eastAsia="Arial" w:hAnsi="Arial"/>
          <w:sz w:val="16"/>
          <w:szCs w:val="16"/>
          <w:color w:val="auto"/>
        </w:rPr>
      </w:pPr>
    </w:p>
    <w:p>
      <w:pPr>
        <w:ind w:right="420" w:firstLine="464"/>
        <w:spacing w:after="0" w:line="264" w:lineRule="auto"/>
        <w:tabs>
          <w:tab w:leader="none" w:pos="68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the Underwriters the benefits contemplated by, the last paragraph of Section 11(a) of the 1933 Act.</w:t>
      </w:r>
    </w:p>
    <w:p>
      <w:pPr>
        <w:sectPr>
          <w:pgSz w:w="11900" w:h="16838" w:orient="portrait"/>
          <w:cols w:equalWidth="0" w:num="1">
            <w:col w:w="11420"/>
          </w:cols>
          <w:pgMar w:left="240" w:top="274" w:right="239" w:bottom="1440" w:gutter="0" w:footer="0" w:header="0"/>
        </w:sectPr>
      </w:pPr>
    </w:p>
    <w:bookmarkStart w:id="19" w:name="page20"/>
    <w:bookmarkEnd w:id="19"/>
    <w:p>
      <w:pPr>
        <w:ind w:left="-464" w:right="660" w:firstLine="464"/>
        <w:spacing w:after="0" w:line="308" w:lineRule="auto"/>
        <w:tabs>
          <w:tab w:leader="none" w:pos="247"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r>
        <w:rPr>
          <w:rFonts w:ascii="Arial" w:cs="Arial" w:eastAsia="Arial" w:hAnsi="Arial"/>
          <w:sz w:val="17"/>
          <w:szCs w:val="17"/>
          <w:color w:val="auto"/>
        </w:rPr>
        <w:t>. The Company will use the net proceeds received by it from the sale of the Securities in all material respects in the manner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in the Registration Statement, the General Disclosure Package and the Prospectus under the heading “Use of Proceeds.”</w:t>
      </w:r>
    </w:p>
    <w:p>
      <w:pPr>
        <w:spacing w:after="0" w:line="38" w:lineRule="exact"/>
        <w:rPr>
          <w:rFonts w:ascii="Arial" w:cs="Arial" w:eastAsia="Arial" w:hAnsi="Arial"/>
          <w:sz w:val="17"/>
          <w:szCs w:val="17"/>
          <w:color w:val="auto"/>
        </w:rPr>
      </w:pPr>
    </w:p>
    <w:p>
      <w:pPr>
        <w:ind w:left="-464" w:right="420" w:firstLine="464"/>
        <w:spacing w:after="0" w:line="277" w:lineRule="auto"/>
        <w:tabs>
          <w:tab w:leader="none" w:pos="247"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best efforts to effect and maintain the listing of the Common Stock (including the Securities) on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Global Market.</w:t>
      </w:r>
    </w:p>
    <w:p>
      <w:pPr>
        <w:spacing w:after="0" w:line="62" w:lineRule="exact"/>
        <w:rPr>
          <w:rFonts w:ascii="Arial" w:cs="Arial" w:eastAsia="Arial" w:hAnsi="Arial"/>
          <w:sz w:val="18"/>
          <w:szCs w:val="18"/>
          <w:color w:val="auto"/>
        </w:rPr>
      </w:pPr>
    </w:p>
    <w:p>
      <w:pPr>
        <w:ind w:left="-464" w:firstLine="464"/>
        <w:spacing w:after="0" w:line="284" w:lineRule="auto"/>
        <w:tabs>
          <w:tab w:leader="none" w:pos="207"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90 days from the date of the Prospectus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the Company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the prior 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1933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hereunder; (B) any shares of Common Stock issued by the Company upon the exercise of an option or warrant or settlement of a restricted stock unit or the conversion of a convertible security outstanding on the date hereof and referred to in the Registration Statement, the General Disclosure Package and the Prospectus; (C) any shares of Common Stock issued or options to purchase Common Stock or restricted stock units granted pursuant to existing employee benefit plans of the Company referred to in the Registration Statement, the General Disclosure Package and the Prospectus; (D) any shares of Common Stock issued pursuant to any existing non-employee director stock plan or dividend reinvestment plan referred to in the Registration Statement, the General Disclosure Package and the Prospectus; (E) the sale or issuance of or entry into an agreement providing for the issuance of shares of Common Stock or any security convertible into or exercisable for shares of Common Stock in connection with the acquisition by the Company of the securities, business or assets of another person or entity or pursuant to an employee benefit plan assumed by the Company in connection with such acquisition, or in connection with joint ventures,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or other securities to execute and deliver to you, on or prior to such issuance, a lock-up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(F) the filing of any registration statement on Form S-8 relating to securities granted or to be granted pursuant to existing employee benefit plans of the Company referred to in the Registration Statement, the General Disclosure Package and the Prospectus; or (G) establishment of a trading plan pursuant to Rule 10b5-1 under the 1934 Act for the transfer of shares of Common Stock, provided that (i) such plan does not provide for the transfer of Common Stock during the Restricted Period and (ii) to the extent a public announcement or filing under the 1934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283" w:lineRule="exact"/>
        <w:rPr>
          <w:rFonts w:ascii="Arial" w:cs="Arial" w:eastAsia="Arial" w:hAnsi="Arial"/>
          <w:sz w:val="16"/>
          <w:szCs w:val="16"/>
          <w:color w:val="auto"/>
        </w:rPr>
      </w:pPr>
    </w:p>
    <w:p>
      <w:pPr>
        <w:ind w:left="-464" w:right="40" w:firstLine="464"/>
        <w:spacing w:after="0" w:line="264" w:lineRule="auto"/>
        <w:tabs>
          <w:tab w:leader="none" w:pos="207"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 by Rule</w:t>
      </w:r>
      <w:r>
        <w:rPr>
          <w:rFonts w:ascii="Arial" w:cs="Arial" w:eastAsia="Arial" w:hAnsi="Arial"/>
          <w:sz w:val="18"/>
          <w:szCs w:val="18"/>
          <w:i w:val="1"/>
          <w:iCs w:val="1"/>
          <w:color w:val="auto"/>
        </w:rPr>
        <w:t xml:space="preserve"> </w:t>
      </w:r>
      <w:r>
        <w:rPr>
          <w:rFonts w:ascii="Arial" w:cs="Arial" w:eastAsia="Arial" w:hAnsi="Arial"/>
          <w:sz w:val="18"/>
          <w:szCs w:val="18"/>
          <w:color w:val="auto"/>
        </w:rPr>
        <w:t>172, would be) required to be delivered under the 1933 Act, will file all documents required to be filed with the Commission pursuant to the 1934 Act and the 1934 Act Regulations within the time periods required by the 1934 Act and the 1934 Act Regulations.</w:t>
      </w:r>
    </w:p>
    <w:p>
      <w:pPr>
        <w:sectPr>
          <w:pgSz w:w="11900" w:h="16838" w:orient="portrait"/>
          <w:cols w:equalWidth="0" w:num="1">
            <w:col w:w="10956"/>
          </w:cols>
          <w:pgMar w:left="704" w:top="274" w:right="239" w:bottom="1440" w:gutter="0" w:footer="0" w:header="0"/>
        </w:sectPr>
      </w:pPr>
    </w:p>
    <w:bookmarkStart w:id="20" w:name="page21"/>
    <w:bookmarkEnd w:id="20"/>
    <w:p>
      <w:pPr>
        <w:ind w:left="-8" w:firstLine="464"/>
        <w:spacing w:after="0" w:line="286" w:lineRule="auto"/>
        <w:tabs>
          <w:tab w:leader="none" w:pos="703"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Free Writing Prospectuses</w:t>
      </w:r>
      <w:r>
        <w:rPr>
          <w:rFonts w:ascii="Arial" w:cs="Arial" w:eastAsia="Arial" w:hAnsi="Arial"/>
          <w:sz w:val="16"/>
          <w:szCs w:val="16"/>
          <w:color w:val="auto"/>
        </w:rPr>
        <w:t>. The Company agrees that, unless it obtains the prior written consent of the Representatives, it will not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w:t>
      </w:r>
      <w:r>
        <w:rPr>
          <w:rFonts w:ascii="Arial" w:cs="Arial" w:eastAsia="Arial" w:hAnsi="Arial"/>
          <w:sz w:val="16"/>
          <w:szCs w:val="16"/>
          <w:u w:val="single" w:color="auto"/>
          <w:color w:val="auto"/>
        </w:rPr>
        <w:t>Schedule B-2</w:t>
      </w:r>
      <w:r>
        <w:rPr>
          <w:rFonts w:ascii="Arial" w:cs="Arial" w:eastAsia="Arial" w:hAnsi="Arial"/>
          <w:sz w:val="16"/>
          <w:szCs w:val="16"/>
          <w:color w:val="auto"/>
        </w:rPr>
        <w:t xml:space="preserve"> hereto and any “road show that is a written communication” within the meaning of Rule 433(d)(8)(i) that has been reviewed by the Representatives or counsel to the Underwriters.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66" w:lineRule="exact"/>
        <w:rPr>
          <w:rFonts w:ascii="Arial" w:cs="Arial" w:eastAsia="Arial" w:hAnsi="Arial"/>
          <w:sz w:val="16"/>
          <w:szCs w:val="16"/>
          <w:color w:val="auto"/>
        </w:rPr>
      </w:pPr>
    </w:p>
    <w:p>
      <w:pPr>
        <w:ind w:left="-8" w:right="340" w:firstLine="464"/>
        <w:spacing w:after="0" w:line="264" w:lineRule="auto"/>
        <w:tabs>
          <w:tab w:leader="none" w:pos="66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the Securities within the meaning of the 1933 Act and (ii) completion of the 90-day restricted period referred to in Section 3(i).</w:t>
      </w:r>
    </w:p>
    <w:p>
      <w:pPr>
        <w:spacing w:after="0" w:line="18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17" w:lineRule="exact"/>
        <w:rPr>
          <w:sz w:val="20"/>
          <w:szCs w:val="20"/>
          <w:color w:val="auto"/>
        </w:rPr>
      </w:pPr>
    </w:p>
    <w:p>
      <w:pPr>
        <w:ind w:left="692" w:hanging="236"/>
        <w:spacing w:after="0"/>
        <w:tabs>
          <w:tab w:leader="none" w:pos="692"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 including</w:t>
      </w:r>
    </w:p>
    <w:p>
      <w:pPr>
        <w:spacing w:after="0" w:line="46" w:lineRule="exact"/>
        <w:rPr>
          <w:rFonts w:ascii="Arial" w:cs="Arial" w:eastAsia="Arial" w:hAnsi="Arial"/>
          <w:sz w:val="16"/>
          <w:szCs w:val="16"/>
          <w:color w:val="auto"/>
        </w:rPr>
      </w:pPr>
    </w:p>
    <w:p>
      <w:pPr>
        <w:ind w:left="-8" w:right="80" w:firstLine="8"/>
        <w:spacing w:after="0" w:line="281" w:lineRule="auto"/>
        <w:tabs>
          <w:tab w:leader="none" w:pos="2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if any,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and documented fees and disbursements of counsel for the Underwriters in connection therewith and in connection with the preparation of a “Blue Sky Survey” and any supplement thereto (up to a maximum aggregate amount of $2,500 for the reasonable and documented fees and disbursements of counsel for the Underwriters), (vi) the fees and expenses of any transfer agent or registrar for the Securities,</w:t>
      </w:r>
    </w:p>
    <w:p>
      <w:pPr>
        <w:spacing w:after="0" w:line="6" w:lineRule="exact"/>
        <w:rPr>
          <w:rFonts w:ascii="Arial" w:cs="Arial" w:eastAsia="Arial" w:hAnsi="Arial"/>
          <w:sz w:val="16"/>
          <w:szCs w:val="16"/>
          <w:color w:val="auto"/>
        </w:rPr>
      </w:pPr>
    </w:p>
    <w:p>
      <w:pPr>
        <w:ind w:left="-8" w:right="40" w:firstLine="8"/>
        <w:spacing w:after="0" w:line="253" w:lineRule="auto"/>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one-half of the cost of aircraft and other transportation chartered in connection with the road show, (viii) the filing fees incident to, and the</w:t>
      </w:r>
    </w:p>
    <w:p>
      <w:pPr>
        <w:sectPr>
          <w:pgSz w:w="11900" w:h="16838" w:orient="portrait"/>
          <w:cols w:equalWidth="0" w:num="1">
            <w:col w:w="11392"/>
          </w:cols>
          <w:pgMar w:left="248" w:top="274" w:right="259" w:bottom="1440" w:gutter="0" w:footer="0" w:header="0"/>
        </w:sectPr>
      </w:pPr>
    </w:p>
    <w:bookmarkStart w:id="21" w:name="page22"/>
    <w:bookmarkEnd w:id="21"/>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and documented fees and disbursements of counsel to the Underwriters in connection with, the review by FINRA of the terms of the sale of the Securities (up to a maximum aggregate amount of $15,000 for the reasonable and documented fees and disbursements of counsel for the Underwriters), (ix) the fees and expenses incurred in connection with the listing of the Securities on The Nasdaq Global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50" w:lineRule="exact"/>
        <w:rPr>
          <w:sz w:val="20"/>
          <w:szCs w:val="20"/>
          <w:color w:val="auto"/>
        </w:rPr>
      </w:pPr>
    </w:p>
    <w:p>
      <w:pPr>
        <w:ind w:firstLine="464"/>
        <w:spacing w:after="0" w:line="255"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Representatives in accordance with the provisions of Section 5, Section 9(a)(i),</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9(a)(iii) or Section 10 hereof, the Company shall reimburse the Underwriters for all of their reasonably documented out-of-pocket expenses, including the reasonable fees and disbursements of counsel for the Underwriters; provided that if this Agreement is terminated pursuant to Section 10 by reason of the default of one or more Underwriters, the Company shall not be obligated to reimburse any defaulting Underwriter on account of expenses to the extent incurred by such defaulting Underwriter; provided further that the foregoing shall not limit any reimbursement obligation of the Company to any non-defaulting Underwriter under Section 10.</w:t>
      </w:r>
    </w:p>
    <w:p>
      <w:pPr>
        <w:spacing w:after="0" w:line="19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The obligations of the several Underwriters hereunder are subject to the accuracy of the representations and warranties of the Company contained herein or in certificates of any officer of the Company delivered pursuant to the provisions hereof, to the performance by the Company of its covenants and other obligations hereunder, and to the following further conditions:</w:t>
      </w:r>
    </w:p>
    <w:p>
      <w:pPr>
        <w:spacing w:after="0" w:line="57" w:lineRule="exact"/>
        <w:rPr>
          <w:sz w:val="20"/>
          <w:szCs w:val="20"/>
          <w:color w:val="auto"/>
        </w:rPr>
      </w:pPr>
    </w:p>
    <w:p>
      <w:pPr>
        <w:ind w:right="20" w:firstLine="464"/>
        <w:spacing w:after="0" w:line="271" w:lineRule="auto"/>
        <w:tabs>
          <w:tab w:leader="none" w:pos="701"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 Rule 430 Information</w:t>
      </w:r>
      <w:r>
        <w:rPr>
          <w:rFonts w:ascii="Arial" w:cs="Arial" w:eastAsia="Arial" w:hAnsi="Arial"/>
          <w:sz w:val="17"/>
          <w:szCs w:val="17"/>
          <w:color w:val="auto"/>
        </w:rPr>
        <w:t>. The Registration Statement, including any Rule 462(b) Registration Statement, has</w:t>
      </w:r>
      <w:r>
        <w:rPr>
          <w:rFonts w:ascii="Arial" w:cs="Arial" w:eastAsia="Arial" w:hAnsi="Arial"/>
          <w:sz w:val="17"/>
          <w:szCs w:val="17"/>
          <w:i w:val="1"/>
          <w:iCs w:val="1"/>
          <w:color w:val="auto"/>
        </w:rPr>
        <w:t xml:space="preserve"> </w:t>
      </w:r>
      <w:r>
        <w:rPr>
          <w:rFonts w:ascii="Arial" w:cs="Arial" w:eastAsia="Arial" w:hAnsi="Arial"/>
          <w:sz w:val="17"/>
          <w:szCs w:val="17"/>
          <w:color w:val="auto"/>
        </w:rPr>
        <w:t>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A prospectus containing the Rule 430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w:t>
      </w:r>
    </w:p>
    <w:p>
      <w:pPr>
        <w:spacing w:after="0" w:line="70"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At the Closing Time, the Representatives shall have received the opinion and negative assurance letter, each</w:t>
      </w:r>
      <w:r>
        <w:rPr>
          <w:rFonts w:ascii="Arial" w:cs="Arial" w:eastAsia="Arial" w:hAnsi="Arial"/>
          <w:sz w:val="18"/>
          <w:szCs w:val="18"/>
          <w:i w:val="1"/>
          <w:iCs w:val="1"/>
          <w:color w:val="auto"/>
        </w:rPr>
        <w:t xml:space="preserve"> </w:t>
      </w:r>
      <w:r>
        <w:rPr>
          <w:rFonts w:ascii="Arial" w:cs="Arial" w:eastAsia="Arial" w:hAnsi="Arial"/>
          <w:sz w:val="18"/>
          <w:szCs w:val="18"/>
          <w:color w:val="auto"/>
        </w:rPr>
        <w:t>dated the Closing Time, of Fenwick &amp; West LLP, counsel for the Company, in form and substance satisfactory to counsel for the Underwriters, together with signed or reproduced copies of such letter for each of the other Underwriters.</w:t>
      </w:r>
    </w:p>
    <w:p>
      <w:pPr>
        <w:spacing w:after="0" w:line="73" w:lineRule="exact"/>
        <w:rPr>
          <w:rFonts w:ascii="Arial" w:cs="Arial" w:eastAsia="Arial" w:hAnsi="Arial"/>
          <w:sz w:val="18"/>
          <w:szCs w:val="18"/>
          <w:color w:val="auto"/>
        </w:rPr>
      </w:pPr>
    </w:p>
    <w:p>
      <w:pPr>
        <w:ind w:right="180" w:firstLine="464"/>
        <w:spacing w:after="0" w:line="264"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Opinion of Intellectual Property Counsel for the Company</w:t>
      </w:r>
      <w:r>
        <w:rPr>
          <w:rFonts w:ascii="Arial" w:cs="Arial" w:eastAsia="Arial" w:hAnsi="Arial"/>
          <w:sz w:val="18"/>
          <w:szCs w:val="18"/>
          <w:color w:val="auto"/>
        </w:rPr>
        <w:t>. At the Closing Time, the Representatives shall have received the opinion, dated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of Wilson, Sonsini, Goodrich &amp; Rosati, P.C., intellectual property counsel for the Company, in form and substance satisfactory to counsel for the Underwriters, together with signed or reproduced copies of such letter for each of the other Underwriters.</w:t>
      </w:r>
    </w:p>
    <w:p>
      <w:pPr>
        <w:spacing w:after="0" w:line="73" w:lineRule="exact"/>
        <w:rPr>
          <w:rFonts w:ascii="Arial" w:cs="Arial" w:eastAsia="Arial" w:hAnsi="Arial"/>
          <w:sz w:val="18"/>
          <w:szCs w:val="18"/>
          <w:color w:val="auto"/>
        </w:rPr>
      </w:pPr>
    </w:p>
    <w:p>
      <w:pPr>
        <w:ind w:right="100"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opinion, and negative assurance letter, each</w:t>
      </w:r>
      <w:r>
        <w:rPr>
          <w:rFonts w:ascii="Arial" w:cs="Arial" w:eastAsia="Arial" w:hAnsi="Arial"/>
          <w:sz w:val="18"/>
          <w:szCs w:val="18"/>
          <w:i w:val="1"/>
          <w:iCs w:val="1"/>
          <w:color w:val="auto"/>
        </w:rPr>
        <w:t xml:space="preserve"> </w:t>
      </w:r>
      <w:r>
        <w:rPr>
          <w:rFonts w:ascii="Arial" w:cs="Arial" w:eastAsia="Arial" w:hAnsi="Arial"/>
          <w:sz w:val="18"/>
          <w:szCs w:val="18"/>
          <w:color w:val="auto"/>
        </w:rPr>
        <w:t>dated the Closing Time, of Latham &amp; Watkins LLP, counsel for the Underwriters, together with signed or reproduced copies of such letter for each of the other Underwriters with respect to such matters as the Representatives may reasonably request. In giving</w:t>
      </w:r>
    </w:p>
    <w:p>
      <w:pPr>
        <w:sectPr>
          <w:pgSz w:w="11900" w:h="16838" w:orient="portrait"/>
          <w:cols w:equalWidth="0" w:num="1">
            <w:col w:w="11420"/>
          </w:cols>
          <w:pgMar w:left="240" w:top="274" w:right="239" w:bottom="1440" w:gutter="0" w:footer="0" w:header="0"/>
        </w:sectPr>
      </w:pPr>
    </w:p>
    <w:bookmarkStart w:id="22" w:name="page23"/>
    <w:bookmarkEnd w:id="22"/>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certificates of public officials.</w:t>
      </w:r>
    </w:p>
    <w:p>
      <w:pPr>
        <w:spacing w:after="0" w:line="79" w:lineRule="exact"/>
        <w:rPr>
          <w:sz w:val="20"/>
          <w:szCs w:val="20"/>
          <w:color w:val="auto"/>
        </w:rPr>
      </w:pPr>
    </w:p>
    <w:p>
      <w:pPr>
        <w:ind w:right="140" w:firstLine="464"/>
        <w:spacing w:after="0" w:line="289" w:lineRule="auto"/>
        <w:tabs>
          <w:tab w:leader="none" w:pos="70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 At the Closing Time, there shall not have been, since the date hereof or since the respective dates as of which information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given in the Registration Statement, the General Disclosure Package or the Prospectus, any material adverse change in the condition, financial or otherwise, or in the earnings, business affairs or business prospects of the Company, whether or not arising in the ordinary course of business, and the Representatives shall have received a certificate of the principal executive officer of the Company and of the principal financial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58" w:lineRule="exact"/>
        <w:rPr>
          <w:rFonts w:ascii="Arial" w:cs="Arial" w:eastAsia="Arial" w:hAnsi="Arial"/>
          <w:sz w:val="16"/>
          <w:szCs w:val="16"/>
          <w:color w:val="auto"/>
        </w:rPr>
      </w:pPr>
    </w:p>
    <w:p>
      <w:pPr>
        <w:ind w:right="40" w:firstLine="464"/>
        <w:spacing w:after="0" w:line="302" w:lineRule="auto"/>
        <w:tabs>
          <w:tab w:leader="none" w:pos="68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Representatives shall have received from Ernst &amp; Young LLP a</w:t>
      </w:r>
      <w:r>
        <w:rPr>
          <w:rFonts w:ascii="Arial" w:cs="Arial" w:eastAsia="Arial" w:hAnsi="Arial"/>
          <w:sz w:val="16"/>
          <w:szCs w:val="16"/>
          <w:i w:val="1"/>
          <w:iCs w:val="1"/>
          <w:color w:val="auto"/>
        </w:rPr>
        <w:t xml:space="preserve"> </w:t>
      </w:r>
      <w:r>
        <w:rPr>
          <w:rFonts w:ascii="Arial" w:cs="Arial" w:eastAsia="Arial" w:hAnsi="Arial"/>
          <w:sz w:val="16"/>
          <w:szCs w:val="16"/>
          <w:color w:val="auto"/>
        </w:rPr>
        <w:t>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46" w:lineRule="exact"/>
        <w:rPr>
          <w:rFonts w:ascii="Arial" w:cs="Arial" w:eastAsia="Arial" w:hAnsi="Arial"/>
          <w:sz w:val="16"/>
          <w:szCs w:val="16"/>
          <w:color w:val="auto"/>
        </w:rPr>
      </w:pPr>
    </w:p>
    <w:p>
      <w:pPr>
        <w:ind w:right="60" w:firstLine="464"/>
        <w:spacing w:after="0" w:line="264"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Ernst &amp; Young LLP a letter, dated as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the effect that they reaffirm the statements made in the letter furnished pursuant to subsection (f) of this Section, except that the specified date referred to shall be a date not more than three business days prior to the Closing Time.</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40" w:firstLine="464"/>
        <w:spacing w:after="0" w:line="277" w:lineRule="auto"/>
        <w:tabs>
          <w:tab w:leader="none" w:pos="67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Nasdaq Global Market, subject only to official</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issuance.</w:t>
      </w:r>
    </w:p>
    <w:p>
      <w:pPr>
        <w:spacing w:after="0" w:line="62" w:lineRule="exact"/>
        <w:rPr>
          <w:rFonts w:ascii="Arial" w:cs="Arial" w:eastAsia="Arial" w:hAnsi="Arial"/>
          <w:sz w:val="18"/>
          <w:szCs w:val="18"/>
          <w:color w:val="auto"/>
        </w:rPr>
      </w:pPr>
    </w:p>
    <w:p>
      <w:pPr>
        <w:ind w:firstLine="464"/>
        <w:spacing w:after="0" w:line="264" w:lineRule="auto"/>
        <w:tabs>
          <w:tab w:leader="none" w:pos="67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If any filing with FINRA under FINRA Rule 5110 is required with respect to the offering of the Securities, FINRA has confirmed that</w:t>
      </w:r>
      <w:r>
        <w:rPr>
          <w:rFonts w:ascii="Arial" w:cs="Arial" w:eastAsia="Arial" w:hAnsi="Arial"/>
          <w:sz w:val="18"/>
          <w:szCs w:val="18"/>
          <w:i w:val="1"/>
          <w:iCs w:val="1"/>
          <w:color w:val="auto"/>
        </w:rPr>
        <w:t xml:space="preserve"> </w:t>
      </w:r>
      <w:r>
        <w:rPr>
          <w:rFonts w:ascii="Arial" w:cs="Arial" w:eastAsia="Arial" w:hAnsi="Arial"/>
          <w:sz w:val="18"/>
          <w:szCs w:val="18"/>
          <w:color w:val="auto"/>
        </w:rPr>
        <w:t>it has not raised any objection with respect to the fairness and reasonableness of the underwriting terms and arrangements relating to the offering of the Securities.</w:t>
      </w:r>
    </w:p>
    <w:p>
      <w:pPr>
        <w:spacing w:after="0" w:line="73"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Representatives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signed by all of the Company’s directors and executive officers.</w:t>
      </w:r>
    </w:p>
    <w:p>
      <w:pPr>
        <w:spacing w:after="0" w:line="62" w:lineRule="exact"/>
        <w:rPr>
          <w:rFonts w:ascii="Arial" w:cs="Arial" w:eastAsia="Arial" w:hAnsi="Arial"/>
          <w:sz w:val="18"/>
          <w:szCs w:val="18"/>
          <w:color w:val="auto"/>
        </w:rPr>
      </w:pPr>
    </w:p>
    <w:p>
      <w:pPr>
        <w:ind w:right="20" w:firstLine="464"/>
        <w:spacing w:after="0" w:line="312" w:lineRule="auto"/>
        <w:tabs>
          <w:tab w:leader="none" w:pos="671"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Conditions to Purchase of Option Securities</w:t>
      </w:r>
      <w:r>
        <w:rPr>
          <w:rFonts w:ascii="Arial" w:cs="Arial" w:eastAsia="Arial" w:hAnsi="Arial"/>
          <w:sz w:val="16"/>
          <w:szCs w:val="16"/>
          <w:color w:val="auto"/>
        </w:rPr>
        <w:t>. In the event that the Underwriters exercise their option provided in Section 2(b) hereof to purchase all</w:t>
      </w:r>
      <w:r>
        <w:rPr>
          <w:rFonts w:ascii="Arial" w:cs="Arial" w:eastAsia="Arial" w:hAnsi="Arial"/>
          <w:sz w:val="16"/>
          <w:szCs w:val="16"/>
          <w:i w:val="1"/>
          <w:iCs w:val="1"/>
          <w:color w:val="auto"/>
        </w:rPr>
        <w:t xml:space="preserve"> </w:t>
      </w:r>
      <w:r>
        <w:rPr>
          <w:rFonts w:ascii="Arial" w:cs="Arial" w:eastAsia="Arial" w:hAnsi="Arial"/>
          <w:sz w:val="16"/>
          <w:szCs w:val="16"/>
          <w:color w:val="auto"/>
        </w:rPr>
        <w:t>or any portion of the Option Securities, the representations and warranties of the Company contained herein and the statements in any certificates furnished by the Company hereunder shall be true and correct as of each Date of Delivery and, at the relevant Date of Delivery, the Representatives shall have received:</w:t>
      </w:r>
    </w:p>
    <w:p>
      <w:pPr>
        <w:sectPr>
          <w:pgSz w:w="11900" w:h="16838" w:orient="portrait"/>
          <w:cols w:equalWidth="0" w:num="1">
            <w:col w:w="11400"/>
          </w:cols>
          <w:pgMar w:left="240" w:top="274" w:right="259" w:bottom="1440" w:gutter="0" w:footer="0" w:header="0"/>
        </w:sectPr>
      </w:pPr>
    </w:p>
    <w:bookmarkStart w:id="23" w:name="page24"/>
    <w:bookmarkEnd w:id="23"/>
    <w:p>
      <w:pPr>
        <w:ind w:left="-4" w:right="160" w:firstLine="443"/>
        <w:spacing w:after="0" w:line="264" w:lineRule="auto"/>
        <w:tabs>
          <w:tab w:leader="none" w:pos="649"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Certificate</w:t>
      </w:r>
      <w:r>
        <w:rPr>
          <w:rFonts w:ascii="Arial" w:cs="Arial" w:eastAsia="Arial" w:hAnsi="Arial"/>
          <w:sz w:val="18"/>
          <w:szCs w:val="18"/>
          <w:color w:val="auto"/>
        </w:rPr>
        <w:t>. A certificate, dated such Date of Delivery, of the principal executive officer of the Company and of the principal financial officer of the Company confirming that the certificate delivered at the Closing Time pursuant to Section 5(e) hereof remains true and correct as of such Date of Delivery.</w:t>
      </w:r>
    </w:p>
    <w:p>
      <w:pPr>
        <w:spacing w:after="0" w:line="73" w:lineRule="exact"/>
        <w:rPr>
          <w:rFonts w:ascii="Arial" w:cs="Arial" w:eastAsia="Arial" w:hAnsi="Arial"/>
          <w:sz w:val="18"/>
          <w:szCs w:val="18"/>
          <w:color w:val="auto"/>
        </w:rPr>
      </w:pPr>
    </w:p>
    <w:p>
      <w:pPr>
        <w:jc w:val="both"/>
        <w:ind w:left="-4" w:right="260" w:firstLine="443"/>
        <w:spacing w:after="0" w:line="259" w:lineRule="auto"/>
        <w:tabs>
          <w:tab w:leader="none" w:pos="699"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Opinion of Counsel for Company</w:t>
      </w:r>
      <w:r>
        <w:rPr>
          <w:rFonts w:ascii="Arial" w:cs="Arial" w:eastAsia="Arial" w:hAnsi="Arial"/>
          <w:sz w:val="18"/>
          <w:szCs w:val="18"/>
          <w:color w:val="auto"/>
        </w:rPr>
        <w:t>. If requested by the Representatives, the opinion and negative assurance letter, of Fenwick &amp; West LLP, counsel for the Company, in form and substance reasonably satisfactory to counsel for the Underwriters, dated such Date of Delivery, relating to the Option Securities to be purchased on such Date of Delivery and otherwise to the same effect as the opinion and negative assurance letter required by Section 5(b) hereof.</w:t>
      </w:r>
    </w:p>
    <w:p>
      <w:pPr>
        <w:spacing w:after="0" w:line="78" w:lineRule="exact"/>
        <w:rPr>
          <w:rFonts w:ascii="Arial" w:cs="Arial" w:eastAsia="Arial" w:hAnsi="Arial"/>
          <w:sz w:val="18"/>
          <w:szCs w:val="18"/>
          <w:color w:val="auto"/>
        </w:rPr>
      </w:pPr>
    </w:p>
    <w:p>
      <w:pPr>
        <w:ind w:left="-4" w:right="200" w:firstLine="443"/>
        <w:spacing w:after="0" w:line="286" w:lineRule="auto"/>
        <w:tabs>
          <w:tab w:leader="none" w:pos="749"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Opinion of Counsel for Underwriters</w:t>
      </w:r>
      <w:r>
        <w:rPr>
          <w:rFonts w:ascii="Arial" w:cs="Arial" w:eastAsia="Arial" w:hAnsi="Arial"/>
          <w:sz w:val="17"/>
          <w:szCs w:val="17"/>
          <w:color w:val="auto"/>
        </w:rPr>
        <w:t>. If requested by the Representatives, the opinion, and negative assurance letter, of Latham &amp; Watkins LLP counsel for the Underwriters, each dated such Date of Delivery, relating to the Option Securities to be purchased on such Date of Delivery and otherwise to the same effect as the opinion and negative assurance letter required by Section 5(c) hereof.</w:t>
      </w:r>
    </w:p>
    <w:p>
      <w:pPr>
        <w:spacing w:after="0" w:line="57" w:lineRule="exact"/>
        <w:rPr>
          <w:rFonts w:ascii="Arial" w:cs="Arial" w:eastAsia="Arial" w:hAnsi="Arial"/>
          <w:sz w:val="17"/>
          <w:szCs w:val="17"/>
          <w:color w:val="auto"/>
        </w:rPr>
      </w:pPr>
    </w:p>
    <w:p>
      <w:pPr>
        <w:ind w:left="-4" w:right="60" w:firstLine="443"/>
        <w:spacing w:after="0" w:line="259" w:lineRule="auto"/>
        <w:tabs>
          <w:tab w:leader="none" w:pos="73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Representatives, a letter from Ernst &amp; Young LLP, in form and substance satisfactory to the Representatives and dated such Date of Delivery, substantially in the same form and substance as the letter furnished to the Representatives pursuant to subsection (f) of this Section, except that the “specified date” in the letter furnished pursuant to this paragraph shall be a date not more than three business days prior to such Date of Delivery.</w:t>
      </w:r>
    </w:p>
    <w:p>
      <w:pPr>
        <w:spacing w:after="0" w:line="78" w:lineRule="exact"/>
        <w:rPr>
          <w:rFonts w:ascii="Arial" w:cs="Arial" w:eastAsia="Arial" w:hAnsi="Arial"/>
          <w:sz w:val="18"/>
          <w:szCs w:val="18"/>
          <w:color w:val="auto"/>
        </w:rPr>
      </w:pPr>
    </w:p>
    <w:p>
      <w:pPr>
        <w:ind w:left="696" w:hanging="257"/>
        <w:spacing w:after="0"/>
        <w:tabs>
          <w:tab w:leader="none" w:pos="696"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64" w:firstLine="464"/>
        <w:spacing w:after="0" w:line="257" w:lineRule="auto"/>
        <w:tabs>
          <w:tab w:leader="none" w:pos="297"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and at each Date of Delivery (if any) counsel for the Underwriters shall have been furnished with such</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80" w:lineRule="exact"/>
        <w:rPr>
          <w:rFonts w:ascii="Arial" w:cs="Arial" w:eastAsia="Arial" w:hAnsi="Arial"/>
          <w:sz w:val="18"/>
          <w:szCs w:val="18"/>
          <w:color w:val="auto"/>
        </w:rPr>
      </w:pPr>
    </w:p>
    <w:p>
      <w:pPr>
        <w:ind w:left="-464" w:right="40" w:firstLine="464"/>
        <w:spacing w:after="0" w:line="297" w:lineRule="auto"/>
        <w:tabs>
          <w:tab w:leader="none" w:pos="24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shall not have been fulfilled when and as required to be fulfilled,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4, 6, 7, 8, 14, 15 and 16 shall survive any such termination and remain in full force and effect.</w:t>
      </w:r>
    </w:p>
    <w:p>
      <w:pPr>
        <w:sectPr>
          <w:pgSz w:w="11900" w:h="16838" w:orient="portrait"/>
          <w:cols w:equalWidth="0" w:num="1">
            <w:col w:w="10956"/>
          </w:cols>
          <w:pgMar w:left="704" w:top="274"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240" w:firstLine="464"/>
        <w:spacing w:after="0" w:line="264"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affiliates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 501(b) under the 1933 Act (each, an “</w:t>
      </w:r>
      <w:r>
        <w:rPr>
          <w:rFonts w:ascii="Arial" w:cs="Arial" w:eastAsia="Arial" w:hAnsi="Arial"/>
          <w:sz w:val="18"/>
          <w:szCs w:val="18"/>
          <w:u w:val="single" w:color="auto"/>
          <w:color w:val="auto"/>
        </w:rPr>
        <w:t>Affiliate</w:t>
      </w:r>
      <w:r>
        <w:rPr>
          <w:rFonts w:ascii="Arial" w:cs="Arial" w:eastAsia="Arial" w:hAnsi="Arial"/>
          <w:sz w:val="18"/>
          <w:szCs w:val="18"/>
          <w:color w:val="auto"/>
        </w:rPr>
        <w:t>”)), its selling agents and each person, if any, who controls any Underwriter within the meaning of Section 15 of the 1933 Act or Section 20 of the 1934 Act as follows:</w:t>
      </w:r>
    </w:p>
    <w:p>
      <w:pPr>
        <w:spacing w:after="0" w:line="73" w:lineRule="exact"/>
        <w:rPr>
          <w:rFonts w:ascii="Arial" w:cs="Arial" w:eastAsia="Arial" w:hAnsi="Arial"/>
          <w:sz w:val="18"/>
          <w:szCs w:val="18"/>
          <w:color w:val="auto"/>
        </w:rPr>
      </w:pPr>
    </w:p>
    <w:p>
      <w:pPr>
        <w:ind w:left="460" w:firstLine="443"/>
        <w:spacing w:after="0" w:line="270" w:lineRule="auto"/>
        <w:tabs>
          <w:tab w:leader="none" w:pos="1113" w:val="left"/>
        </w:tabs>
        <w:numPr>
          <w:ilvl w:val="1"/>
          <w:numId w:val="32"/>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the Rule 430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Arial" w:cs="Arial" w:eastAsia="Arial" w:hAnsi="Arial"/>
          <w:sz w:val="17"/>
          <w:szCs w:val="17"/>
          <w:u w:val="single" w:color="auto"/>
          <w:color w:val="auto"/>
        </w:rPr>
        <w:t>Marketing Materials</w:t>
      </w:r>
      <w:r>
        <w:rPr>
          <w:rFonts w:ascii="Arial" w:cs="Arial" w:eastAsia="Arial" w:hAnsi="Arial"/>
          <w:sz w:val="17"/>
          <w:szCs w:val="17"/>
          <w:color w:val="auto"/>
        </w:rPr>
        <w:t>”), including any roadshow or investor presentations made to investors by the Company (whether in person or electronically), or the omission or alleged omission in any preliminary prospectus, any Issuer Free Writing Prospectus, the General Disclosure Package, the Prospectus (or any amendment or supplement thereto) or in any Marketing Materials of a material fact necessary in order to make the statements therein, in the light of the circumstances under which they were made, not misleading;</w:t>
      </w:r>
    </w:p>
    <w:p>
      <w:pPr>
        <w:spacing w:after="0" w:line="69" w:lineRule="exact"/>
        <w:rPr>
          <w:rFonts w:ascii="Arial" w:cs="Arial" w:eastAsia="Arial" w:hAnsi="Arial"/>
          <w:sz w:val="17"/>
          <w:szCs w:val="17"/>
          <w:color w:val="auto"/>
        </w:rPr>
      </w:pPr>
    </w:p>
    <w:p>
      <w:pPr>
        <w:jc w:val="both"/>
        <w:ind w:left="460" w:right="20" w:firstLine="443"/>
        <w:spacing w:after="0" w:line="259" w:lineRule="auto"/>
        <w:tabs>
          <w:tab w:leader="none" w:pos="116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78" w:lineRule="exact"/>
        <w:rPr>
          <w:rFonts w:ascii="Arial" w:cs="Arial" w:eastAsia="Arial" w:hAnsi="Arial"/>
          <w:sz w:val="18"/>
          <w:szCs w:val="18"/>
          <w:color w:val="auto"/>
        </w:rPr>
      </w:pPr>
    </w:p>
    <w:p>
      <w:pPr>
        <w:ind w:left="460" w:right="180" w:firstLine="443"/>
        <w:spacing w:after="0" w:line="259" w:lineRule="auto"/>
        <w:tabs>
          <w:tab w:leader="none" w:pos="12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 Information, any Issuer Free Writing Prospectus, the General Disclosure Package, the Prospectus (or any amendment or supplement thereto) or the Marketing Materials in reliance upon and in conformity with the Underwriter Information.</w:t>
      </w:r>
    </w:p>
    <w:p>
      <w:pPr>
        <w:spacing w:after="0" w:line="79" w:lineRule="exact"/>
        <w:rPr>
          <w:sz w:val="20"/>
          <w:szCs w:val="20"/>
          <w:color w:val="auto"/>
        </w:rPr>
      </w:pPr>
    </w:p>
    <w:p>
      <w:pPr>
        <w:ind w:right="40" w:firstLine="464"/>
        <w:spacing w:after="0" w:line="293" w:lineRule="auto"/>
        <w:tabs>
          <w:tab w:leader="none" w:pos="71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Each Underwriter severally agrees to indemnify and hold harmless the Company, its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 Information, any Issuer Free Writing Prospectus, the General Disclosure Package, the Prospectus (or any amendment or supplement thereto) or the Marketing Materials in reliance upon and in conformity with the Underwriter Information.</w:t>
      </w:r>
    </w:p>
    <w:p>
      <w:pPr>
        <w:sectPr>
          <w:pgSz w:w="11900" w:h="16838" w:orient="portrait"/>
          <w:cols w:equalWidth="0" w:num="1">
            <w:col w:w="11400"/>
          </w:cols>
          <w:pgMar w:left="240" w:top="274" w:right="259" w:bottom="1440" w:gutter="0" w:footer="0" w:header="0"/>
        </w:sectPr>
      </w:pPr>
    </w:p>
    <w:bookmarkStart w:id="25" w:name="page26"/>
    <w:bookmarkEnd w:id="25"/>
    <w:p>
      <w:pPr>
        <w:ind w:firstLine="464"/>
        <w:spacing w:after="0" w:line="285" w:lineRule="auto"/>
        <w:tabs>
          <w:tab w:leader="none" w:pos="701"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Actions against Parties; Notification</w:t>
      </w:r>
      <w:r>
        <w:rPr>
          <w:rFonts w:ascii="Arial" w:cs="Arial" w:eastAsia="Arial" w:hAnsi="Arial"/>
          <w:sz w:val="16"/>
          <w:szCs w:val="16"/>
          <w:color w:val="auto"/>
        </w:rPr>
        <w:t>. Each indemnified party shall give notice as promptly as reasonably practicable to each indemnifying party of</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(with such counsel reasonably satisfactory to the Company), and, in the case of parties indemnified pursuant to Section 6(b) above, counsel to the indemnified parties shall be selected by the Company (with such counsel reasonably satisfactory to the Representatives).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the reasonable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69" w:lineRule="exact"/>
        <w:rPr>
          <w:rFonts w:ascii="Arial" w:cs="Arial" w:eastAsia="Arial" w:hAnsi="Arial"/>
          <w:sz w:val="16"/>
          <w:szCs w:val="16"/>
          <w:color w:val="auto"/>
        </w:rPr>
      </w:pPr>
    </w:p>
    <w:p>
      <w:pPr>
        <w:ind w:right="20" w:firstLine="464"/>
        <w:spacing w:after="0" w:line="273" w:lineRule="auto"/>
        <w:tabs>
          <w:tab w:leader="none" w:pos="711"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Settlement without Consent if Failure to Reimburse</w:t>
      </w:r>
      <w:r>
        <w:rPr>
          <w:rFonts w:ascii="Arial" w:cs="Arial" w:eastAsia="Arial" w:hAnsi="Arial"/>
          <w:sz w:val="17"/>
          <w:szCs w:val="17"/>
          <w:color w:val="auto"/>
        </w:rPr>
        <w:t>. If at any time an indemnified party shall have requested an indemnifying party to reimburse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(other than with respect to fees and expenses that the indemnifying party is contesting in good faith).</w:t>
      </w:r>
    </w:p>
    <w:p>
      <w:pPr>
        <w:spacing w:after="0" w:line="17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Securities as set forth on the cover of the Prospectus.</w:t>
      </w:r>
    </w:p>
    <w:p>
      <w:pPr>
        <w:sectPr>
          <w:pgSz w:w="11900" w:h="16838" w:orient="portrait"/>
          <w:cols w:equalWidth="0" w:num="1">
            <w:col w:w="11400"/>
          </w:cols>
          <w:pgMar w:left="240" w:top="274" w:right="259" w:bottom="1440" w:gutter="0" w:footer="0" w:header="0"/>
        </w:sectPr>
      </w:pPr>
    </w:p>
    <w:bookmarkStart w:id="26" w:name="page27"/>
    <w:bookmarkEnd w:id="2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Notwithstanding the provisions of this Section 7, no Underwriter shall be required to contribute any amount in excess of the underwriting discounts and commissions received by such Underwriter in connection with the Securities underwritten by it and distributed to the public.</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not joint.</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117" w:lineRule="exact"/>
        <w:rPr>
          <w:sz w:val="20"/>
          <w:szCs w:val="20"/>
          <w:color w:val="auto"/>
        </w:rPr>
      </w:pPr>
    </w:p>
    <w:p>
      <w:pPr>
        <w:ind w:right="80" w:firstLine="464"/>
        <w:spacing w:after="0" w:line="302" w:lineRule="auto"/>
        <w:tabs>
          <w:tab w:leader="none" w:pos="701"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Representatives may terminate this Agreement, by notice to the Company, at any time at or prior to the Closing Time (i) if there</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whether or not arising in the ordinary course of business, or (ii) if there</w:t>
      </w:r>
    </w:p>
    <w:p>
      <w:pPr>
        <w:sectPr>
          <w:pgSz w:w="11900" w:h="16838" w:orient="portrait"/>
          <w:cols w:equalWidth="0" w:num="1">
            <w:col w:w="11400"/>
          </w:cols>
          <w:pgMar w:left="240" w:top="274" w:right="259" w:bottom="1440" w:gutter="0" w:footer="0" w:header="0"/>
        </w:sectPr>
      </w:pPr>
    </w:p>
    <w:bookmarkStart w:id="27" w:name="page28"/>
    <w:bookmarkEnd w:id="2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occurred any material adverse change in the financial markets in the United States or the international financial markets, any outbreak of hostilities or escalation thereof or other calamity or crisis or any change or development involving a prospective change in U.S.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74" w:lineRule="exact"/>
        <w:rPr>
          <w:sz w:val="20"/>
          <w:szCs w:val="20"/>
          <w:color w:val="auto"/>
        </w:rPr>
      </w:pPr>
    </w:p>
    <w:p>
      <w:pPr>
        <w:ind w:right="20" w:firstLine="464"/>
        <w:spacing w:after="0" w:line="264" w:lineRule="auto"/>
        <w:tabs>
          <w:tab w:leader="none" w:pos="71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 party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 provided in Section 4 hereof, and provided further that Sections 1, 4, 6, 7, 8, 14, 15 and 16 shall survive such termination and remain in full force and effect.</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Time or a Date of Delivery to purchase the Securities which it or they are obligated to purchase under this Agreement (the “</w:t>
      </w:r>
      <w:r>
        <w:rPr>
          <w:rFonts w:ascii="Arial" w:cs="Arial" w:eastAsia="Arial" w:hAnsi="Arial"/>
          <w:sz w:val="18"/>
          <w:szCs w:val="18"/>
          <w:u w:val="single" w:color="auto"/>
          <w:color w:val="auto"/>
        </w:rPr>
        <w:t>Defaulted Securities</w:t>
      </w:r>
      <w:r>
        <w:rPr>
          <w:rFonts w:ascii="Arial" w:cs="Arial" w:eastAsia="Arial" w:hAnsi="Arial"/>
          <w:sz w:val="18"/>
          <w:szCs w:val="18"/>
          <w:color w:val="auto"/>
        </w:rPr>
        <w:t>”),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80" w:lineRule="exact"/>
        <w:rPr>
          <w:sz w:val="20"/>
          <w:szCs w:val="20"/>
          <w:color w:val="auto"/>
        </w:rPr>
      </w:pPr>
    </w:p>
    <w:p>
      <w:pPr>
        <w:ind w:left="460" w:right="340" w:firstLine="438"/>
        <w:spacing w:after="0" w:line="264" w:lineRule="auto"/>
        <w:rPr>
          <w:sz w:val="20"/>
          <w:szCs w:val="20"/>
          <w:color w:val="auto"/>
        </w:rPr>
      </w:pPr>
      <w:r>
        <w:rPr>
          <w:rFonts w:ascii="Arial" w:cs="Arial" w:eastAsia="Arial" w:hAnsi="Arial"/>
          <w:sz w:val="18"/>
          <w:szCs w:val="18"/>
          <w:color w:val="auto"/>
        </w:rPr>
        <w:t>(i) 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73" w:lineRule="exact"/>
        <w:rPr>
          <w:sz w:val="20"/>
          <w:szCs w:val="20"/>
          <w:color w:val="auto"/>
        </w:rPr>
      </w:pPr>
    </w:p>
    <w:p>
      <w:pPr>
        <w:ind w:left="460" w:right="100" w:firstLine="443"/>
        <w:spacing w:after="0" w:line="312" w:lineRule="auto"/>
        <w:tabs>
          <w:tab w:leader="none" w:pos="116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ectPr>
          <w:pgSz w:w="11900" w:h="16838" w:orient="portrait"/>
          <w:cols w:equalWidth="0" w:num="1">
            <w:col w:w="11400"/>
          </w:cols>
          <w:pgMar w:left="240" w:top="274" w:right="259" w:bottom="1440" w:gutter="0" w:footer="0" w:header="0"/>
        </w:sectPr>
      </w:pPr>
    </w:p>
    <w:bookmarkStart w:id="28" w:name="page29"/>
    <w:bookmarkEnd w:id="28"/>
    <w:p>
      <w:pPr>
        <w:ind w:right="16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to have been duly given if mailed or transmitted by any standard form of telecommunication. Notices to the Underwriters shall be directed to the Representatives, c/o Leerink at One Federal Street, Floor 37, Boston, MA 02110, attention of John I. Fitzgerald, Esq. (facsimile: 617-918-4664) and c/o William Blair at 150 North Riverside Plaza, Chicago, IL 60606, attention of Equity Capital Markets; and if to the Company shall be directed to it at 6000 Shoreline Court, Suite 300, South San Francisco, CA 94080, attention: Chief Financial Officer (facsimile (650) 243-6371, with a copy (which copy shall not constitute notice) to Fenwick &amp; West LLP, 555 California Street, San Francisco, California 94014, attention: Robert A. Freedman, Esq.</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Waiver of 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ectPr>
          <w:pgSz w:w="11900" w:h="16838" w:orient="portrait"/>
          <w:cols w:equalWidth="0" w:num="1">
            <w:col w:w="11380"/>
          </w:cols>
          <w:pgMar w:left="240" w:top="274" w:right="279" w:bottom="1440" w:gutter="0" w:footer="0" w:header="0"/>
        </w:sectPr>
      </w:pPr>
    </w:p>
    <w:bookmarkStart w:id="29" w:name="page30"/>
    <w:bookmarkEnd w:id="29"/>
    <w:p>
      <w:pPr>
        <w:ind w:right="18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Arial" w:cs="Arial" w:eastAsia="Arial" w:hAnsi="Arial"/>
          <w:sz w:val="17"/>
          <w:szCs w:val="17"/>
          <w:u w:val="single" w:color="auto"/>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2"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(which may include counterparts delivered by any standard form of telecommunication), each of which shall be deemed to be an original, but all such counterparts shall together constitute one and the same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340"/>
          </w:cols>
          <w:pgMar w:left="240" w:top="274" w:right="319" w:bottom="1440" w:gutter="0" w:footer="0" w:header="0"/>
        </w:sectPr>
      </w:pPr>
    </w:p>
    <w:bookmarkStart w:id="30" w:name="page31"/>
    <w:bookmarkEnd w:id="30"/>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Bonnie H. Anderson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Ryan A.B. Lindquist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Ryan A.B. Lindquist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Maletzky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Steve Maletzky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Partner, Equity Capital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itself and as Representatives of the other 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U</w:t>
      </w:r>
      <w:r>
        <w:rPr>
          <w:rFonts w:ascii="Arial" w:cs="Arial" w:eastAsia="Arial" w:hAnsi="Arial"/>
          <w:sz w:val="15"/>
          <w:szCs w:val="15"/>
          <w:color w:val="auto"/>
        </w:rPr>
        <w:t>NDERWRITING</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1120"/>
          </w:cols>
          <w:pgMar w:left="240" w:top="274" w:right="5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public offering price per share for the Securities shall be $10.25.</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purchase price per share for the Securities to be paid by the several Underwriters shall be $9.635, being an amount equal to the public offering price set forth above less $0.615 per share, subject to adjustment in accordance with Section 2(b) for dividends or distributions declared by the Company and payable on the Initial Securities but not payable on the Option Securities.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color w:val="auto"/>
                <w:w w:val="94"/>
              </w:rPr>
              <w:t>Number of</w:t>
            </w:r>
          </w:p>
        </w:tc>
      </w:tr>
      <w:tr>
        <w:trPr>
          <w:trHeight w:val="167"/>
        </w:trPr>
        <w:tc>
          <w:tcPr>
            <w:tcW w:w="10400" w:type="dxa"/>
            <w:vAlign w:val="bottom"/>
            <w:gridSpan w:val="2"/>
          </w:tcPr>
          <w:p>
            <w:pPr>
              <w:spacing w:after="0"/>
              <w:rPr>
                <w:sz w:val="20"/>
                <w:szCs w:val="20"/>
                <w:color w:val="auto"/>
              </w:rPr>
            </w:pPr>
            <w:r>
              <w:rPr>
                <w:rFonts w:ascii="Arial" w:cs="Arial" w:eastAsia="Arial" w:hAnsi="Arial"/>
                <w:sz w:val="14"/>
                <w:szCs w:val="14"/>
                <w:color w:val="auto"/>
              </w:rPr>
              <w:t>Name of Underwriter</w:t>
            </w:r>
          </w:p>
        </w:tc>
        <w:tc>
          <w:tcPr>
            <w:tcW w:w="1020" w:type="dxa"/>
            <w:vAlign w:val="bottom"/>
            <w:gridSpan w:val="3"/>
          </w:tcPr>
          <w:p>
            <w:pPr>
              <w:jc w:val="center"/>
              <w:ind w:right="40"/>
              <w:spacing w:after="0"/>
              <w:rPr>
                <w:sz w:val="20"/>
                <w:szCs w:val="20"/>
                <w:color w:val="auto"/>
              </w:rPr>
            </w:pPr>
            <w:r>
              <w:rPr>
                <w:rFonts w:ascii="Arial" w:cs="Arial" w:eastAsia="Arial" w:hAnsi="Arial"/>
                <w:sz w:val="14"/>
                <w:szCs w:val="14"/>
                <w:color w:val="auto"/>
                <w:w w:val="95"/>
              </w:rPr>
              <w:t>Initial Securities</w:t>
            </w:r>
          </w:p>
        </w:tc>
      </w:tr>
      <w:tr>
        <w:trPr>
          <w:trHeight w:val="210"/>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Leerink Partners</w:t>
            </w:r>
          </w:p>
        </w:tc>
        <w:tc>
          <w:tcPr>
            <w:tcW w:w="9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LLC</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40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40" w:type="dxa"/>
            <w:vAlign w:val="bottom"/>
          </w:tcPr>
          <w:p>
            <w:pPr>
              <w:spacing w:after="0"/>
              <w:rPr>
                <w:sz w:val="18"/>
                <w:szCs w:val="18"/>
                <w:color w:val="auto"/>
              </w:rPr>
            </w:pPr>
          </w:p>
        </w:tc>
      </w:tr>
      <w:tr>
        <w:trPr>
          <w:trHeight w:val="216"/>
        </w:trPr>
        <w:tc>
          <w:tcPr>
            <w:tcW w:w="10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BTIG, LLC</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18"/>
                <w:szCs w:val="18"/>
                <w:color w:val="auto"/>
              </w:rPr>
            </w:pPr>
          </w:p>
        </w:tc>
      </w:tr>
      <w:tr>
        <w:trPr>
          <w:trHeight w:val="223"/>
        </w:trPr>
        <w:tc>
          <w:tcPr>
            <w:tcW w:w="104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ind w:right="-5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B-1</w:t>
      </w:r>
    </w:p>
    <w:p>
      <w:pPr>
        <w:spacing w:after="0" w:line="225" w:lineRule="exact"/>
        <w:rPr>
          <w:sz w:val="20"/>
          <w:szCs w:val="20"/>
          <w:color w:val="auto"/>
        </w:rPr>
      </w:pPr>
    </w:p>
    <w:p>
      <w:pPr>
        <w:jc w:val="center"/>
        <w:ind w:right="-511"/>
        <w:spacing w:after="0"/>
        <w:rPr>
          <w:sz w:val="20"/>
          <w:szCs w:val="20"/>
          <w:color w:val="auto"/>
        </w:rPr>
      </w:pPr>
      <w:r>
        <w:rPr>
          <w:rFonts w:ascii="Arial" w:cs="Arial" w:eastAsia="Arial" w:hAnsi="Arial"/>
          <w:sz w:val="18"/>
          <w:szCs w:val="18"/>
          <w:u w:val="single" w:color="auto"/>
          <w:color w:val="auto"/>
        </w:rPr>
        <w:t>Pricing Terms</w:t>
      </w:r>
    </w:p>
    <w:p>
      <w:pPr>
        <w:spacing w:after="0" w:line="225" w:lineRule="exact"/>
        <w:rPr>
          <w:sz w:val="20"/>
          <w:szCs w:val="20"/>
          <w:color w:val="auto"/>
        </w:rPr>
      </w:pPr>
    </w:p>
    <w:p>
      <w:pPr>
        <w:ind w:left="172" w:hanging="172"/>
        <w:spacing w:after="0"/>
        <w:tabs>
          <w:tab w:leader="none" w:pos="1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is selling 5,000,000 shares of Common Stock.</w:t>
      </w:r>
    </w:p>
    <w:p>
      <w:pPr>
        <w:spacing w:after="0" w:line="117" w:lineRule="exact"/>
        <w:rPr>
          <w:rFonts w:ascii="Arial" w:cs="Arial" w:eastAsia="Arial" w:hAnsi="Arial"/>
          <w:sz w:val="18"/>
          <w:szCs w:val="18"/>
          <w:color w:val="auto"/>
        </w:rPr>
      </w:pPr>
    </w:p>
    <w:p>
      <w:pPr>
        <w:ind w:left="172" w:hanging="172"/>
        <w:spacing w:after="0"/>
        <w:tabs>
          <w:tab w:leader="none" w:pos="17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has granted an option to the Underwriters, severally and not jointly, to purchase up to an additional 750,000 shares of Common Stock.</w:t>
      </w:r>
    </w:p>
    <w:p>
      <w:pPr>
        <w:spacing w:after="0" w:line="140" w:lineRule="exact"/>
        <w:rPr>
          <w:rFonts w:ascii="Arial" w:cs="Arial" w:eastAsia="Arial" w:hAnsi="Arial"/>
          <w:sz w:val="16"/>
          <w:szCs w:val="16"/>
          <w:color w:val="auto"/>
        </w:rPr>
      </w:pPr>
    </w:p>
    <w:p>
      <w:pPr>
        <w:ind w:left="172" w:hanging="172"/>
        <w:spacing w:after="0"/>
        <w:tabs>
          <w:tab w:leader="none" w:pos="1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public offering price per share for the Securities shall be $10.25.</w:t>
      </w:r>
    </w:p>
    <w:p>
      <w:pPr>
        <w:sectPr>
          <w:pgSz w:w="11900" w:h="16838" w:orient="portrait"/>
          <w:cols w:equalWidth="0" w:num="1">
            <w:col w:w="10892"/>
          </w:cols>
          <w:pgMar w:left="248" w:top="274" w:right="759" w:bottom="1440" w:gutter="0" w:footer="0" w:header="0"/>
        </w:sectPr>
      </w:pPr>
    </w:p>
    <w:bookmarkStart w:id="33" w:name="page34"/>
    <w:bookmarkEnd w:id="33"/>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B-2</w:t>
      </w:r>
    </w:p>
    <w:p>
      <w:pPr>
        <w:spacing w:after="0" w:line="225" w:lineRule="exact"/>
        <w:rPr>
          <w:sz w:val="20"/>
          <w:szCs w:val="20"/>
          <w:color w:val="auto"/>
        </w:rPr>
      </w:pPr>
    </w:p>
    <w:p>
      <w:pPr>
        <w:jc w:val="right"/>
        <w:ind w:right="3559"/>
        <w:spacing w:after="0"/>
        <w:rPr>
          <w:sz w:val="20"/>
          <w:szCs w:val="20"/>
          <w:color w:val="auto"/>
        </w:rPr>
      </w:pPr>
      <w:r>
        <w:rPr>
          <w:rFonts w:ascii="Arial" w:cs="Arial" w:eastAsia="Arial" w:hAnsi="Arial"/>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4" w:right="1440"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LOCK-UP AGREEMENT</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858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Leerink Partners LLC</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1301 Avenue of the Americas, 12th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William Blair &amp; Company, L.L.C.</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150 North Riverside Plaza</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Chicago, IL 60606</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Proposed Public Offering by Veracyte,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undersigned, a stockholder, officer and/or director of Veracyte,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understands that Leerink Partners LLC and William Blair &amp; Company, L.L.C.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propose to enter into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with the Company providing for the public offering (the “</w:t>
      </w:r>
      <w:r>
        <w:rPr>
          <w:rFonts w:ascii="Arial" w:cs="Arial" w:eastAsia="Arial" w:hAnsi="Arial"/>
          <w:sz w:val="16"/>
          <w:szCs w:val="16"/>
          <w:u w:val="single" w:color="auto"/>
          <w:color w:val="auto"/>
        </w:rPr>
        <w:t>Public Offering</w:t>
      </w:r>
      <w:r>
        <w:rPr>
          <w:rFonts w:ascii="Arial" w:cs="Arial" w:eastAsia="Arial" w:hAnsi="Arial"/>
          <w:sz w:val="16"/>
          <w:szCs w:val="16"/>
          <w:color w:val="auto"/>
        </w:rPr>
        <w:t>”) of shares (the “</w:t>
      </w:r>
      <w:r>
        <w:rPr>
          <w:rFonts w:ascii="Arial" w:cs="Arial" w:eastAsia="Arial" w:hAnsi="Arial"/>
          <w:sz w:val="16"/>
          <w:szCs w:val="16"/>
          <w:u w:val="single" w:color="auto"/>
          <w:color w:val="auto"/>
        </w:rPr>
        <w:t>Securities</w:t>
      </w:r>
      <w:r>
        <w:rPr>
          <w:rFonts w:ascii="Arial" w:cs="Arial" w:eastAsia="Arial" w:hAnsi="Arial"/>
          <w:sz w:val="16"/>
          <w:szCs w:val="16"/>
          <w:color w:val="auto"/>
        </w:rPr>
        <w:t>”) of the Company’s common stock,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Arial" w:cs="Arial" w:eastAsia="Arial" w:hAnsi="Arial"/>
          <w:sz w:val="16"/>
          <w:szCs w:val="16"/>
          <w:u w:val="single" w:color="auto"/>
          <w:color w:val="auto"/>
        </w:rPr>
        <w:t>Underwriters</w:t>
      </w:r>
      <w:r>
        <w:rPr>
          <w:rFonts w:ascii="Arial" w:cs="Arial" w:eastAsia="Arial" w:hAnsi="Arial"/>
          <w:sz w:val="16"/>
          <w:szCs w:val="16"/>
          <w:color w:val="auto"/>
        </w:rPr>
        <w:t>”) that, during the period beginning on the date hereof and ending on the date that is 90 days from the date of the Underwriting Agreement (the “</w:t>
      </w:r>
      <w:r>
        <w:rPr>
          <w:rFonts w:ascii="Arial" w:cs="Arial" w:eastAsia="Arial" w:hAnsi="Arial"/>
          <w:sz w:val="16"/>
          <w:szCs w:val="16"/>
          <w:u w:val="single" w:color="auto"/>
          <w:color w:val="auto"/>
        </w:rPr>
        <w:t>Lock-Up Period</w:t>
      </w:r>
      <w:r>
        <w:rPr>
          <w:rFonts w:ascii="Arial" w:cs="Arial" w:eastAsia="Arial" w:hAnsi="Arial"/>
          <w:sz w:val="16"/>
          <w:szCs w:val="16"/>
          <w:color w:val="auto"/>
        </w:rPr>
        <w:t>”), the undersigned will not, without the prior written consent of the Representatives, on behalf of the Underwriters, directly or indirectly, (i) offer, pledge, sell, contract to sell, sell any option or contract to purchase, purchase any option or contract to sell, grant any option, right or warrant for the sale of, or otherwise dispose of or transfer any shares of Common Stock or any securities convertible into or exchangeable or exercisable for Common Stock, whether now owned or hereafter acquired by the undersigned or with respect to which the undersigned has or hereafter acquires the power of disposition (collectively, the “</w:t>
      </w:r>
      <w:r>
        <w:rPr>
          <w:rFonts w:ascii="Arial" w:cs="Arial" w:eastAsia="Arial" w:hAnsi="Arial"/>
          <w:sz w:val="16"/>
          <w:szCs w:val="16"/>
          <w:u w:val="single" w:color="auto"/>
          <w:color w:val="auto"/>
        </w:rPr>
        <w:t>Lock-Up Securities</w:t>
      </w:r>
      <w:r>
        <w:rPr>
          <w:rFonts w:ascii="Arial" w:cs="Arial" w:eastAsia="Arial" w:hAnsi="Arial"/>
          <w:sz w:val="16"/>
          <w:szCs w:val="16"/>
          <w:color w:val="auto"/>
        </w:rPr>
        <w:t>”), or exercise any right with respect to the registration of any of the Lock-Up Securities, or file or cause to be filed any registration statement in connection therewith, under the Securities Act of 1933, as amended,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or (iii) publicly announce the intention to effect any of the transactions covered in clauses (i) and (ii) above.</w:t>
      </w:r>
    </w:p>
    <w:p>
      <w:pPr>
        <w:sectPr>
          <w:pgSz w:w="11900" w:h="16838" w:orient="portrait"/>
          <w:cols w:equalWidth="0" w:num="1">
            <w:col w:w="11380"/>
          </w:cols>
          <w:pgMar w:left="240" w:top="274" w:right="279" w:bottom="1440" w:gutter="0" w:footer="0" w:header="0"/>
        </w:sectPr>
      </w:pPr>
    </w:p>
    <w:bookmarkStart w:id="35" w:name="page36"/>
    <w:bookmarkEnd w:id="3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the undersigned may transfer Lock-Up Securities without the prior written consent of the Representatives as follows:</w:t>
      </w:r>
    </w:p>
    <w:p>
      <w:pPr>
        <w:spacing w:after="0" w:line="46" w:lineRule="exact"/>
        <w:rPr>
          <w:sz w:val="20"/>
          <w:szCs w:val="20"/>
          <w:color w:val="auto"/>
        </w:rPr>
      </w:pPr>
    </w:p>
    <w:p>
      <w:pPr>
        <w:ind w:right="20" w:firstLine="8"/>
        <w:spacing w:after="0" w:line="281" w:lineRule="auto"/>
        <w:tabs>
          <w:tab w:leader="none" w:pos="2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transfers of shares of Common Stock or any security convertible into or exercisable or exchangeable for Common Stock (i) as a bona fide gift or for bona fide estate planning purposes, (ii) to an immediate family member or a trust for the direct or indirect benefit of the undersigned or such immediate family member of the undersigned, or (iii) by will or intestacy, (b) (i) if the undersigned is a partnership, limited liability company, a corporation or other business entity, distributions of shares of Common Stock or any security convertible into or exercisable or exchangeable for Common Stock to limited partners, limited liability company members, stockholders or other equity holders of the undersigned or transfers of shares of Common Stock or any security convertible into or exercisable or exchangeable for Common Stock to another corporation, partnership or other business entity that controls, is controlled by or is under common control with the undersigned or (ii) if the undersigned is a trust, transfers of shares of Common Stock or any security convertible into or exercisable or exchangeable for Common Stock to a trustor, trustee or beneficiary of the trust;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w:t>
      </w:r>
    </w:p>
    <w:p>
      <w:pPr>
        <w:spacing w:after="0" w:line="5" w:lineRule="exact"/>
        <w:rPr>
          <w:rFonts w:ascii="Arial" w:cs="Arial" w:eastAsia="Arial" w:hAnsi="Arial"/>
          <w:sz w:val="16"/>
          <w:szCs w:val="16"/>
          <w:color w:val="auto"/>
        </w:rPr>
      </w:pPr>
    </w:p>
    <w:p>
      <w:pPr>
        <w:ind w:firstLine="8"/>
        <w:spacing w:after="0" w:line="285" w:lineRule="auto"/>
        <w:tabs>
          <w:tab w:leader="none" w:pos="2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or (b), (i) each transferee, donee or distributee shall sign and deliver a lock-up agreement substantially in the form of this lock-up agreement and (ii) no filing under Section 16(a)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or other public announcement reporting a reduction in beneficial ownership shall be required or shall be voluntarily made during the Lock-Up Period, (c) the transfer of shares of Common Stock or any security convertible into Common Stock to the Company upon a vesting event of the Company’s securities or upon the exercise of options to purchase the Company’s securities, in each case on a “cashless” or “net exercise” basis or to cover tax withholding obligations of the undersigned in connection with such vesting or exercise;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undersigned is required to file a report under Section 16(a) of the Exchange Act during the Lock-Up Period in connection with such vesting or exercise the undersigned shall clearly indicate in the footnotes thereto that the filing relates to the circumstances described in this clause (c) (for the avoidance of doubt, it being understood that any subsequent transfer or distribution of the shares of Common Stock or other securities issued upon any exercise, conversion or vesting event shall be subject to the restrictions set forth in this lock-up agreement), or (d) the transfer of shares of Common Stock or any security convertible into or exercisable or exchangeable for Common Stock that occurs pursuant to a qualified domestic order or in connection with a divorce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transferee shall sign and deliver a lock-up agreement substantially in the form of this lock-up agreement and (ii) no filing under Section 16(a) of the Exchange Act reporting a reduction in beneficial ownership shall be voluntarily made during the Lock-Up Period and, if the undersigned is required to file a report under Section 16(a) of the Exchange Act during the Lock-Up Period, the undersigned shall clearly indicate in the footnotes thereto that the filing relates to the circumstances described in this clause (d).</w:t>
      </w:r>
    </w:p>
    <w:p>
      <w:pPr>
        <w:spacing w:after="0" w:line="16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Furthermore, no provision in this lock-up agreement shall be deemed to restrict or prohibit (1) the transfer of the undersigned’s Lock-Up Securities to the Company in connection with the termination of the undersigned’s services to the Company, provided that any filing under Section 16(a) of the Exchange Act made in connection with such transfer shall clearly indicate in the footnotes thereto that the filing relates to the circumstances described in this clause (1);</w:t>
      </w:r>
    </w:p>
    <w:p>
      <w:pPr>
        <w:ind w:right="60" w:firstLine="8"/>
        <w:spacing w:after="0" w:line="287"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transfer of Lock-Up Securities pursuant to a bona fide third-party tender offer, merger, consolidation or other similar transaction made to all holders of the Common Stock involving a change of control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that such tender offer, merger, consolidation or other such transaction is not completed, such securities held by the undersigned shall remain subject to the restrictions on transfer set forth in this lock-up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clause (2), “change of control” shall mean the consummation of any bona fide third party tender offer, merger, consolidation or other similar transaction the result of which is that any “person” (as defined in Section 13(d)(3) of the Exchange Act), or group of persons, other than the Company or its subsidiaries, becomes the beneficial owner (as defined in Rules 13d-3 and 13d-5 of the Exchange Act) of more than 50% of total voting power of the voting stock of the Company; and (3) the exercise by the undersigned of any option to purchase shares of Common Stock or the vesting and settlement of restricted stock units for shares of Common Stock, pursuant to any stock option or other stock plan or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underlying shares of Common Stock shall continue to be subject to the restrictions on transfer set forth in this lock-up agreement.</w:t>
      </w:r>
    </w:p>
    <w:p>
      <w:pPr>
        <w:sectPr>
          <w:pgSz w:w="11900" w:h="16838" w:orient="portrait"/>
          <w:cols w:equalWidth="0" w:num="1">
            <w:col w:w="11420"/>
          </w:cols>
          <w:pgMar w:left="240" w:top="274" w:right="239" w:bottom="1440" w:gutter="0" w:footer="0" w:header="0"/>
        </w:sectPr>
      </w:pPr>
    </w:p>
    <w:bookmarkStart w:id="36" w:name="page37"/>
    <w:bookmarkEnd w:id="36"/>
    <w:p>
      <w:pPr>
        <w:ind w:right="10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herein to the contrary, nothing herein shall prevent the undersigned from establishing a 10b5-1 trading plan that complies with Rule 10b5-1 under the Exchange Act (“</w:t>
      </w:r>
      <w:r>
        <w:rPr>
          <w:rFonts w:ascii="Arial" w:cs="Arial" w:eastAsia="Arial" w:hAnsi="Arial"/>
          <w:sz w:val="17"/>
          <w:szCs w:val="17"/>
          <w:u w:val="single" w:color="auto"/>
          <w:color w:val="auto"/>
        </w:rPr>
        <w:t>10b5-1 Trading Plan</w:t>
      </w:r>
      <w:r>
        <w:rPr>
          <w:rFonts w:ascii="Arial" w:cs="Arial" w:eastAsia="Arial" w:hAnsi="Arial"/>
          <w:sz w:val="17"/>
          <w:szCs w:val="17"/>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and Exchange Commission, or otherwise and (ii) the undersigned does not otherwise voluntarily effect any public filing or report regarding the establishment or amendment of such plan during the Lock-Up Period.</w:t>
      </w:r>
    </w:p>
    <w:p>
      <w:pPr>
        <w:spacing w:after="0" w:line="17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Notwithstanding anything herein to the contrary, nothing herein shall prevent the undersigned from sales of Common Stock made pursuant to a 10b5-1 Trading Plan entered into prior to the date of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 public announcement or filing under the Exchange Act, if any, is required of or voluntary made by on or on behalf of the undersigned or the Company regarding any such sales, such announcement or filing shall include a statement to the effect that any sales were effected pursuant to such 10b5-1 Trading Plan.</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the undersigned agrees that, without the prior written consent of the Representatives, on behalf of the Underwriters, it will not, during the Lock-Up Period, make any demand for or exercise any right with respect to, the registration of any Lock-Up Securities.</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Lock-Up Securities except in compliance with the foregoing restrictions.</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In the event that either of the Representatives withdraws from or declines to participate in the Public Offering, all references to the Representatives contained in this letter shall be deemed to refer to the sole Representative that continues to participate in the Public Offering (the “Sole Representative”) and this lock-up agreement shall remain in full force and effect. In such event, any written consent, waiver or notice given or delivered in connection with this letter by the Sole Representative shall be deemed to be sufficient and effective for all purposes under this lock-up agreement.</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lock-up agreement shall automatically terminate, and the undersigned shall be released from the undersigned’s obligations hereunder, upon the earliest to occur, if any, of (i) prior to the execution of the Underwriting Agreement, the Company advises the Representatives in writing that it has determined not to proceed with the Public Offering; (ii) the Underwriting Agreement is executed but is terminated prior to the closing of the Public Offering (other than the provisions thereof which survive termination), or (iii) August 10, 2018, in the event that the Underwriting Agreement has not been executed by such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4" w:right="239" w:bottom="1440" w:gutter="0" w:footer="0" w:header="0"/>
        </w:sectPr>
      </w:pPr>
    </w:p>
    <w:bookmarkStart w:id="37" w:name="page38"/>
    <w:bookmarkEnd w:id="37"/>
    <w:p>
      <w:pPr>
        <w:ind w:left="6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160655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r>
        <w:rPr>
          <w:rFonts w:ascii="Arial" w:cs="Arial" w:eastAsia="Arial" w:hAnsi="Arial"/>
          <w:sz w:val="18"/>
          <w:szCs w:val="18"/>
          <w:color w:val="auto"/>
        </w:rPr>
        <w:t>)</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160655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169545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6"/>
          <w:szCs w:val="16"/>
          <w:i w:val="1"/>
          <w:iCs w:val="1"/>
          <w:color w:val="auto"/>
        </w:rPr>
        <w:t>(indicate capacity of person signing if signing as</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custodian, trustee, or on behalf of an entity)</w:t>
      </w:r>
    </w:p>
    <w:p>
      <w:pPr>
        <w:sectPr>
          <w:pgSz w:w="11900" w:h="16838" w:orient="portrait"/>
          <w:cols w:equalWidth="0" w:num="1">
            <w:col w:w="9160"/>
          </w:cols>
          <w:pgMar w:left="1440" w:top="274" w:right="12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172085</wp:posOffset>
            </wp:positionV>
            <wp:extent cx="2907030" cy="909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0703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deliver this opinion with respect to certain matters in connection with the offering by Veracyte,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 to 5,750,000 shares of the Company’s Common Stock, par value $0.001 per share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to be issued pursuant to that certain Underwriting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dated as of even date herewith, by and among the Company and Leerink Partners LLC and William Blair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L.L.C., as representative of the underwriters named on Schedule A thereto. The Shares were registered pursuant to the Registration Statement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S-3 (File No. 333-224576) filed by the Company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May 1, 2018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the prospectus dated May 11, 2018 included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the related prospectus supplement dated July 24, 2018, filed with the Commission pursuant to Rule 424(b)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Shares are to be sold by the Company as described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the Prospectus and the Underwriting Agreement.</w:t>
      </w:r>
    </w:p>
    <w:p>
      <w:pPr>
        <w:spacing w:after="0" w:line="21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connection with our opinion expressed below we have examined originals or copies of the Company’s Restated Certificate of Incorporation filed with, and certified by, the Delaware Secretary of State (the “</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and the Company’s Amended and Restated Bylaws (the “</w:t>
      </w:r>
      <w:r>
        <w:rPr>
          <w:rFonts w:ascii="Arial" w:cs="Arial" w:eastAsia="Arial" w:hAnsi="Arial"/>
          <w:sz w:val="16"/>
          <w:szCs w:val="16"/>
          <w:b w:val="1"/>
          <w:bCs w:val="1"/>
          <w:i w:val="1"/>
          <w:iCs w:val="1"/>
          <w:color w:val="auto"/>
        </w:rPr>
        <w:t>Restated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the Registration Statement, together with the Exhibits filed as a part thereof and all other documents incorporated therein by reference,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certain corporate proceedings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or a committee or committees thereof and the Company’s stockholders relating to the Registration Statement, and such other agreements, documents, certificates and statements of the Company, its transfer agent and public or government officials, as we have deemed advisable, and have examined such questions of law as we have considered necessary.</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assumed the authenticity of all documents submitted to us as originals, the genuineness of all signatures on documents submitted to us, the conformity to originals and completeness of all documents submitted to us as copies, the legal capacity of all persons or entities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July 24, 2018 and a management certificate addressed to us and dated of even date herewith executed by the Company containing certain factual representations by the Company.</w:t>
      </w:r>
    </w:p>
    <w:p>
      <w:pPr>
        <w:sectPr>
          <w:pgSz w:w="11900" w:h="16838" w:orient="portrait"/>
          <w:cols w:equalWidth="0" w:num="1">
            <w:col w:w="11420"/>
          </w:cols>
          <w:pgMar w:left="240" w:top="121" w:right="239" w:bottom="1440" w:gutter="0" w:footer="0" w:header="0"/>
        </w:sectPr>
      </w:pPr>
    </w:p>
    <w:bookmarkStart w:id="39" w:name="page40"/>
    <w:bookmarkEnd w:id="39"/>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render this opinion only with respect to, and express no opinion herein concerning the application or effect of any laws other than, the existing Delaware General Corporation Law.</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our opinions expressed below, we have assumed that, (i) at or prior to the time of the issuance and delivery of any of the Shares, there will not have occurred any change in the law or the facts affecting the validity of the Shares, any change in actions of the Board or the Company’s stockholders, or any amendments to the Restated Certificate or Restated Bylaws, and (ii) at the time of the offer, issuance and sale of any Shares, no stop order suspending the Registration Statement’s effectiveness will have been issued and remain in effect, and that the Registration Statement will not have been modified or rescinded. We also have assumed that the issuance and delivery of the Shares subsequent to the date hereof and the compliance by the Company with the terms of such Shares will not result in a violation of the Restated Certificate or any provision of any instrument or agreement then binding upon the Company or any restriction imposed by any court or governmental body then having jurisdiction over the Company.</w:t>
      </w:r>
    </w:p>
    <w:p>
      <w:pPr>
        <w:spacing w:after="0" w:line="16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Based upon the foregoing, we are of the opinion that when the Shares are issued, sold and delivered in the manner and for the consideration stated in the Registration Statement, the Prospectus and the resolutions adopted by the Board or a committee thereof referenced above, such Shares will be validly issued, fully paid and nonassessable.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consent to the use of this opinion as an exhibit to the Form 8-K and further consent to all references to us, if any, in the Registration Statement, the Prospectus and any amendments or supplements thereto.</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This opinion is intended solely for use in connection with the issuance and sale of the Shares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 Fenwick &amp; West LLP</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FENWICK &amp; WEST LLP</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855595" cy="720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55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Pricing of Public Offering of 5,000,000 Shares of Common Stock</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SOUTH SAN FRANCISCO, Calif.—(BUSINESS WIRE)—July 25, 2018—Veracyte, Inc. (Nasdaq: VCYT) today announced the pricing of an underwritten public offering of 5,000,000 shares of its common stock at a public offering price of $10.25 per share. The gross proceeds to Veracyte from this offering, before deducting underwriting discounts and commissions and offering expenses payable by Veracyte, are expected to be $51.3 million. All of the shares are being offered by Veracyte. The offering is expected to close on or about July 30, 2018, subject to customary closing conditions. In addition, Veracyte granted to the underwriters participating in the offering a 30-day option to purchase up to an additional 750,000 shares of its common stock at the public offering price, less underwriting discounts and commissions.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Veracyte intends to use the net proceeds from the offering for working capital and other general corporate purposes. Veracyte may also use a portion of the net proceeds from the offering to acquire or invest in complementary businesses, technologies or other assets, although it has no present commitments or agreements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and William Blair are acting as joint book-running managers for the offering and BTIG is acting as lead manager.</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shares will be issued pursuant to a shelf registration statement previously filed with and subsequently declared effective by the Securities and Exchange Commission (SEC). A preliminary prospectus supplement and accompanying prospectus relating to the offering were filed with the SEC and are available on the SEC’s website at www.sec.gov. A final prospectus supplement and accompanying prospectus will be filed with the SEC. A copy of the final prospectus supplement and accompanying prospectus relating to the offering, when available, may be obtained by contacting Leerink Partners LLC, Attention: Syndicate Department, One Federal Street, 37th Floor, Boston, Massachusetts 02110, by email at syndicate@leerink.com, or by telephone at (800) 808-7525, ext. 6132; or William Blair &amp; Company, L.L.C., Attention: Prospectus Department, The William Blair Building, 150 North Riverside Plaza, Chicago, Illinois 60606, by email at prospectus@williamblair.com, or by telephone at (800) 621-0687.</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press release does not and shall not constitute an offer to sell or the solicitation of an offer to buy any securities, nor shall there be any sale of these securities in any state or other jurisdiction in which such offer, solicitation or sale would be unlawful prior to registration or qualification under the securities laws of any such state or other jurisdiction. Any offer, if at all, will be made only by means of a prospectus, including a prospectus supplement, forming a part of the effective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Know by Design, the Veracyte logo and the Afirma logo are trademarks of Veracyte,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 Morris, (650) 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tracy.morris@veracyte.com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Keith Kennedy, (650) 243-6357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keith@veracyte.com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4"/>
    </w:lvl>
  </w:abstractNum>
  <w:abstractNum w:abstractNumId="2">
    <w:nsid w:val="721DA317"/>
    <w:multiLevelType w:val="hybridMultilevel"/>
    <w:lvl w:ilvl="0">
      <w:lvlJc w:val="left"/>
      <w:lvlText w:val="(%1)"/>
      <w:numFmt w:val="lowerLetter"/>
      <w:start w:val="1"/>
    </w:lvl>
    <w:lvl w:ilvl="1">
      <w:lvlJc w:val="left"/>
      <w:lvlText w:val="(%2)"/>
      <w:numFmt w:val="lowerLetter"/>
      <w:start w:val="9"/>
    </w:lvl>
  </w:abstractNum>
  <w:abstractNum w:abstractNumId="3">
    <w:nsid w:val="2443A858"/>
    <w:multiLevelType w:val="hybridMultilevel"/>
    <w:lvl w:ilvl="0">
      <w:lvlJc w:val="left"/>
      <w:lvlText w:val="(%1)"/>
      <w:numFmt w:val="lowerRoman"/>
      <w:start w:val="2"/>
    </w:lvl>
  </w:abstractNum>
  <w:abstractNum w:abstractNumId="4">
    <w:nsid w:val="2D1D5AE9"/>
    <w:multiLevelType w:val="hybridMultilevel"/>
    <w:lvl w:ilvl="0">
      <w:lvlJc w:val="left"/>
      <w:lvlText w:val="(%1)"/>
      <w:numFmt w:val="lowerRoman"/>
      <w:start w:val="3"/>
    </w:lvl>
  </w:abstractNum>
  <w:abstractNum w:abstractNumId="5">
    <w:nsid w:val="6763845E"/>
    <w:multiLevelType w:val="hybridMultilevel"/>
    <w:lvl w:ilvl="0">
      <w:lvlJc w:val="left"/>
      <w:lvlText w:val="(%1)"/>
      <w:numFmt w:val="lowerRoman"/>
      <w:start w:val="5"/>
    </w:lvl>
  </w:abstractNum>
  <w:abstractNum w:abstractNumId="6">
    <w:nsid w:val="75A2A8D4"/>
    <w:multiLevelType w:val="hybridMultilevel"/>
    <w:lvl w:ilvl="0">
      <w:lvlJc w:val="left"/>
      <w:lvlText w:val="%1"/>
      <w:numFmt w:val="lowerRoman"/>
      <w:start w:val="1"/>
    </w:lvl>
    <w:lvl w:ilvl="1">
      <w:lvlJc w:val="left"/>
      <w:lvlText w:val="(%2)"/>
      <w:numFmt w:val="lowerRoman"/>
      <w:start w:val="12"/>
    </w:lvl>
  </w:abstractNum>
  <w:abstractNum w:abstractNumId="7">
    <w:nsid w:val="8EDBDAB"/>
    <w:multiLevelType w:val="hybridMultilevel"/>
    <w:lvl w:ilvl="0">
      <w:lvlJc w:val="left"/>
      <w:lvlText w:val="(%1)"/>
      <w:numFmt w:val="lowerRoman"/>
      <w:start w:val="2"/>
    </w:lvl>
    <w:lvl w:ilvl="1">
      <w:lvlJc w:val="left"/>
      <w:lvlText w:val="(%2)"/>
      <w:numFmt w:val="lowerRoman"/>
      <w:start w:val="14"/>
    </w:lvl>
  </w:abstractNum>
  <w:abstractNum w:abstractNumId="8">
    <w:nsid w:val="79838CB2"/>
    <w:multiLevelType w:val="hybridMultilevel"/>
    <w:lvl w:ilvl="0">
      <w:lvlJc w:val="left"/>
      <w:lvlText w:val="(%1)"/>
      <w:numFmt w:val="lowerRoman"/>
      <w:start w:val="17"/>
    </w:lvl>
  </w:abstractNum>
  <w:abstractNum w:abstractNumId="9">
    <w:nsid w:val="4353D0CD"/>
    <w:multiLevelType w:val="hybridMultilevel"/>
    <w:lvl w:ilvl="0">
      <w:lvlJc w:val="left"/>
      <w:lvlText w:val="(%1)"/>
      <w:numFmt w:val="lowerRoman"/>
      <w:start w:val="22"/>
    </w:lvl>
    <w:lvl w:ilvl="1">
      <w:lvlJc w:val="left"/>
      <w:lvlText w:val="(%2)"/>
      <w:numFmt w:val="upperLetter"/>
      <w:start w:val="1"/>
    </w:lvl>
    <w:lvl w:ilvl="2">
      <w:lvlJc w:val="left"/>
      <w:lvlText w:val="(%3)"/>
      <w:numFmt w:val="lowerLetter"/>
      <w:start w:val="1"/>
    </w:lvl>
  </w:abstractNum>
  <w:abstractNum w:abstractNumId="10">
    <w:nsid w:val="B03E0C6"/>
    <w:multiLevelType w:val="hybridMultilevel"/>
    <w:lvl w:ilvl="0">
      <w:lvlJc w:val="left"/>
      <w:lvlText w:val="%1"/>
      <w:numFmt w:val="lowerRoman"/>
      <w:start w:val="1"/>
    </w:lvl>
    <w:lvl w:ilvl="1">
      <w:lvlJc w:val="left"/>
      <w:lvlText w:val="(%2)"/>
      <w:numFmt w:val="lowerRoman"/>
      <w:start w:val="20"/>
    </w:lvl>
  </w:abstractNum>
  <w:abstractNum w:abstractNumId="11">
    <w:nsid w:val="189A769B"/>
    <w:multiLevelType w:val="hybridMultilevel"/>
    <w:lvl w:ilvl="0">
      <w:lvlJc w:val="left"/>
      <w:lvlText w:val="(%1)"/>
      <w:numFmt w:val="lowerRoman"/>
      <w:start w:val="2"/>
    </w:lvl>
    <w:lvl w:ilvl="1">
      <w:lvlJc w:val="left"/>
      <w:lvlText w:val="(%2)"/>
      <w:numFmt w:val="lowerRoman"/>
      <w:start w:val="21"/>
    </w:lvl>
  </w:abstractNum>
  <w:abstractNum w:abstractNumId="12">
    <w:nsid w:val="54E49EB4"/>
    <w:multiLevelType w:val="hybridMultilevel"/>
    <w:lvl w:ilvl="0">
      <w:lvlJc w:val="left"/>
      <w:lvlText w:val="(%1)"/>
      <w:numFmt w:val="lowerRoman"/>
      <w:start w:val="22"/>
    </w:lvl>
  </w:abstractNum>
  <w:abstractNum w:abstractNumId="13">
    <w:nsid w:val="71F32454"/>
    <w:multiLevelType w:val="hybridMultilevel"/>
    <w:lvl w:ilvl="0">
      <w:lvlJc w:val="left"/>
      <w:lvlText w:val="(%1)"/>
      <w:numFmt w:val="lowerRoman"/>
      <w:start w:val="26"/>
    </w:lvl>
  </w:abstractNum>
  <w:abstractNum w:abstractNumId="14">
    <w:nsid w:val="2CA88611"/>
    <w:multiLevelType w:val="hybridMultilevel"/>
    <w:lvl w:ilvl="0">
      <w:lvlJc w:val="left"/>
      <w:lvlText w:val="(%1)"/>
      <w:numFmt w:val="lowerRoman"/>
      <w:start w:val="29"/>
    </w:lvl>
  </w:abstractNum>
  <w:abstractNum w:abstractNumId="15">
    <w:nsid w:val="836C40E"/>
    <w:multiLevelType w:val="hybridMultilevel"/>
    <w:lvl w:ilvl="0">
      <w:lvlJc w:val="left"/>
      <w:lvlText w:val="(%1)"/>
      <w:numFmt w:val="lowerRoman"/>
      <w:start w:val="33"/>
    </w:lvl>
  </w:abstractNum>
  <w:abstractNum w:abstractNumId="16">
    <w:nsid w:val="2901D82"/>
    <w:multiLevelType w:val="hybridMultilevel"/>
    <w:lvl w:ilvl="0">
      <w:lvlJc w:val="left"/>
      <w:lvlText w:val="(%1)"/>
      <w:numFmt w:val="lowerRoman"/>
      <w:start w:val="37"/>
    </w:lvl>
  </w:abstractNum>
  <w:abstractNum w:abstractNumId="17">
    <w:nsid w:val="3A95F874"/>
    <w:multiLevelType w:val="hybridMultilevel"/>
    <w:lvl w:ilvl="0">
      <w:lvlJc w:val="left"/>
      <w:lvlText w:val="(%1)"/>
      <w:numFmt w:val="lowerLetter"/>
      <w:start w:val="2"/>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3"/>
    </w:lvl>
  </w:abstractNum>
  <w:abstractNum w:abstractNumId="21">
    <w:nsid w:val="737B8DDC"/>
    <w:multiLevelType w:val="hybridMultilevel"/>
    <w:lvl w:ilvl="0">
      <w:lvlJc w:val="left"/>
      <w:lvlText w:val="(%1)"/>
      <w:numFmt w:val="lowerLetter"/>
      <w:start w:val="7"/>
    </w:lvl>
  </w:abstractNum>
  <w:abstractNum w:abstractNumId="22">
    <w:nsid w:val="6CEAF087"/>
    <w:multiLevelType w:val="hybridMultilevel"/>
    <w:lvl w:ilvl="0">
      <w:lvlJc w:val="left"/>
      <w:lvlText w:val="(%1)"/>
      <w:numFmt w:val="lowerLetter"/>
      <w:start w:val="11"/>
    </w:lvl>
  </w:abstractNum>
  <w:abstractNum w:abstractNumId="23">
    <w:nsid w:val="22221A70"/>
    <w:multiLevelType w:val="hybridMultilevel"/>
    <w:lvl w:ilvl="0">
      <w:lvlJc w:val="left"/>
      <w:lvlText w:val="%1"/>
      <w:numFmt w:val="lowerRoman"/>
      <w:start w:val="1"/>
    </w:lvl>
    <w:lvl w:ilvl="1">
      <w:lvlJc w:val="left"/>
      <w:lvlText w:val="(%2)"/>
      <w:numFmt w:val="lowerLetter"/>
      <w:start w:val="1"/>
    </w:lvl>
  </w:abstractNum>
  <w:abstractNum w:abstractNumId="24">
    <w:nsid w:val="4516DDE9"/>
    <w:multiLevelType w:val="hybridMultilevel"/>
    <w:lvl w:ilvl="0">
      <w:lvlJc w:val="left"/>
      <w:lvlText w:val="(%1)"/>
      <w:numFmt w:val="lowerRoman"/>
      <w:start w:val="1"/>
    </w:lvl>
    <w:lvl w:ilvl="1">
      <w:lvlJc w:val="left"/>
      <w:lvlText w:val="%2"/>
      <w:numFmt w:val="lowerLetter"/>
      <w:start w:val="1"/>
    </w:lvl>
  </w:abstractNum>
  <w:abstractNum w:abstractNumId="25">
    <w:nsid w:val="3006C83E"/>
    <w:multiLevelType w:val="hybridMultilevel"/>
    <w:lvl w:ilvl="0">
      <w:lvlJc w:val="left"/>
      <w:lvlText w:val="(%1)"/>
      <w:numFmt w:val="lowerRoman"/>
      <w:start w:val="7"/>
    </w:lvl>
    <w:lvl w:ilvl="1">
      <w:lvlJc w:val="left"/>
      <w:lvlText w:val="%2"/>
      <w:numFmt w:val="lowerLetter"/>
      <w:start w:val="1"/>
    </w:lvl>
  </w:abstractNum>
  <w:abstractNum w:abstractNumId="26">
    <w:nsid w:val="614FD4A1"/>
    <w:multiLevelType w:val="hybridMultilevel"/>
    <w:lvl w:ilvl="0">
      <w:lvlJc w:val="left"/>
      <w:lvlText w:val="(%1)"/>
      <w:numFmt w:val="lowerLetter"/>
      <w:start w:val="2"/>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5"/>
    </w:lvl>
  </w:abstractNum>
  <w:abstractNum w:abstractNumId="29">
    <w:nsid w:val="440BADFC"/>
    <w:multiLevelType w:val="hybridMultilevel"/>
    <w:lvl w:ilvl="0">
      <w:lvlJc w:val="left"/>
      <w:lvlText w:val="%1"/>
      <w:numFmt w:val="lowerLetter"/>
      <w:start w:val="1"/>
    </w:lvl>
    <w:lvl w:ilvl="1">
      <w:lvlJc w:val="left"/>
      <w:lvlText w:val="(%2)"/>
      <w:numFmt w:val="lowerRoman"/>
      <w:start w:val="1"/>
    </w:lvl>
  </w:abstractNum>
  <w:abstractNum w:abstractNumId="30">
    <w:nsid w:val="5072367"/>
    <w:multiLevelType w:val="hybridMultilevel"/>
    <w:lvl w:ilvl="0">
      <w:lvlJc w:val="left"/>
      <w:lvlText w:val="(%1)"/>
      <w:numFmt w:val="lowerLetter"/>
      <w:start w:val="13"/>
    </w:lvl>
    <w:lvl w:ilvl="1">
      <w:lvlJc w:val="left"/>
      <w:lvlText w:val="%2"/>
      <w:numFmt w:val="lowerRoman"/>
      <w:start w:val="1"/>
    </w:lvl>
  </w:abstractNum>
  <w:abstractNum w:abstractNumId="31">
    <w:nsid w:val="3804823E"/>
    <w:multiLevelType w:val="hybridMultilevel"/>
    <w:lvl w:ilvl="0">
      <w:lvlJc w:val="left"/>
      <w:lvlText w:val="(%1)"/>
      <w:numFmt w:val="lowerLetter"/>
      <w:start w:val="1"/>
    </w:lvl>
    <w:lvl w:ilvl="1">
      <w:lvlJc w:val="left"/>
      <w:lvlText w:val="(%2)"/>
      <w:numFmt w:val="lowerRoman"/>
      <w:start w:val="1"/>
    </w:lvl>
  </w:abstractNum>
  <w:abstractNum w:abstractNumId="32">
    <w:nsid w:val="77465F01"/>
    <w:multiLevelType w:val="hybridMultilevel"/>
    <w:lvl w:ilvl="0">
      <w:lvlJc w:val="left"/>
      <w:lvlText w:val="(%1)"/>
      <w:numFmt w:val="lowerLetter"/>
      <w:start w:val="2"/>
    </w:lvl>
  </w:abstractNum>
  <w:abstractNum w:abstractNumId="33">
    <w:nsid w:val="7724C67E"/>
    <w:multiLevelType w:val="hybridMultilevel"/>
    <w:lvl w:ilvl="0">
      <w:lvlJc w:val="left"/>
      <w:lvlText w:val="(%1)"/>
      <w:numFmt w:val="lowerLetter"/>
      <w:start w:val="3"/>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2"/>
    </w:lvl>
  </w:abstractNum>
  <w:abstractNum w:abstractNumId="36">
    <w:nsid w:val="5E884ADC"/>
    <w:multiLevelType w:val="hybridMultilevel"/>
    <w:lvl w:ilvl="0">
      <w:lvlJc w:val="left"/>
      <w:lvlText w:val="(%1)"/>
      <w:numFmt w:val="lowerRoman"/>
      <w:start w:val="2"/>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2019-12-28T20:47:09Z</dcterms:created>
  <dcterms:modified xsi:type="dcterms:W3CDTF">2019-12-28T20:47:09Z</dcterms:modified>
</cp:coreProperties>
</file>