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548005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3, 2019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VERACYTE,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020" w:type="dxa"/>
            <w:vAlign w:val="bottom"/>
          </w:tcPr>
          <w:p>
            <w:pPr>
              <w:ind w:left="500"/>
              <w:spacing w:after="0"/>
              <w:rPr>
                <w:sz w:val="20"/>
                <w:szCs w:val="20"/>
                <w:color w:val="auto"/>
              </w:rPr>
            </w:pPr>
            <w:r>
              <w:rPr>
                <w:rFonts w:ascii="Arial" w:cs="Arial" w:eastAsia="Arial" w:hAnsi="Arial"/>
                <w:sz w:val="18"/>
                <w:szCs w:val="18"/>
                <w:b w:val="1"/>
                <w:bCs w:val="1"/>
                <w:color w:val="auto"/>
              </w:rPr>
              <w:t>DELAWARE</w:t>
            </w:r>
          </w:p>
        </w:tc>
        <w:tc>
          <w:tcPr>
            <w:tcW w:w="374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60" w:type="dxa"/>
            <w:vAlign w:val="bottom"/>
          </w:tcPr>
          <w:p>
            <w:pPr>
              <w:jc w:val="right"/>
              <w:ind w:right="550"/>
              <w:spacing w:after="0"/>
              <w:rPr>
                <w:sz w:val="20"/>
                <w:szCs w:val="20"/>
                <w:color w:val="auto"/>
              </w:rPr>
            </w:pPr>
            <w:r>
              <w:rPr>
                <w:rFonts w:ascii="Arial" w:cs="Arial" w:eastAsia="Arial" w:hAnsi="Arial"/>
                <w:sz w:val="18"/>
                <w:szCs w:val="18"/>
                <w:b w:val="1"/>
                <w:bCs w:val="1"/>
                <w:color w:val="auto"/>
              </w:rPr>
              <w:t>20-5455398</w:t>
            </w: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3740" w:type="dxa"/>
            <w:vAlign w:val="bottom"/>
          </w:tcPr>
          <w:p>
            <w:pPr>
              <w:spacing w:after="0"/>
              <w:rPr>
                <w:sz w:val="24"/>
                <w:szCs w:val="24"/>
                <w:color w:val="auto"/>
              </w:rPr>
            </w:pP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5"/>
              </w:rPr>
              <w:t>(IRS Employer Identification</w:t>
            </w:r>
          </w:p>
        </w:tc>
      </w:tr>
      <w:tr>
        <w:trPr>
          <w:trHeight w:val="257"/>
        </w:trPr>
        <w:tc>
          <w:tcPr>
            <w:tcW w:w="3020" w:type="dxa"/>
            <w:vAlign w:val="bottom"/>
          </w:tcPr>
          <w:p>
            <w:pPr>
              <w:ind w:left="540"/>
              <w:spacing w:after="0"/>
              <w:rPr>
                <w:sz w:val="20"/>
                <w:szCs w:val="20"/>
                <w:color w:val="auto"/>
              </w:rPr>
            </w:pPr>
            <w:r>
              <w:rPr>
                <w:rFonts w:ascii="Arial" w:cs="Arial" w:eastAsia="Arial" w:hAnsi="Arial"/>
                <w:sz w:val="18"/>
                <w:szCs w:val="18"/>
                <w:color w:val="auto"/>
              </w:rPr>
              <w:t>incorporation)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3"/>
              </w:rPr>
              <w:t>No.)</w:t>
            </w:r>
          </w:p>
        </w:tc>
      </w:tr>
      <w:tr>
        <w:trPr>
          <w:trHeight w:val="621"/>
        </w:trPr>
        <w:tc>
          <w:tcPr>
            <w:tcW w:w="676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6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70"/>
        </w:trPr>
        <w:tc>
          <w:tcPr>
            <w:tcW w:w="6760" w:type="dxa"/>
            <w:vAlign w:val="bottom"/>
            <w:gridSpan w:val="2"/>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61" w:lineRule="exact"/>
        <w:rPr>
          <w:sz w:val="24"/>
          <w:szCs w:val="24"/>
          <w:color w:val="auto"/>
        </w:rPr>
      </w:pPr>
    </w:p>
    <w:p>
      <w:pPr>
        <w:ind w:left="6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78"/>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4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gridSpan w:val="2"/>
          </w:tcPr>
          <w:p>
            <w:pPr>
              <w:ind w:left="840"/>
              <w:spacing w:after="0"/>
              <w:rPr>
                <w:sz w:val="20"/>
                <w:szCs w:val="20"/>
                <w:color w:val="auto"/>
              </w:rPr>
            </w:pPr>
            <w:r>
              <w:rPr>
                <w:rFonts w:ascii="Arial" w:cs="Arial" w:eastAsia="Arial" w:hAnsi="Arial"/>
                <w:sz w:val="18"/>
                <w:szCs w:val="18"/>
                <w:color w:val="auto"/>
              </w:rPr>
              <w:t>VCYT</w:t>
            </w:r>
          </w:p>
        </w:tc>
        <w:tc>
          <w:tcPr>
            <w:tcW w:w="44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91" w:lineRule="exact"/>
        <w:rPr>
          <w:sz w:val="24"/>
          <w:szCs w:val="24"/>
          <w:color w:val="auto"/>
        </w:rPr>
      </w:pPr>
    </w:p>
    <w:p>
      <w:pPr>
        <w:ind w:left="100"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117" w:lineRule="exact"/>
        <w:rPr>
          <w:sz w:val="24"/>
          <w:szCs w:val="24"/>
          <w:color w:val="auto"/>
        </w:rPr>
      </w:pPr>
    </w:p>
    <w:p>
      <w:pPr>
        <w:ind w:left="160" w:right="20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267335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 w:name="page2"/>
    <w:bookmarkEnd w:id="1"/>
    <w:p>
      <w:pPr>
        <w:ind w:right="20" w:firstLine="648"/>
        <w:spacing w:after="0" w:line="253" w:lineRule="auto"/>
        <w:rPr>
          <w:sz w:val="20"/>
          <w:szCs w:val="20"/>
          <w:color w:val="auto"/>
        </w:rPr>
      </w:pPr>
      <w:r>
        <w:rPr>
          <w:rFonts w:ascii="Arial" w:cs="Arial" w:eastAsia="Arial" w:hAnsi="Arial"/>
          <w:sz w:val="18"/>
          <w:szCs w:val="18"/>
          <w:color w:val="auto"/>
        </w:rPr>
        <w:t>On December 3, 2019, Veracyte, Inc. (the “Company”) filed a Current Report on Form 8-K (the “Original Form 8-K”) reporting that on December 3, 2019, the Company entered into a License and Asset Purchase Agreement with NanoString Technologies, Inc. (“NanoString”) pursuant to which the Company acquired (the “Acquisition”) a license and certain assets from NanoString. This Form 8-K/A amends the Original Form 8-K to include an audited statement of assets acquired and liabilities assumed prepared on the basis of the allocation of the Company’s purchase price as of the acquisition date (the “Abbreviated Financial Statements”) and the pro forma condensed balance sheet of the Company as of September 30, 2019, giving effect to the Acquisition. There were no liabilities assumed in connection with the Acquisition. As disclosed in the Original Form 8-K, in connection with the Acquisition, the Company obtained from the Securities and Exchange Commission, pursuant to its authority under Rule 3-13 under Regulation S-X, a waiver from the requirements of Rule 3-05 of Regulation S-X to provide certain financial statements of NanoString relating to the Acquisition, other than the Abbreviated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line="308" w:lineRule="auto"/>
        <w:tabs>
          <w:tab w:leader="none" w:pos="26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Financial statement of business acquired</w:t>
      </w:r>
      <w:r>
        <w:rPr>
          <w:rFonts w:ascii="Arial" w:cs="Arial" w:eastAsia="Arial" w:hAnsi="Arial"/>
          <w:sz w:val="17"/>
          <w:szCs w:val="17"/>
          <w:color w:val="auto"/>
        </w:rPr>
        <w:t>. The audited statement of assets acquired and liabilities assumed is filed herewith as Exhibit 99.1. The consent of</w:t>
      </w:r>
      <w:r>
        <w:rPr>
          <w:rFonts w:ascii="Arial" w:cs="Arial" w:eastAsia="Arial" w:hAnsi="Arial"/>
          <w:sz w:val="17"/>
          <w:szCs w:val="17"/>
          <w:i w:val="1"/>
          <w:iCs w:val="1"/>
          <w:color w:val="auto"/>
        </w:rPr>
        <w:t xml:space="preserve"> </w:t>
      </w:r>
      <w:r>
        <w:rPr>
          <w:rFonts w:ascii="Arial" w:cs="Arial" w:eastAsia="Arial" w:hAnsi="Arial"/>
          <w:sz w:val="17"/>
          <w:szCs w:val="17"/>
          <w:color w:val="auto"/>
        </w:rPr>
        <w:t>Ernst &amp; Young, LLP, the Company’s independent registered public accounting firm, is attached as Exhibit 23.1 to this Form 8-K/A.</w:t>
      </w:r>
    </w:p>
    <w:p>
      <w:pPr>
        <w:spacing w:after="0" w:line="146" w:lineRule="exact"/>
        <w:rPr>
          <w:rFonts w:ascii="Arial" w:cs="Arial" w:eastAsia="Arial" w:hAnsi="Arial"/>
          <w:sz w:val="17"/>
          <w:szCs w:val="17"/>
          <w:color w:val="auto"/>
        </w:rPr>
      </w:pPr>
    </w:p>
    <w:p>
      <w:pPr>
        <w:ind w:left="260" w:hanging="252"/>
        <w:spacing w:after="0" w:line="277" w:lineRule="auto"/>
        <w:tabs>
          <w:tab w:leader="none" w:pos="292"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r>
        <w:rPr>
          <w:rFonts w:ascii="Arial" w:cs="Arial" w:eastAsia="Arial" w:hAnsi="Arial"/>
          <w:sz w:val="18"/>
          <w:szCs w:val="18"/>
          <w:color w:val="auto"/>
        </w:rPr>
        <w:t>. The unaudited pro forma condensed combined balance sheet of the Company giving effect to the Acquisition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is filed herewith as Exhibit 99.2.</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383" w:lineRule="exact"/>
        <w:rPr>
          <w:sz w:val="20"/>
          <w:szCs w:val="20"/>
          <w:color w:val="auto"/>
        </w:rPr>
      </w:pPr>
    </w:p>
    <w:p>
      <w:pPr>
        <w:ind w:left="40"/>
        <w:spacing w:after="0"/>
        <w:tabs>
          <w:tab w:leader="none" w:pos="60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040"/>
        <w:spacing w:after="0"/>
        <w:tabs>
          <w:tab w:leader="none" w:pos="150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Consent of Independent Auditors</w:t>
        </w:r>
      </w:hyperlink>
    </w:p>
    <w:p>
      <w:pPr>
        <w:spacing w:after="0" w:line="63" w:lineRule="exact"/>
        <w:rPr>
          <w:sz w:val="20"/>
          <w:szCs w:val="20"/>
          <w:color w:val="auto"/>
        </w:rPr>
      </w:pPr>
    </w:p>
    <w:p>
      <w:pPr>
        <w:ind w:left="1040"/>
        <w:spacing w:after="0"/>
        <w:tabs>
          <w:tab w:leader="none" w:pos="1500" w:val="left"/>
        </w:tabs>
        <w:rPr>
          <w:rFonts w:ascii="Arial" w:cs="Arial" w:eastAsia="Arial" w:hAnsi="Arial"/>
          <w:sz w:val="16"/>
          <w:szCs w:val="16"/>
          <w:u w:val="single" w:color="auto"/>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5">
        <w:r>
          <w:rPr>
            <w:rFonts w:ascii="Arial" w:cs="Arial" w:eastAsia="Arial" w:hAnsi="Arial"/>
            <w:sz w:val="16"/>
            <w:szCs w:val="16"/>
            <w:u w:val="single" w:color="auto"/>
            <w:color w:val="0000FF"/>
          </w:rPr>
          <w:t>Audited Statement of Assets Acquired and Liabilities Assumed</w:t>
        </w:r>
      </w:hyperlink>
    </w:p>
    <w:p>
      <w:pPr>
        <w:spacing w:after="0" w:line="63" w:lineRule="exact"/>
        <w:rPr>
          <w:sz w:val="20"/>
          <w:szCs w:val="20"/>
          <w:color w:val="auto"/>
        </w:rPr>
      </w:pPr>
    </w:p>
    <w:p>
      <w:pPr>
        <w:ind w:left="1040"/>
        <w:spacing w:after="0"/>
        <w:tabs>
          <w:tab w:leader="none" w:pos="1500" w:val="left"/>
        </w:tabs>
        <w:rPr>
          <w:rFonts w:ascii="Arial" w:cs="Arial" w:eastAsia="Arial" w:hAnsi="Arial"/>
          <w:sz w:val="16"/>
          <w:szCs w:val="16"/>
          <w:u w:val="single" w:color="auto"/>
          <w:color w:val="0000FF"/>
        </w:rPr>
      </w:pPr>
      <w:hyperlink w:anchor="page11">
        <w:r>
          <w:rPr>
            <w:rFonts w:ascii="Arial" w:cs="Arial" w:eastAsia="Arial" w:hAnsi="Arial"/>
            <w:sz w:val="18"/>
            <w:szCs w:val="18"/>
            <w:u w:val="single" w:color="auto"/>
            <w:color w:val="0000FF"/>
          </w:rPr>
          <w:t>99.2</w:t>
        </w:r>
      </w:hyperlink>
      <w:r>
        <w:rPr>
          <w:rFonts w:ascii="Arial" w:cs="Arial" w:eastAsia="Arial" w:hAnsi="Arial"/>
          <w:sz w:val="18"/>
          <w:szCs w:val="18"/>
          <w:u w:val="single" w:color="auto"/>
          <w:color w:val="0000FF"/>
        </w:rPr>
        <w:tab/>
      </w:r>
      <w:hyperlink w:anchor="page11">
        <w:r>
          <w:rPr>
            <w:rFonts w:ascii="Arial" w:cs="Arial" w:eastAsia="Arial" w:hAnsi="Arial"/>
            <w:sz w:val="16"/>
            <w:szCs w:val="16"/>
            <w:u w:val="single" w:color="auto"/>
            <w:color w:val="0000FF"/>
          </w:rPr>
          <w:t>Unaudited Pro Forma Condensed Combined Balance Sheet of the Company as of September 30, 2019.</w:t>
        </w:r>
      </w:hyperlink>
    </w:p>
    <w:p>
      <w:pPr>
        <w:sectPr>
          <w:pgSz w:w="11900" w:h="16838" w:orient="portrait"/>
          <w:cols w:equalWidth="0" w:num="1">
            <w:col w:w="11420"/>
          </w:cols>
          <w:pgMar w:left="240" w:top="77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18, 2020</w:t>
      </w:r>
    </w:p>
    <w:p>
      <w:pPr>
        <w:spacing w:after="0" w:line="35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VERACYTE, INC.</w:t>
      </w:r>
    </w:p>
    <w:p>
      <w:pPr>
        <w:spacing w:after="0" w:line="364"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Pr>
          <w:p>
            <w:pPr>
              <w:ind w:left="20"/>
              <w:spacing w:after="0"/>
              <w:rPr>
                <w:sz w:val="20"/>
                <w:szCs w:val="20"/>
                <w:color w:val="auto"/>
              </w:rPr>
            </w:pPr>
            <w:r>
              <w:rPr>
                <w:rFonts w:ascii="Arial" w:cs="Arial" w:eastAsia="Arial" w:hAnsi="Arial"/>
                <w:sz w:val="18"/>
                <w:szCs w:val="18"/>
                <w:color w:val="auto"/>
              </w:rPr>
              <w:t>/s/ Keith Kennedy</w:t>
            </w:r>
          </w:p>
        </w:tc>
      </w:tr>
      <w:tr>
        <w:trPr>
          <w:trHeight w:val="27"/>
        </w:trPr>
        <w:tc>
          <w:tcPr>
            <w:tcW w:w="90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tcPr>
          <w:p>
            <w:pPr>
              <w:ind w:left="20"/>
              <w:spacing w:after="0"/>
              <w:rPr>
                <w:sz w:val="20"/>
                <w:szCs w:val="20"/>
                <w:color w:val="auto"/>
              </w:rPr>
            </w:pPr>
            <w:r>
              <w:rPr>
                <w:rFonts w:ascii="Arial" w:cs="Arial" w:eastAsia="Arial" w:hAnsi="Arial"/>
                <w:sz w:val="18"/>
                <w:szCs w:val="18"/>
                <w:color w:val="auto"/>
              </w:rPr>
              <w:t>Keith Kennedy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 and Chief Financial Officer</w:t>
            </w:r>
          </w:p>
        </w:tc>
      </w:tr>
    </w:tbl>
    <w:p>
      <w:pPr>
        <w:sectPr>
          <w:pgSz w:w="11900" w:h="16838" w:orient="portrait"/>
          <w:cols w:equalWidth="0" w:num="1">
            <w:col w:w="11400"/>
          </w:cols>
          <w:pgMar w:left="240" w:top="769"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20" w:right="340" w:hanging="488"/>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Statements (Forms S-8 Nos. 333-191992, 333-203097, 333-210185, 333-216388, 333-223292, and 333-229848) pertaining to the 2008 Stock Plan and 2013 Stock Incentive Plan of Veracyte, Inc.,</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Statement (Form S-8 No. 333-205206) pertaining to the Employee Stock Purchase Plan of Veracyte, Inc., and</w:t>
      </w:r>
    </w:p>
    <w:p>
      <w:pPr>
        <w:spacing w:after="0" w:line="9" w:lineRule="exact"/>
        <w:rPr>
          <w:rFonts w:ascii="Arial" w:cs="Arial" w:eastAsia="Arial" w:hAnsi="Arial"/>
          <w:sz w:val="18"/>
          <w:szCs w:val="18"/>
          <w:color w:val="auto"/>
        </w:rPr>
      </w:pPr>
    </w:p>
    <w:p>
      <w:pPr>
        <w:ind w:left="820" w:right="640" w:hanging="488"/>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Statements (Forms S-3 Nos. 333-204368, 333-205204, 333-224576 and 333-231153, and Form S-3/ASR No. 333-231173) of Veracyte, Inc.;</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February 18, 2020, with respect to the Statement of Assets Acquired and Liabilities Assumed and related notes as of December 3, 2019, included in this Current Report on Form 8-K/A of Veracyte,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2020</w:t>
      </w:r>
    </w:p>
    <w:p>
      <w:pPr>
        <w:sectPr>
          <w:pgSz w:w="11900" w:h="16838" w:orient="portrait"/>
          <w:cols w:equalWidth="0" w:num="1">
            <w:col w:w="11420"/>
          </w:cols>
          <w:pgMar w:left="240" w:top="55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VERACYTE,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STATEMENT OF ASSETS ACQUIRED AND LIABILITIES ASSUMED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468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Page No.</w:t>
            </w:r>
          </w:p>
        </w:tc>
      </w:tr>
      <w:tr>
        <w:trPr>
          <w:trHeight w:val="202"/>
        </w:trPr>
        <w:tc>
          <w:tcPr>
            <w:tcW w:w="5180" w:type="dxa"/>
            <w:vAlign w:val="bottom"/>
          </w:tcPr>
          <w:p>
            <w:pPr>
              <w:ind w:left="160"/>
              <w:spacing w:after="0" w:line="202" w:lineRule="exact"/>
              <w:rPr>
                <w:sz w:val="20"/>
                <w:szCs w:val="20"/>
                <w:color w:val="auto"/>
              </w:rPr>
            </w:pPr>
            <w:r>
              <w:rPr>
                <w:rFonts w:ascii="Arial" w:cs="Arial" w:eastAsia="Arial" w:hAnsi="Arial"/>
                <w:sz w:val="18"/>
                <w:szCs w:val="18"/>
                <w:color w:val="auto"/>
              </w:rPr>
              <w:t>Report of Independent Auditors</w:t>
            </w:r>
          </w:p>
        </w:tc>
        <w:tc>
          <w:tcPr>
            <w:tcW w:w="5460" w:type="dxa"/>
            <w:vAlign w:val="bottom"/>
            <w:gridSpan w:val="3"/>
          </w:tcPr>
          <w:p>
            <w:pPr>
              <w:jc w:val="center"/>
              <w:ind w:left="529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7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5180" w:type="dxa"/>
            <w:vAlign w:val="bottom"/>
          </w:tcPr>
          <w:p>
            <w:pPr>
              <w:ind w:left="160"/>
              <w:spacing w:after="0"/>
              <w:rPr>
                <w:sz w:val="20"/>
                <w:szCs w:val="20"/>
                <w:color w:val="auto"/>
              </w:rPr>
            </w:pPr>
            <w:r>
              <w:rPr>
                <w:rFonts w:ascii="Arial" w:cs="Arial" w:eastAsia="Arial" w:hAnsi="Arial"/>
                <w:sz w:val="18"/>
                <w:szCs w:val="18"/>
                <w:color w:val="auto"/>
              </w:rPr>
              <w:t>Statement of Assets Acquired and Liabilities Assumed</w:t>
            </w:r>
          </w:p>
        </w:tc>
        <w:tc>
          <w:tcPr>
            <w:tcW w:w="5460" w:type="dxa"/>
            <w:vAlign w:val="bottom"/>
            <w:gridSpan w:val="3"/>
          </w:tcPr>
          <w:p>
            <w:pPr>
              <w:jc w:val="center"/>
              <w:ind w:left="52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70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5180" w:type="dxa"/>
            <w:vAlign w:val="bottom"/>
          </w:tcPr>
          <w:p>
            <w:pPr>
              <w:ind w:left="160"/>
              <w:spacing w:after="0"/>
              <w:rPr>
                <w:sz w:val="20"/>
                <w:szCs w:val="20"/>
                <w:color w:val="auto"/>
              </w:rPr>
            </w:pPr>
            <w:r>
              <w:rPr>
                <w:rFonts w:ascii="Arial" w:cs="Arial" w:eastAsia="Arial" w:hAnsi="Arial"/>
                <w:sz w:val="18"/>
                <w:szCs w:val="18"/>
                <w:color w:val="auto"/>
                <w:w w:val="99"/>
              </w:rPr>
              <w:t>Notes to Statement of Assets Acquired and Liabilities Assumed</w:t>
            </w:r>
          </w:p>
        </w:tc>
        <w:tc>
          <w:tcPr>
            <w:tcW w:w="5460" w:type="dxa"/>
            <w:vAlign w:val="bottom"/>
            <w:gridSpan w:val="3"/>
          </w:tcPr>
          <w:p>
            <w:pPr>
              <w:jc w:val="center"/>
              <w:ind w:left="52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700" w:type="dxa"/>
            <w:vAlign w:val="bottom"/>
          </w:tcPr>
          <w:p>
            <w:pPr>
              <w:spacing w:after="0"/>
              <w:rPr>
                <w:sz w:val="21"/>
                <w:szCs w:val="21"/>
                <w:color w:val="auto"/>
              </w:rPr>
            </w:pPr>
          </w:p>
        </w:tc>
      </w:tr>
      <w:tr>
        <w:trPr>
          <w:trHeight w:val="696"/>
        </w:trPr>
        <w:tc>
          <w:tcPr>
            <w:tcW w:w="5180" w:type="dxa"/>
            <w:vAlign w:val="bottom"/>
          </w:tcPr>
          <w:p>
            <w:pPr>
              <w:spacing w:after="0"/>
              <w:rPr>
                <w:sz w:val="24"/>
                <w:szCs w:val="24"/>
                <w:color w:val="auto"/>
              </w:rPr>
            </w:pPr>
          </w:p>
        </w:tc>
        <w:tc>
          <w:tcPr>
            <w:tcW w:w="4680" w:type="dxa"/>
            <w:vAlign w:val="bottom"/>
          </w:tcPr>
          <w:p>
            <w:pPr>
              <w:jc w:val="right"/>
              <w:ind w:right="407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60"/>
          </w:cols>
          <w:pgMar w:left="300" w:top="12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have audited the accompanying Statement of Assets Acquired and Liabilities Assumed from NanoString Technologies, Inc. by Veracyte, Inc. (the “Company”) on December 3, 2019 (the Statement of Assets Acquired and Liabilities Assumed), and the related notes (collectively referred to as the “financial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Statement of Assets Acquired and Liabilities Assumed</w:t>
      </w:r>
    </w:p>
    <w:p>
      <w:pPr>
        <w:spacing w:after="0" w:line="27"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Management is responsible for the preparation and fair presentation of the financial statement in conformity with U.S. generally accepted accounting principles; this includes the design, implementation and maintenance of internal control relevant to the preparation and fair presentation of the financial statement that is free of material misstatement, whether due to fraud or error.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responsibility is to express an opinion on the financial statement based on our audit. We conducted our audit in accordance with auditing standards generally accepted in the United States. Those standards require that we plan and perform the audit to obtain reasonable assurance about whether the financial statement is free of material misstatement.</w:t>
      </w:r>
    </w:p>
    <w:p>
      <w:pPr>
        <w:spacing w:after="0" w:line="1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 The procedures selected depend on the auditor’s judgment, including the assessment of the risks of material misstatement of the financial statement, whether due to fraud or error. In making those risk assessments, the auditor considers internal control relevant to the entity’s preparation and fair presentation of the financial statement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assets acquired and liabilities assumed from NanoString Technologies, Inc. by Veracyte, Inc. on December 3, 2019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draw attention to Note 1 of the financial statement, which describes that the accompanying Statement of Assets Acquired and Liabilities Assumed was prepared for the purpose of complying with the rules and regulations of the Securities and Exchange Commission for inclusion in the Current Report on Form 8-K/A of Veracyte, Inc. and is not intended to be a complete presentation of the financial position of the Company. Our opinion is not modified with respect to this matter.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6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ACQUIRED AND LIABILITIES ASSUMED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Prosigna product technology</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Prosigna customer relationships</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2,430</w:t>
            </w:r>
          </w:p>
        </w:tc>
      </w:tr>
      <w:tr>
        <w:trPr>
          <w:trHeight w:val="27"/>
        </w:trPr>
        <w:tc>
          <w:tcPr>
            <w:tcW w:w="9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nCounter FLEX Dx license</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LymphMark product technology</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9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intangible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7"/>
        </w:trPr>
        <w:tc>
          <w:tcPr>
            <w:tcW w:w="9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56,088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 and liabilities assumed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56,088</w:t>
            </w:r>
          </w:p>
        </w:tc>
      </w:tr>
      <w:tr>
        <w:trPr>
          <w:trHeight w:val="20"/>
        </w:trPr>
        <w:tc>
          <w:tcPr>
            <w:tcW w:w="9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this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985"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 OF ASSETS ACQUIRED AND LIABILITIES ASSUMED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TRANSACTION AND BASIS OF PRESENTATION</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On December 3, 2019, or Acquisition Date, Veracyte, Inc., or Company, executed an agreement, or Agreement, with NanoString Technologies, Inc., or NanoString, for (i) the exclusive global license to the nCounter FLEX Analysis System, or nCounter platform, for diagnostic use and the sale of the Prosigna and (ii) the purchase of the Prosigna Breast Cancer Prognostic Gene Signature Assay, or Prosigna, the LymphMark Lymphoma Subtyping Test, or LymphMark, and collectively with the nCounter platform and Prosigna, the assets acquired.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Accounting Standards Codification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or ASC 805. Pursuant to the terms of the Agreement, the Company paid NanoString $40.0 million in cash and issued to NanoString $10.0 million of Company common stock, and may pay up to an additional $10.0 million in cash contingent upon the commercial launch of Company diagnostic tests for use on the platform. This contingent consideration was valued at $6.1 million as of the Acquisition Date and is included in the total consideration paid for the acquisition.</w:t>
      </w:r>
    </w:p>
    <w:p>
      <w:pPr>
        <w:spacing w:after="0" w:line="178"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The assets acquired and liabilities assumed have not historically been accounted for separately from NanoString’s business. In addition, stand-alone full financial statements related to the assets acquired have not been prepared previously. In a letter dated November 26, 2019 from the Securities and Exchange Commission, or the SEC, the SEC stated that it would permit the substitution by the Company of an audited statement of assets acquired and liabilities assumed prepared on the basis of the allocation of the Company’s purchase price as of the Acquisition Date, or the Financial Statement, for the full historical financial statements required by Rule 3-05 of Regulation S-X under the Securities Exchange Act of 1934, as amended.</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statement of assets acquired and liabilities assumed has been prepared in accordance with accounting principles generally accepted in the United States, or U.S. GAAP, and is not intended to be a complete presentation of the financial position of the net assets acquired on a separate standalone basis.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Company has determined the acquired assets constitute a business acquisition as defined by ASC 805. Accordingly, the assets acquired and liabilities assumed are presented at their acquisition date fair values as required by that statement. The accounting for this acquisition is preliminary and will be finalized upon completion of the analysis of certain contracts acquired and executed as part of this acquisition and the residual impact on goodwill. Fair values are determined based on the requirements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While the Company believes that its estimates and assumptions underlying the valuations are reasonable, different estimates and assumptions could result in different valuations assigned to the individual assets acquired and the resulting amount of goodwill.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assumed under the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on the financial statement.</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Such estimates include the estimation of the fair value of intangible assets and contingent consideration.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that are not readily apparent from other sources. Actual results could differ from those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9" w:right="239" w:bottom="1440" w:gutter="0" w:footer="0" w:header="0"/>
        </w:sectPr>
      </w:pPr>
    </w:p>
    <w:bookmarkStart w:id="8" w:name="page9"/>
    <w:bookmarkEnd w:id="8"/>
    <w:p>
      <w:pPr>
        <w:jc w:val="both"/>
        <w:ind w:firstLine="405"/>
        <w:spacing w:after="0" w:line="255" w:lineRule="auto"/>
        <w:rPr>
          <w:sz w:val="20"/>
          <w:szCs w:val="20"/>
          <w:color w:val="auto"/>
        </w:rPr>
      </w:pPr>
      <w:r>
        <w:rPr>
          <w:rFonts w:ascii="Arial" w:cs="Arial" w:eastAsia="Arial" w:hAnsi="Arial"/>
          <w:sz w:val="18"/>
          <w:szCs w:val="18"/>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our financial statement.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Finite-lived intangible assets consist of intangible assets acquired as part of business combinations. The Company amortizes finite-lived intangible assets using the straight-line method over their estimated useful lives of five to 15 years, based on management's estimate of the period over which their economic benefits will be realized, product life and patent life.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Finite-lived intangible assets are being amortized on a straight-line basis over their estimated lives, which approximates the pattern in which the economic benefits of the intangible assets are expected to be realized,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6"/>
              <w:spacing w:after="0"/>
              <w:rPr>
                <w:sz w:val="20"/>
                <w:szCs w:val="20"/>
                <w:color w:val="auto"/>
              </w:rPr>
            </w:pPr>
            <w:r>
              <w:rPr>
                <w:rFonts w:ascii="Arial" w:cs="Arial" w:eastAsia="Arial" w:hAnsi="Arial"/>
                <w:sz w:val="14"/>
                <w:szCs w:val="14"/>
                <w:b w:val="1"/>
                <w:bCs w:val="1"/>
                <w:color w:val="auto"/>
                <w:w w:val="99"/>
              </w:rPr>
              <w:t>Estimated Useful life (In</w:t>
            </w:r>
          </w:p>
        </w:tc>
      </w:tr>
      <w:tr>
        <w:trPr>
          <w:trHeight w:val="192"/>
        </w:trPr>
        <w:tc>
          <w:tcPr>
            <w:tcW w:w="7360" w:type="dxa"/>
            <w:vAlign w:val="bottom"/>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b w:val="1"/>
                <w:bCs w:val="1"/>
                <w:color w:val="auto"/>
              </w:rPr>
              <w:t>Years)</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Prosigna product technology</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w:t>
            </w:r>
          </w:p>
        </w:tc>
      </w:tr>
      <w:tr>
        <w:trPr>
          <w:trHeight w:val="27"/>
        </w:trPr>
        <w:tc>
          <w:tcPr>
            <w:tcW w:w="7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Prosigna customer relationships</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nCounter FLEX Dx license</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w:t>
            </w:r>
          </w:p>
        </w:tc>
      </w:tr>
      <w:tr>
        <w:trPr>
          <w:trHeight w:val="27"/>
        </w:trPr>
        <w:tc>
          <w:tcPr>
            <w:tcW w:w="7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LymphMark product technology</w:t>
            </w: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7"/>
        </w:trPr>
        <w:tc>
          <w:tcPr>
            <w:tcW w:w="73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Goodwill represents the excess of the purchase price of the acquired assets over the acquisition date fair value of the net assets acquired. Goodwill is reviewed for impairment on an annual basis or more frequently if events or circumstances indicate that it may be impaired. The Company believes the factors that contributed to goodwill include synergies that are specific to the Company's consolidated business, and not available to market participants, and the acquisition of a talented workforce that expands the Company's expertise in business development and the commercialization of its diagnostic products. As of December 31, 2019, goodwill is not deductible for tax purposes, however, if contingent consideration is paid at a future date, the portions of contingent consideration paid and allocated to the intangible assets for tax purposes will be tax deductible.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Financial liabilities are recorded at fair value and the contingent consideration associated with the Agreement was measured using probability-weighted analysis and is discounted using a rate that appropriately captures the risk associated with this obligation.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contingent consideration associated with the Agreement of $6.1 million is a Level III financial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costs of approximately $1.6 million were expensed as incurred by the Company during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ALLOCATION OF ACQUISITION CONSIDERATION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statement of assets acquired and liabilities assumed is presented on the basis of the Company’s allocation of acquisition consideration. The Company accounts for business combinations under the acquisition method of accounting, which requires separately recognizing the assets acquired from goodwill assumed at their Acquisition Date fair values. The acquisition consideration has been allocated to intangible assets acquired based on estimates of their fair value. Our accounting for this acquisition is preliminary and will be finalized upon completion of our analysis of certain contracts acquired and executed as part of this acquisition and the residual impact on goodwill. While management believes that its estimates and assumptions underlying the valuations are reasonable, different estimates and assumptions could result in different valuations assigned to the individual assets acquired, and the resulting amount of goodwill.</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represents the total estimated preliminary acquisition consideration (in thousands):</w:t>
      </w:r>
    </w:p>
    <w:p>
      <w:pPr>
        <w:spacing w:after="0" w:line="355" w:lineRule="exact"/>
        <w:rPr>
          <w:sz w:val="20"/>
          <w:szCs w:val="20"/>
          <w:color w:val="auto"/>
        </w:rPr>
      </w:pPr>
    </w:p>
    <w:tbl>
      <w:tblPr>
        <w:tblLayout w:type="fixed"/>
        <w:tblInd w:w="920" w:type="dxa"/>
        <w:tblCellMar>
          <w:top w:w="0" w:type="dxa"/>
          <w:left w:w="0" w:type="dxa"/>
          <w:bottom w:w="0" w:type="dxa"/>
          <w:right w:w="0" w:type="dxa"/>
        </w:tblCellMar>
      </w:tblPr>
      <w:tr>
        <w:trPr>
          <w:trHeight w:val="264"/>
        </w:trPr>
        <w:tc>
          <w:tcPr>
            <w:tcW w:w="7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64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Common stock issued (1)</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contingent consideration</w:t>
            </w: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r>
      <w:tr>
        <w:trPr>
          <w:trHeight w:val="257"/>
        </w:trPr>
        <w:tc>
          <w:tcPr>
            <w:tcW w:w="7840" w:type="dxa"/>
            <w:vAlign w:val="bottom"/>
          </w:tcPr>
          <w:p>
            <w:pPr>
              <w:ind w:left="40"/>
              <w:spacing w:after="0"/>
              <w:rPr>
                <w:sz w:val="20"/>
                <w:szCs w:val="20"/>
                <w:color w:val="auto"/>
              </w:rPr>
            </w:pPr>
            <w:r>
              <w:rPr>
                <w:rFonts w:ascii="Arial" w:cs="Arial" w:eastAsia="Arial" w:hAnsi="Arial"/>
                <w:sz w:val="18"/>
                <w:szCs w:val="18"/>
                <w:color w:val="auto"/>
              </w:rPr>
              <w:t>Total acquisition consideration</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56,088</w:t>
            </w:r>
          </w:p>
        </w:tc>
      </w:tr>
      <w:tr>
        <w:trPr>
          <w:trHeight w:val="20"/>
        </w:trPr>
        <w:tc>
          <w:tcPr>
            <w:tcW w:w="7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common stock was based on an average common stock closing price of $26.54, which is not materially different from the Company's common stock closing price on December 3,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3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following unaudited pro forma condensed combined balance sheet is presented to give effect to the agreement with NanoString Technologies, Inc., or NanoString, for (i) the acquisition of certain assets and liabilities related to the nCounter platform, including the exclusive global license to the nCounter platform for diagnostic use and (ii) the purchase of the Prosigna Breast Cancer Prognostic Gene Signature Assay, or Prosigna, the LymphMark Lymphoma Subtyping Test, or LymphMark, and collectively with the nCounter platform and Prosigna, the Acquisition, which closed on December 3, 2019.</w:t>
      </w:r>
    </w:p>
    <w:p>
      <w:pPr>
        <w:spacing w:after="0" w:line="15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Veracyte, Inc., or the Company, has determined that the Acquisition constitutes a business combination as defined by Accounting Standards Codification, or ASC 805, Business Combinations. Under ASC 805, the assets acquired are recorded at their acquisition date fair values as described in the accompanying Notes to the Statement of Assets Acquired and Liabilities Assumed, in Exhibit 99.1 to this Form 8-K/A. Any excess of the purchase price over the fair value of assets acquired is recognized as goodwill. Fair values of assets acquired are determined based on the requirements of ASC 820, Fair Value Measurements and Disclosures. The fair values of assets acquired are based on the estimates of fair values as of the acquisition date included in Exhibit 99.1 to the Form 8-K/A. There were no liabilities assumed as part of the Acquisition.</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accompanying unaudited pro forma condensed combined balance sheet is based upon and derived from the historical unaudited balance sheet and related notes of the Company at September 30, 2019 included in the Company's Quarterly Report on Form 10-Q filed with the Securities and Exchange Commission, or SEC, on October 22, 2019, as adjusted for the pro forma impact of applying the acquisition method of accounting in accordance with Generally Accepted Accounting Principles in the United States, or U.S. GAAP. As disclosed in the Original Form 8-K filed upon entering into the Acquisition agreement, the Company obtained from the Securities and Exchange Commission, pursuant to its authority under Rule 3-13 under Regulation S-X, a waiver to substitute an audited statement of assets acquired and liabilities assumed prepared on the basis of the allocation of the Company’s purchase price as of the acquisition date in lieu of the full financial statements required by Rule 3-05 of Regulation S-X. Thus, the accompanying unaudited pro forma condensed combined balance sheet at September 30, 2019 does not include the historical balances of the assets acquired from NanoString.</w:t>
      </w:r>
    </w:p>
    <w:p>
      <w:pPr>
        <w:spacing w:after="0" w:line="16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pro forma adjustments are based upon available information and assumptions that the Company believes are reasonable. The allocation of purchase price reflected in this unaudited pro forma condensed combined balance sheet has been based upon estimates of the fair value of assets acquired. The pro forma adjustments have been prepared to illustrate the estimated effect of the acquisition.</w:t>
      </w:r>
    </w:p>
    <w:p>
      <w:pPr>
        <w:spacing w:after="0" w:line="18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unaudited pro forma condensed combined balance sheet has been prepared to reflect the transaction as if it had occurred on September 30, 2019. The unaudited pro forma condensed combined balance sheet was prepared using the acquisition method of accounting with the Company treated as the acquiring entity. Accordingly, the aggregate value of the consideration paid by the Company to complete the Acquisition was allocated to the assets acquired based upon their estimated fair values on the closing date of the Acquisition. The Acquisition consideration has been allocated to the intangible assets acquired based on estimates of their fair value. The accounting for this acquisition is preliminary and will be finalized upon completion of the analysis of certain contracts acquired and executed as part of this acquisition and the residual impact on goodwill. While management believes that its estimates and assumptions underlying the valuations are reasonable, different estimates and assumptions could result in different valuations assigned to the individual assets acquired and the resulting amount of goodwill.</w:t>
      </w:r>
    </w:p>
    <w:p>
      <w:pPr>
        <w:sectPr>
          <w:pgSz w:w="11900" w:h="16838" w:orient="portrait"/>
          <w:cols w:equalWidth="0" w:num="1">
            <w:col w:w="11420"/>
          </w:cols>
          <w:pgMar w:left="240" w:top="553" w:right="239" w:bottom="1440" w:gutter="0" w:footer="0" w:header="0"/>
        </w:sectPr>
      </w:pPr>
    </w:p>
    <w:bookmarkStart w:id="11" w:name="page12"/>
    <w:bookmarkEnd w:id="11"/>
    <w:p>
      <w:pPr>
        <w:jc w:val="center"/>
        <w:ind w:right="-27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Pro Forma</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Veracyte, Inc.</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Acquisition</w:t>
            </w:r>
          </w:p>
        </w:tc>
        <w:tc>
          <w:tcPr>
            <w:tcW w:w="320" w:type="dxa"/>
            <w:vAlign w:val="bottom"/>
          </w:tcPr>
          <w:p>
            <w:pPr>
              <w:spacing w:after="0"/>
              <w:rPr>
                <w:sz w:val="12"/>
                <w:szCs w:val="12"/>
                <w:color w:val="auto"/>
              </w:rPr>
            </w:pPr>
          </w:p>
        </w:tc>
        <w:tc>
          <w:tcPr>
            <w:tcW w:w="11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(Unaudited) (1)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195,662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155,662</w:t>
            </w: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188,079</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 finance lease,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Right-of-use assets - operating lease</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54,420</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65,620</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1,668</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276,395</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Current portion of finance lease liability</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operating lease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37"/>
        </w:trPr>
        <w:tc>
          <w:tcPr>
            <w:tcW w:w="68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16,772</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6,088</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37"/>
        </w:trPr>
        <w:tc>
          <w:tcPr>
            <w:tcW w:w="68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Preferred stock, $0.001 par value; 5,000,000 shares authorized, no shares issued and</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outstanding as of September 30, 2019 and December 31, 2018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80"/>
              <w:spacing w:after="0"/>
              <w:rPr>
                <w:sz w:val="20"/>
                <w:szCs w:val="20"/>
                <w:color w:val="auto"/>
              </w:rPr>
            </w:pPr>
            <w:r>
              <w:rPr>
                <w:rFonts w:ascii="Arial" w:cs="Arial" w:eastAsia="Arial" w:hAnsi="Arial"/>
                <w:sz w:val="18"/>
                <w:szCs w:val="18"/>
                <w:color w:val="auto"/>
              </w:rPr>
              <w:t>Common stock, $0.001 par value; 125,000,000 shares authorized, 49,198,707 and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w w:val="91"/>
              </w:rPr>
              <w:t>40,863,202 shares issued and outstanding as of September 30, 2019 and December 31,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440"/>
              <w:spacing w:after="0"/>
              <w:rPr>
                <w:sz w:val="20"/>
                <w:szCs w:val="20"/>
                <w:color w:val="auto"/>
              </w:rPr>
            </w:pPr>
            <w:r>
              <w:rPr>
                <w:rFonts w:ascii="Arial" w:cs="Arial" w:eastAsia="Arial" w:hAnsi="Arial"/>
                <w:sz w:val="18"/>
                <w:szCs w:val="18"/>
                <w:color w:val="auto"/>
              </w:rPr>
              <w:t>2018, respectively</w:t>
            </w: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9,999</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480,201</w:t>
            </w: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(239,227)</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241,024</w:t>
            </w:r>
          </w:p>
        </w:tc>
        <w:tc>
          <w:tcPr>
            <w:tcW w:w="0" w:type="dxa"/>
            <w:vAlign w:val="bottom"/>
          </w:tcPr>
          <w:p>
            <w:pPr>
              <w:spacing w:after="0"/>
              <w:rPr>
                <w:sz w:val="1"/>
                <w:szCs w:val="1"/>
                <w:color w:val="auto"/>
              </w:rPr>
            </w:pPr>
          </w:p>
        </w:tc>
      </w:tr>
      <w:tr>
        <w:trPr>
          <w:trHeight w:val="250"/>
        </w:trPr>
        <w:tc>
          <w:tcPr>
            <w:tcW w:w="68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8890</wp:posOffset>
            </wp:positionV>
            <wp:extent cx="917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8890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See accompanying Notes to the Unaudited Pro Forma Condensed Combined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-130175</wp:posOffset>
            </wp:positionV>
            <wp:extent cx="917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-130175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 - As presented in the Company's quarterly report on Form 10-Q as at September 30, 2019 filed with the SEC on October 22, 2019.</w:t>
      </w:r>
    </w:p>
    <w:p>
      <w:pPr>
        <w:sectPr>
          <w:pgSz w:w="11900" w:h="16838" w:orient="portrait"/>
          <w:cols w:equalWidth="0" w:num="1">
            <w:col w:w="11100"/>
          </w:cols>
          <w:pgMar w:left="240" w:top="553"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(2) - See Note 2 to the accompanying Notes to the Unaudited Pro Forma Condensed Combined Balance Sheet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BALANCE SHEET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PRO FORMA PRESENTATION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pro forma condensed balance sheet was prepared to reflect the transaction as of September 30, 2019. On December 3, 2019, the Company, executed an agreement, or Agreement, with NanoString, for the exclusive global license to the nCounter platform for diagnostic use. The unaudited pro forma condensed balance sheet was prepared as if the Agreement occurred on September 30, 2019.</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unaudited pro forma condensed balance sheet has been prepared for illustrative purposes only and is not necessarily indicative of the condensed balance sheet in future periods. The unaudited pro forma condensed balance sheet should be read in conjunction with the Company's historical condensed financial statements and related notes included in its Quarterly Report on Form 10-Q for the nine months ended September 30, 2019 filed with the SEC on October 22, 2019.</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expects to incur costs and realize benefits associated with integrating the assets acquired under the Agreement. The unaudited pro forma balance sheet does not reflect the costs of any integration activities or any benefits that may result from operating efficiencies or revenue synergies.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NOTE 2 - ALLOCATION OF ACQUISITION CONSIDERATION</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Estimated Purchase Consideration</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760" w:type="dxa"/>
            <w:vAlign w:val="bottom"/>
            <w:gridSpan w:val="2"/>
          </w:tcPr>
          <w:p>
            <w:pPr>
              <w:ind w:left="420"/>
              <w:spacing w:after="0"/>
              <w:rPr>
                <w:sz w:val="20"/>
                <w:szCs w:val="20"/>
                <w:color w:val="auto"/>
              </w:rPr>
            </w:pPr>
            <w:r>
              <w:rPr>
                <w:rFonts w:ascii="Arial" w:cs="Arial" w:eastAsia="Arial" w:hAnsi="Arial"/>
                <w:sz w:val="18"/>
                <w:szCs w:val="18"/>
                <w:color w:val="auto"/>
              </w:rPr>
              <w:t>The table below represents the total estimated purchase price consideration (in thousands):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9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43"/>
        </w:trPr>
        <w:tc>
          <w:tcPr>
            <w:tcW w:w="920" w:type="dxa"/>
            <w:vAlign w:val="bottom"/>
          </w:tcPr>
          <w:p>
            <w:pPr>
              <w:spacing w:after="0"/>
              <w:rPr>
                <w:sz w:val="21"/>
                <w:szCs w:val="21"/>
                <w:color w:val="auto"/>
              </w:rPr>
            </w:pPr>
          </w:p>
        </w:tc>
        <w:tc>
          <w:tcPr>
            <w:tcW w:w="7840" w:type="dxa"/>
            <w:vAlign w:val="bottom"/>
          </w:tcPr>
          <w:p>
            <w:pPr>
              <w:ind w:left="40"/>
              <w:spacing w:after="0"/>
              <w:rPr>
                <w:sz w:val="20"/>
                <w:szCs w:val="20"/>
                <w:color w:val="auto"/>
              </w:rPr>
            </w:pPr>
            <w:r>
              <w:rPr>
                <w:rFonts w:ascii="Arial" w:cs="Arial" w:eastAsia="Arial" w:hAnsi="Arial"/>
                <w:sz w:val="18"/>
                <w:szCs w:val="18"/>
                <w:color w:val="auto"/>
              </w:rPr>
              <w:t>Common stock issued (1)</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9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2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contingent consideration</w:t>
            </w: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r>
      <w:tr>
        <w:trPr>
          <w:trHeight w:val="257"/>
        </w:trPr>
        <w:tc>
          <w:tcPr>
            <w:tcW w:w="920" w:type="dxa"/>
            <w:vAlign w:val="bottom"/>
          </w:tcPr>
          <w:p>
            <w:pPr>
              <w:spacing w:after="0"/>
              <w:rPr>
                <w:sz w:val="22"/>
                <w:szCs w:val="22"/>
                <w:color w:val="auto"/>
              </w:rPr>
            </w:pPr>
          </w:p>
        </w:tc>
        <w:tc>
          <w:tcPr>
            <w:tcW w:w="7840" w:type="dxa"/>
            <w:vAlign w:val="bottom"/>
          </w:tcPr>
          <w:p>
            <w:pPr>
              <w:ind w:left="40"/>
              <w:spacing w:after="0"/>
              <w:rPr>
                <w:sz w:val="20"/>
                <w:szCs w:val="20"/>
                <w:color w:val="auto"/>
              </w:rPr>
            </w:pPr>
            <w:r>
              <w:rPr>
                <w:rFonts w:ascii="Arial" w:cs="Arial" w:eastAsia="Arial" w:hAnsi="Arial"/>
                <w:sz w:val="18"/>
                <w:szCs w:val="18"/>
                <w:color w:val="auto"/>
              </w:rPr>
              <w:t>Total acquisition consideration</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56,088</w:t>
            </w:r>
          </w:p>
        </w:tc>
      </w:tr>
      <w:tr>
        <w:trPr>
          <w:trHeight w:val="20"/>
        </w:trPr>
        <w:tc>
          <w:tcPr>
            <w:tcW w:w="9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Upon execution of the Agreement, the Company issued NanoString 376,732 shares of its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Acquisition Consideration</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represents the preliminary allocation of purchase price to the identifiable assets acquired based on their estimated fair values, with the excess recognized as goodwill (in thousands):</w:t>
      </w: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Prosigna product technology</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Prosigna customer relationships</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2,430</w:t>
            </w:r>
          </w:p>
        </w:tc>
      </w:tr>
      <w:tr>
        <w:trPr>
          <w:trHeight w:val="27"/>
        </w:trPr>
        <w:tc>
          <w:tcPr>
            <w:tcW w:w="9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nCounter FLEX Dx license</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LymphMark product technology</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9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intangible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7"/>
        </w:trPr>
        <w:tc>
          <w:tcPr>
            <w:tcW w:w="9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56,088</w:t>
            </w:r>
          </w:p>
        </w:tc>
      </w:tr>
      <w:tr>
        <w:trPr>
          <w:trHeight w:val="20"/>
        </w:trPr>
        <w:tc>
          <w:tcPr>
            <w:tcW w:w="9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2020-02-18T15:16:43Z</dcterms:created>
  <dcterms:modified xsi:type="dcterms:W3CDTF">2020-02-18T15:16:43Z</dcterms:modified>
</cp:coreProperties>
</file>