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488380.xml.htm"/>
      <w:bookmarkStart w:id="1" w:name="kswkform4_17724883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Chambers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59,324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168,820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156,771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by the Reporting Person upon vesting of certain performance based restricted stock units ("PSUs") on February 26, 2026, upon the certification by the Board of Directors of the Issuer of the achievement of the performance goals set forth therein. Of such PSUs, 23,411 PSUs vested on February 26, 2026, and the remaining 35,913 will vest on December 2, 2026, subject to the Reporting Person's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to satisfy the Reporting Person's tax withholding obligations in connection with the vesting of the PSUs and does not represent a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563"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3684</Characters>
  <CharactersWithSpaces>4296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