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779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7791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Anderson Bonnie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10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09/02/2022</w:t>
      </w:r>
    </w:p>
    <w:p>
      <w:pPr>
        <w:spacing w:after="0" w:line="20" w:lineRule="exact"/>
        <w:rPr>
          <w:sz w:val="24"/>
          <w:szCs w:val="24"/>
          <w:color w:val="auto"/>
        </w:rPr>
      </w:pPr>
      <w:r>
        <w:rPr>
          <w:sz w:val="24"/>
          <w:szCs w:val="24"/>
          <w:color w:val="auto"/>
        </w:rPr>
        <w:br w:type="column"/>
      </w:r>
    </w:p>
    <w:p>
      <w:pPr>
        <w:ind w:left="5" w:right="46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Executive Chairwoman</w:t>
      </w:r>
    </w:p>
    <w:p>
      <w:pPr>
        <w:spacing w:after="0" w:line="466"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9A9A9A"/>
            </w:tcBorders>
          </w:tcPr>
          <w:p>
            <w:pPr>
              <w:spacing w:after="0"/>
              <w:rPr>
                <w:sz w:val="2"/>
                <w:szCs w:val="2"/>
                <w:color w:val="auto"/>
              </w:rPr>
            </w:pPr>
          </w:p>
        </w:tc>
        <w:tc>
          <w:tcPr>
            <w:tcW w:w="740" w:type="dxa"/>
            <w:vAlign w:val="bottom"/>
            <w:tcBorders>
              <w:bottom w:val="single" w:sz="8" w:color="9A9A9A"/>
            </w:tcBorders>
          </w:tcPr>
          <w:p>
            <w:pPr>
              <w:spacing w:after="0"/>
              <w:rPr>
                <w:sz w:val="2"/>
                <w:szCs w:val="2"/>
                <w:color w:val="auto"/>
              </w:rPr>
            </w:pPr>
          </w:p>
        </w:tc>
        <w:tc>
          <w:tcPr>
            <w:tcW w:w="17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560" w:type="dxa"/>
            <w:vAlign w:val="bottom"/>
            <w:tcBorders>
              <w:top w:val="single" w:sz="8" w:color="2C2C2C"/>
              <w:bottom w:val="single" w:sz="8" w:color="2C2C2C"/>
            </w:tcBorders>
            <w:gridSpan w:val="5"/>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560" w:type="dxa"/>
            <w:vAlign w:val="bottom"/>
            <w:tcBorders>
              <w:top w:val="single" w:sz="8" w:color="2C2C2C"/>
              <w:bottom w:val="single" w:sz="8" w:color="2C2C2C"/>
            </w:tcBorders>
            <w:gridSpan w:val="4"/>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740" w:type="dxa"/>
            <w:vAlign w:val="bottom"/>
            <w:shd w:val="clear" w:color="auto" w:fill="EEEEEE"/>
          </w:tcPr>
          <w:p>
            <w:pPr>
              <w:spacing w:after="0" w:line="20" w:lineRule="exact"/>
              <w:rPr>
                <w:sz w:val="1"/>
                <w:szCs w:val="1"/>
                <w:color w:val="auto"/>
              </w:rPr>
            </w:pPr>
          </w:p>
        </w:tc>
        <w:tc>
          <w:tcPr>
            <w:tcW w:w="17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5"/>
            <w:vMerge w:val="continue"/>
          </w:tcPr>
          <w:p>
            <w:pPr>
              <w:spacing w:after="0" w:line="20" w:lineRule="exact"/>
              <w:rPr>
                <w:sz w:val="1"/>
                <w:szCs w:val="1"/>
                <w:color w:val="auto"/>
              </w:rPr>
            </w:pPr>
          </w:p>
        </w:tc>
        <w:tc>
          <w:tcPr>
            <w:tcW w:w="356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5"/>
            <w:vMerge w:val="continue"/>
          </w:tcPr>
          <w:p>
            <w:pPr>
              <w:spacing w:after="0"/>
              <w:rPr>
                <w:sz w:val="11"/>
                <w:szCs w:val="11"/>
                <w:color w:val="auto"/>
              </w:rPr>
            </w:pPr>
          </w:p>
        </w:tc>
        <w:tc>
          <w:tcPr>
            <w:tcW w:w="3560" w:type="dxa"/>
            <w:vAlign w:val="bottom"/>
            <w:gridSpan w:val="4"/>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7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94080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ind w:left="540"/>
              <w:spacing w:after="0"/>
              <w:rPr>
                <w:sz w:val="20"/>
                <w:szCs w:val="20"/>
                <w:color w:val="auto"/>
              </w:rPr>
            </w:pPr>
            <w:r>
              <w:rPr>
                <w:rFonts w:ascii="Times New Roman" w:cs="Times New Roman" w:eastAsia="Times New Roman" w:hAnsi="Times New Roman"/>
                <w:sz w:val="17"/>
                <w:szCs w:val="17"/>
                <w:color w:val="0000FF"/>
                <w:w w:val="97"/>
              </w:rPr>
              <w:t>X</w:t>
            </w:r>
          </w:p>
        </w:tc>
        <w:tc>
          <w:tcPr>
            <w:tcW w:w="2900" w:type="dxa"/>
            <w:vAlign w:val="bottom"/>
            <w:gridSpan w:val="4"/>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line="173" w:lineRule="exact"/>
              <w:rPr>
                <w:sz w:val="20"/>
                <w:szCs w:val="20"/>
                <w:color w:val="auto"/>
              </w:rPr>
            </w:pPr>
            <w:r>
              <w:rPr>
                <w:rFonts w:ascii="Times New Roman" w:cs="Times New Roman" w:eastAsia="Times New Roman" w:hAnsi="Times New Roman"/>
                <w:sz w:val="17"/>
                <w:szCs w:val="17"/>
                <w:color w:val="0000FF"/>
              </w:rPr>
              <w:t>FRANCISCO</w:t>
            </w:r>
          </w:p>
        </w:tc>
        <w:tc>
          <w:tcPr>
            <w:tcW w:w="7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900" w:type="dxa"/>
            <w:vAlign w:val="bottom"/>
            <w:gridSpan w:val="4"/>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40" w:type="dxa"/>
            <w:vAlign w:val="bottom"/>
          </w:tcPr>
          <w:p>
            <w:pPr>
              <w:ind w:left="180"/>
              <w:spacing w:after="0" w:line="113"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220" w:type="dxa"/>
            <w:vAlign w:val="bottom"/>
            <w:gridSpan w:val="3"/>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38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20" w:type="dxa"/>
            <w:vAlign w:val="bottom"/>
            <w:gridSpan w:val="3"/>
          </w:tcPr>
          <w:p>
            <w:pPr>
              <w:ind w:left="11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20" w:type="dxa"/>
            <w:vAlign w:val="bottom"/>
            <w:gridSpan w:val="3"/>
          </w:tcPr>
          <w:p>
            <w:pPr>
              <w:ind w:left="11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20" w:type="dxa"/>
            <w:vAlign w:val="bottom"/>
            <w:gridSpan w:val="3"/>
          </w:tcPr>
          <w:p>
            <w:pPr>
              <w:ind w:left="11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220" w:type="dxa"/>
            <w:vAlign w:val="bottom"/>
            <w:tcBorders>
              <w:bottom w:val="single" w:sz="8" w:color="2C2C2C"/>
            </w:tcBorders>
            <w:gridSpan w:val="3"/>
          </w:tcPr>
          <w:p>
            <w:pPr>
              <w:ind w:left="1260"/>
              <w:spacing w:after="0"/>
              <w:rPr>
                <w:sz w:val="20"/>
                <w:szCs w:val="20"/>
                <w:color w:val="auto"/>
              </w:rPr>
            </w:pPr>
            <w:r>
              <w:rPr>
                <w:rFonts w:ascii="Times New Roman" w:cs="Times New Roman" w:eastAsia="Times New Roman" w:hAnsi="Times New Roman"/>
                <w:sz w:val="17"/>
                <w:szCs w:val="17"/>
                <w:color w:val="0000FF"/>
              </w:rPr>
              <w:t>09/02/2022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2,042</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19.18</w:t>
            </w:r>
          </w:p>
        </w:tc>
        <w:tc>
          <w:tcPr>
            <w:tcW w:w="1140" w:type="dxa"/>
            <w:vAlign w:val="bottom"/>
            <w:tcBorders>
              <w:bottom w:val="single" w:sz="8" w:color="2C2C2C"/>
            </w:tcBorders>
          </w:tcPr>
          <w:p>
            <w:pPr>
              <w:jc w:val="right"/>
              <w:ind w:right="254"/>
              <w:spacing w:after="0"/>
              <w:rPr>
                <w:sz w:val="20"/>
                <w:szCs w:val="20"/>
                <w:color w:val="auto"/>
              </w:rPr>
            </w:pPr>
            <w:r>
              <w:rPr>
                <w:rFonts w:ascii="Times New Roman" w:cs="Times New Roman" w:eastAsia="Times New Roman" w:hAnsi="Times New Roman"/>
                <w:sz w:val="17"/>
                <w:szCs w:val="17"/>
                <w:color w:val="0000FF"/>
              </w:rPr>
              <w:t>65,003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Bonnie</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0000FF"/>
              </w:rPr>
              <w:t>112,426</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w:t>
            </w:r>
          </w:p>
        </w:tc>
        <w:tc>
          <w:tcPr>
            <w:tcW w:w="0" w:type="dxa"/>
            <w:vAlign w:val="bottom"/>
          </w:tcPr>
          <w:p>
            <w:pPr>
              <w:spacing w:after="0"/>
              <w:rPr>
                <w:sz w:val="1"/>
                <w:szCs w:val="1"/>
                <w:color w:val="auto"/>
              </w:rPr>
            </w:pPr>
          </w:p>
        </w:tc>
      </w:tr>
    </w:tbl>
    <w:p>
      <w:pPr>
        <w:ind w:left="10220"/>
        <w:spacing w:after="0"/>
        <w:rPr>
          <w:sz w:val="20"/>
          <w:szCs w:val="20"/>
          <w:color w:val="auto"/>
        </w:rPr>
      </w:pPr>
      <w:r>
        <w:rPr>
          <w:rFonts w:ascii="Times New Roman" w:cs="Times New Roman" w:eastAsia="Times New Roman" w:hAnsi="Times New Roman"/>
          <w:sz w:val="17"/>
          <w:szCs w:val="17"/>
          <w:color w:val="0000FF"/>
        </w:rPr>
        <w:t>Anderson</w:t>
      </w:r>
    </w:p>
    <w:p>
      <w:pPr>
        <w:spacing w:after="0" w:line="11" w:lineRule="exact"/>
        <w:rPr>
          <w:sz w:val="24"/>
          <w:szCs w:val="24"/>
          <w:color w:val="auto"/>
        </w:rPr>
      </w:pPr>
    </w:p>
    <w:p>
      <w:pPr>
        <w:ind w:left="10220"/>
        <w:spacing w:after="0"/>
        <w:rPr>
          <w:sz w:val="20"/>
          <w:szCs w:val="20"/>
          <w:color w:val="auto"/>
        </w:rPr>
      </w:pPr>
      <w:r>
        <w:rPr>
          <w:rFonts w:ascii="Times New Roman" w:cs="Times New Roman" w:eastAsia="Times New Roman" w:hAnsi="Times New Roman"/>
          <w:sz w:val="17"/>
          <w:szCs w:val="17"/>
          <w:color w:val="0000FF"/>
        </w:rPr>
        <w:t>Living</w:t>
      </w:r>
    </w:p>
    <w:p>
      <w:pPr>
        <w:spacing w:after="0" w:line="18" w:lineRule="exact"/>
        <w:rPr>
          <w:sz w:val="24"/>
          <w:szCs w:val="24"/>
          <w:color w:val="auto"/>
        </w:rPr>
      </w:pPr>
    </w:p>
    <w:p>
      <w:pPr>
        <w:ind w:left="1022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738, 812, and 492 shares of common stock to satisfy the reporting person's tax withholding obligations in connection with the vesting of 1,875, 2,063 and 1,250 Restricted Stock Units, respectively, granted on February 28, 2019, February 28, 2020 and February 26, 2021 respectively,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09/07/2022</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8970"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2022-09-07T15:57:03Z</dcterms:created>
  <dcterms:modified xsi:type="dcterms:W3CDTF">2022-09-07T15:57:03Z</dcterms:modified>
</cp:coreProperties>
</file>