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8">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80" w:right="640" w:hanging="714"/>
        <w:spacing w:after="0" w:line="256" w:lineRule="auto"/>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39" w:lineRule="exact"/>
        <w:rPr>
          <w:sz w:val="24"/>
          <w:szCs w:val="24"/>
          <w:color w:val="auto"/>
        </w:rPr>
      </w:pPr>
    </w:p>
    <w:p>
      <w:pPr>
        <w:ind w:left="1080" w:right="180" w:hanging="674"/>
        <w:spacing w:after="0" w:line="256" w:lineRule="auto"/>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9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001-36156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480" w:type="dxa"/>
        <w:tblCellMar>
          <w:top w:w="0" w:type="dxa"/>
          <w:left w:w="0" w:type="dxa"/>
          <w:bottom w:w="0" w:type="dxa"/>
          <w:right w:w="0" w:type="dxa"/>
        </w:tblCellMar>
      </w:tblPr>
      <w:tr>
        <w:trPr>
          <w:trHeight w:val="222"/>
        </w:trPr>
        <w:tc>
          <w:tcPr>
            <w:tcW w:w="236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Delaware</w:t>
            </w:r>
          </w:p>
        </w:tc>
        <w:tc>
          <w:tcPr>
            <w:tcW w:w="1860" w:type="dxa"/>
            <w:vAlign w:val="bottom"/>
          </w:tcPr>
          <w:p>
            <w:pPr>
              <w:jc w:val="center"/>
              <w:ind w:left="172"/>
              <w:spacing w:after="0"/>
              <w:rPr>
                <w:sz w:val="20"/>
                <w:szCs w:val="20"/>
                <w:color w:val="auto"/>
              </w:rPr>
            </w:pPr>
            <w:r>
              <w:rPr>
                <w:rFonts w:ascii="Arial" w:cs="Arial" w:eastAsia="Arial" w:hAnsi="Arial"/>
                <w:sz w:val="18"/>
                <w:szCs w:val="18"/>
                <w:b w:val="1"/>
                <w:bCs w:val="1"/>
                <w:color w:val="auto"/>
                <w:w w:val="87"/>
              </w:rPr>
              <w:t>20-5455398</w:t>
            </w:r>
          </w:p>
        </w:tc>
      </w:tr>
      <w:tr>
        <w:trPr>
          <w:trHeight w:val="216"/>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89"/>
              </w:rPr>
              <w:t>(State or Other Jurisdiction of</w:t>
            </w:r>
          </w:p>
        </w:tc>
        <w:tc>
          <w:tcPr>
            <w:tcW w:w="1860" w:type="dxa"/>
            <w:vAlign w:val="bottom"/>
          </w:tcPr>
          <w:p>
            <w:pPr>
              <w:jc w:val="center"/>
              <w:ind w:left="17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90"/>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360" w:type="dxa"/>
            <w:vAlign w:val="bottom"/>
          </w:tcPr>
          <w:p>
            <w:pPr>
              <w:jc w:val="center"/>
              <w:ind w:right="172"/>
              <w:spacing w:after="0"/>
              <w:rPr>
                <w:sz w:val="20"/>
                <w:szCs w:val="20"/>
                <w:color w:val="auto"/>
              </w:rPr>
            </w:pPr>
            <w:r>
              <w:rPr>
                <w:rFonts w:ascii="Arial" w:cs="Arial" w:eastAsia="Arial" w:hAnsi="Arial"/>
                <w:sz w:val="18"/>
                <w:szCs w:val="18"/>
                <w:color w:val="auto"/>
                <w:w w:val="90"/>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36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1"/>
        </w:trPr>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87"/>
              </w:rPr>
              <w:t>Common Stock, par value $0.001 per</w:t>
            </w:r>
          </w:p>
        </w:tc>
        <w:tc>
          <w:tcPr>
            <w:tcW w:w="136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22"/>
        </w:trPr>
        <w:tc>
          <w:tcPr>
            <w:tcW w:w="304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36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3"/>
              </w:rPr>
              <w:t>The NASDAQ Stock Market LLC</w:t>
            </w:r>
          </w:p>
        </w:tc>
      </w:tr>
    </w:tbl>
    <w:p>
      <w:pPr>
        <w:spacing w:after="0" w:line="204"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9" w:lineRule="exact"/>
        <w:rPr>
          <w:sz w:val="24"/>
          <w:szCs w:val="24"/>
          <w:color w:val="auto"/>
        </w:rPr>
      </w:pPr>
    </w:p>
    <w:p>
      <w:pPr>
        <w:ind w:left="400" w:right="17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jc w:val="both"/>
        <w:ind w:firstLine="46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2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46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685" w:right="239" w:bottom="168" w:gutter="0" w:footer="0" w:header="0"/>
        </w:sectPr>
      </w:pPr>
    </w:p>
    <w:bookmarkStart w:id="1" w:name="page2"/>
    <w:bookmarkEnd w:id="1"/>
    <w:p>
      <w:pPr>
        <w:ind w:firstLine="39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0"/>
          <w:szCs w:val="20"/>
          <w:color w:val="auto"/>
        </w:rPr>
      </w:pPr>
    </w:p>
    <w:p>
      <w:pPr>
        <w:sectPr>
          <w:pgSz w:w="11900" w:h="16838" w:orient="portrait"/>
          <w:cols w:equalWidth="0" w:num="4">
            <w:col w:w="2780" w:space="720"/>
            <w:col w:w="1720" w:space="720"/>
            <w:col w:w="2260" w:space="720"/>
            <w:col w:w="2500"/>
          </w:cols>
          <w:pgMar w:left="240" w:top="131" w:right="239" w:bottom="1440" w:gutter="0" w:footer="0" w:header="0"/>
          <w:type w:val="continuous"/>
        </w:sectPr>
      </w:pPr>
    </w:p>
    <w:p>
      <w:pPr>
        <w:jc w:val="center"/>
        <w:ind w:left="2160"/>
        <w:spacing w:after="0"/>
        <w:rPr>
          <w:sz w:val="20"/>
          <w:szCs w:val="20"/>
          <w:color w:val="auto"/>
        </w:rPr>
      </w:pPr>
      <w:r>
        <w:rPr>
          <w:rFonts w:ascii="Arial" w:cs="Arial" w:eastAsia="Arial" w:hAnsi="Arial"/>
          <w:sz w:val="14"/>
          <w:szCs w:val="14"/>
          <w:color w:val="auto"/>
        </w:rPr>
        <w:t>(Do not check if a</w:t>
      </w:r>
    </w:p>
    <w:p>
      <w:pPr>
        <w:jc w:val="center"/>
        <w:ind w:left="21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20"/>
          </w:cols>
          <w:pgMar w:left="240" w:top="131" w:right="239" w:bottom="1440" w:gutter="0" w:footer="0" w:header="0"/>
          <w:type w:val="continuous"/>
        </w:sect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60"/>
            <w:col w:w="2460"/>
          </w:cols>
          <w:pgMar w:left="240" w:top="131" w:right="239" w:bottom="1440" w:gutter="0" w:footer="0" w:header="0"/>
          <w:type w:val="continuous"/>
        </w:sectPr>
      </w:pPr>
    </w:p>
    <w:p>
      <w:pPr>
        <w:spacing w:after="0" w:line="60" w:lineRule="exact"/>
        <w:rPr>
          <w:sz w:val="20"/>
          <w:szCs w:val="20"/>
          <w:color w:val="auto"/>
        </w:rPr>
      </w:pPr>
    </w:p>
    <w:p>
      <w:pPr>
        <w:jc w:val="both"/>
        <w:ind w:firstLine="585"/>
        <w:spacing w:after="0" w:line="268" w:lineRule="auto"/>
        <w:rPr>
          <w:sz w:val="20"/>
          <w:szCs w:val="20"/>
          <w:color w:val="auto"/>
        </w:rPr>
      </w:pPr>
      <w:r>
        <w:rPr>
          <w:rFonts w:ascii="Arial" w:cs="Arial" w:eastAsia="Arial" w:hAnsi="Arial"/>
          <w:sz w:val="18"/>
          <w:szCs w:val="18"/>
          <w:color w:val="auto"/>
        </w:rPr>
        <w:t>As of June 30, 2014, the aggregate market value of voting and non-voting common stock held by non-affiliates of the registrant was approximately $122.4 million, based on the closing price of the common stock as reported on The NASDAQ Global Market for that date.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the registrant's Common Stock outstanding as of March 2, 2015 was 22,551,242.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Item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2015 Annual Meeting of Stockholders to be held on May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60" w:type="dxa"/>
            <w:vAlign w:val="bottom"/>
            <w:gridSpan w:val="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67"/>
        </w:trPr>
        <w:tc>
          <w:tcPr>
            <w:tcW w:w="1140" w:type="dxa"/>
            <w:vAlign w:val="bottom"/>
          </w:tcPr>
          <w:p>
            <w:pPr>
              <w:spacing w:after="0"/>
              <w:rPr>
                <w:sz w:val="24"/>
                <w:szCs w:val="24"/>
                <w:color w:val="auto"/>
              </w:rPr>
            </w:pPr>
          </w:p>
        </w:tc>
        <w:tc>
          <w:tcPr>
            <w:tcW w:w="8320" w:type="dxa"/>
            <w:vAlign w:val="bottom"/>
            <w:gridSpan w:val="28"/>
          </w:tcPr>
          <w:p>
            <w:pPr>
              <w:spacing w:after="0"/>
              <w:rPr>
                <w:sz w:val="20"/>
                <w:szCs w:val="20"/>
                <w:color w:val="auto"/>
              </w:rPr>
            </w:pPr>
            <w:r>
              <w:rPr>
                <w:rFonts w:ascii="Arial" w:cs="Arial" w:eastAsia="Arial" w:hAnsi="Arial"/>
                <w:sz w:val="14"/>
                <w:szCs w:val="14"/>
                <w:b w:val="1"/>
                <w:bCs w:val="1"/>
                <w:color w:val="auto"/>
              </w:rPr>
              <w:t>Item No.</w:t>
            </w: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1140" w:type="dxa"/>
            <w:vAlign w:val="bottom"/>
          </w:tcPr>
          <w:p>
            <w:pPr>
              <w:spacing w:after="0"/>
              <w:rPr>
                <w:sz w:val="14"/>
                <w:szCs w:val="14"/>
                <w:color w:val="auto"/>
              </w:rPr>
            </w:pPr>
          </w:p>
        </w:tc>
        <w:tc>
          <w:tcPr>
            <w:tcW w:w="560" w:type="dxa"/>
            <w:vAlign w:val="bottom"/>
            <w:tcBorders>
              <w:top w:val="single" w:sz="8" w:color="auto"/>
              <w:bottom w:val="single" w:sz="8" w:color="0000EE"/>
            </w:tcBorders>
            <w:gridSpan w:val="2"/>
          </w:tcPr>
          <w:p>
            <w:pPr>
              <w:spacing w:after="0" w:line="170" w:lineRule="exact"/>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PART I</w:t>
              </w:r>
            </w:hyperlink>
          </w:p>
        </w:tc>
        <w:tc>
          <w:tcPr>
            <w:tcW w:w="2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1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 Business</w:t>
              </w:r>
            </w:hyperlink>
          </w:p>
        </w:tc>
        <w:tc>
          <w:tcPr>
            <w:tcW w:w="7140" w:type="dxa"/>
            <w:vAlign w:val="bottom"/>
            <w:gridSpan w:val="19"/>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1A. Risk Factors</w:t>
              </w:r>
            </w:hyperlink>
          </w:p>
        </w:tc>
        <w:tc>
          <w:tcPr>
            <w:tcW w:w="676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1B. Unresolved Staff Comments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2. Properties</w:t>
              </w:r>
            </w:hyperlink>
          </w:p>
        </w:tc>
        <w:tc>
          <w:tcPr>
            <w:tcW w:w="5660" w:type="dxa"/>
            <w:vAlign w:val="bottom"/>
            <w:gridSpan w:val="1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59</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3. Legal Proceedings</w:t>
              </w:r>
            </w:hyperlink>
          </w:p>
        </w:tc>
        <w:tc>
          <w:tcPr>
            <w:tcW w:w="6460" w:type="dxa"/>
            <w:vAlign w:val="bottom"/>
            <w:gridSpan w:val="1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4. Mine Safety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w:t>
              </w:r>
            </w:hyperlink>
          </w:p>
        </w:tc>
        <w:tc>
          <w:tcPr>
            <w:tcW w:w="6120" w:type="dxa"/>
            <w:vAlign w:val="bottom"/>
            <w:gridSpan w:val="14"/>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6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Item 5. Market for Registrant's Common Equity, Related Stockholder Matters and Issuer Purchases of Equity</w:t>
              </w:r>
            </w:hyperlink>
          </w:p>
        </w:tc>
        <w:tc>
          <w:tcPr>
            <w:tcW w:w="6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4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Securities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6. Selected Financial Data</w:t>
              </w:r>
            </w:hyperlink>
          </w:p>
        </w:tc>
        <w:tc>
          <w:tcPr>
            <w:tcW w:w="6100" w:type="dxa"/>
            <w:vAlign w:val="bottom"/>
            <w:gridSpan w:val="13"/>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Item 7. Management's Discussion and Analysis of Financial Condition and Results of Operations</w:t>
              </w:r>
            </w:hyperlink>
          </w:p>
        </w:tc>
        <w:tc>
          <w:tcPr>
            <w:tcW w:w="1480" w:type="dxa"/>
            <w:vAlign w:val="bottom"/>
            <w:gridSpan w:val="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Item 7A. Qualitative and Quantitative Disclosures About Market Risk</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Item 8. Financial Statements and Supplementary Data</w:t>
              </w:r>
            </w:hyperlink>
          </w:p>
        </w:tc>
        <w:tc>
          <w:tcPr>
            <w:tcW w:w="1120" w:type="dxa"/>
            <w:vAlign w:val="bottom"/>
            <w:tcBorders>
              <w:top w:val="single" w:sz="8" w:color="0000EE"/>
            </w:tcBorders>
            <w:gridSpan w:val="2"/>
          </w:tcPr>
          <w:p>
            <w:pPr>
              <w:spacing w:after="0"/>
              <w:rPr>
                <w:sz w:val="17"/>
                <w:szCs w:val="17"/>
                <w:color w:val="auto"/>
              </w:rPr>
            </w:pPr>
          </w:p>
        </w:tc>
        <w:tc>
          <w:tcPr>
            <w:tcW w:w="3400" w:type="dxa"/>
            <w:vAlign w:val="bottom"/>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9. Changes in and Disagreements with Accountants on Accounting and Financial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119</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87"/>
              </w:rPr>
            </w:pPr>
            <w:hyperlink w:anchor="page122">
              <w:r>
                <w:rPr>
                  <w:rFonts w:ascii="Arial" w:cs="Arial" w:eastAsia="Arial" w:hAnsi="Arial"/>
                  <w:sz w:val="18"/>
                  <w:szCs w:val="18"/>
                  <w:color w:val="0000EE"/>
                  <w:w w:val="87"/>
                </w:rPr>
                <w:t>Item 9A. Controls and Procedures</w:t>
              </w:r>
            </w:hyperlink>
          </w:p>
        </w:tc>
        <w:tc>
          <w:tcPr>
            <w:tcW w:w="4460" w:type="dxa"/>
            <w:vAlign w:val="bottom"/>
            <w:gridSpan w:val="9"/>
          </w:tcPr>
          <w:p>
            <w:pPr>
              <w:spacing w:after="0"/>
              <w:rPr>
                <w:sz w:val="17"/>
                <w:szCs w:val="17"/>
                <w:color w:val="auto"/>
              </w:rPr>
            </w:pPr>
          </w:p>
        </w:tc>
        <w:tc>
          <w:tcPr>
            <w:tcW w:w="1460" w:type="dxa"/>
            <w:vAlign w:val="bottom"/>
            <w:gridSpan w:val="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119</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9B. Other Information</w:t>
              </w:r>
            </w:hyperlink>
          </w:p>
        </w:tc>
        <w:tc>
          <w:tcPr>
            <w:tcW w:w="5920" w:type="dxa"/>
            <w:vAlign w:val="bottom"/>
            <w:gridSpan w:val="12"/>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120</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III</w:t>
              </w:r>
            </w:hyperlink>
          </w:p>
        </w:tc>
        <w:tc>
          <w:tcPr>
            <w:tcW w:w="1220" w:type="dxa"/>
            <w:vAlign w:val="bottom"/>
            <w:tcBorders>
              <w:top w:val="single" w:sz="8" w:color="0000EE"/>
            </w:tcBorders>
            <w:gridSpan w:val="7"/>
          </w:tcPr>
          <w:p>
            <w:pPr>
              <w:spacing w:after="0"/>
              <w:rPr>
                <w:sz w:val="17"/>
                <w:szCs w:val="17"/>
                <w:color w:val="auto"/>
              </w:rPr>
            </w:pPr>
          </w:p>
        </w:tc>
        <w:tc>
          <w:tcPr>
            <w:tcW w:w="6380" w:type="dxa"/>
            <w:vAlign w:val="bottom"/>
            <w:gridSpan w:val="15"/>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40" w:type="dxa"/>
            <w:vAlign w:val="bottom"/>
            <w:gridSpan w:val="21"/>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Item 10. Directors, Executive Officers and Corporate Governance</w:t>
              </w:r>
            </w:hyperlink>
          </w:p>
        </w:tc>
        <w:tc>
          <w:tcPr>
            <w:tcW w:w="368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0" w:type="dxa"/>
            <w:vAlign w:val="bottom"/>
            <w:gridSpan w:val="16"/>
          </w:tcPr>
          <w:p>
            <w:pPr>
              <w:spacing w:after="0" w:line="196" w:lineRule="exact"/>
              <w:rPr>
                <w:rFonts w:ascii="Arial" w:cs="Arial" w:eastAsia="Arial" w:hAnsi="Arial"/>
                <w:sz w:val="18"/>
                <w:szCs w:val="18"/>
                <w:color w:val="0000EE"/>
                <w:w w:val="87"/>
              </w:rPr>
            </w:pPr>
            <w:hyperlink w:anchor="page124">
              <w:r>
                <w:rPr>
                  <w:rFonts w:ascii="Arial" w:cs="Arial" w:eastAsia="Arial" w:hAnsi="Arial"/>
                  <w:sz w:val="18"/>
                  <w:szCs w:val="18"/>
                  <w:color w:val="0000EE"/>
                  <w:w w:val="87"/>
                </w:rPr>
                <w:t>Item 11. Executive Compensation</w:t>
              </w:r>
            </w:hyperlink>
          </w:p>
        </w:tc>
        <w:tc>
          <w:tcPr>
            <w:tcW w:w="2240" w:type="dxa"/>
            <w:vAlign w:val="bottom"/>
            <w:gridSpan w:val="5"/>
          </w:tcPr>
          <w:p>
            <w:pPr>
              <w:spacing w:after="0"/>
              <w:rPr>
                <w:sz w:val="17"/>
                <w:szCs w:val="17"/>
                <w:color w:val="auto"/>
              </w:rPr>
            </w:pPr>
          </w:p>
        </w:tc>
        <w:tc>
          <w:tcPr>
            <w:tcW w:w="368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760" w:type="dxa"/>
            <w:vAlign w:val="bottom"/>
            <w:gridSpan w:val="27"/>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Item 12. Security Ownership of Certain Beneficial Owners and Management and Related Stockholder Matters</w:t>
              </w:r>
            </w:hyperlink>
          </w:p>
        </w:tc>
        <w:tc>
          <w:tcPr>
            <w:tcW w:w="560" w:type="dxa"/>
            <w:vAlign w:val="bottom"/>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121</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23"/>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Item 13. Certain Relationships and Related Transactions, and Director Independence</w:t>
              </w:r>
            </w:hyperlink>
          </w:p>
        </w:tc>
        <w:tc>
          <w:tcPr>
            <w:tcW w:w="180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gridSpan w:val="2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Item 14. Principal Accountant Fees and Services</w:t>
              </w:r>
            </w:hyperlink>
          </w:p>
        </w:tc>
        <w:tc>
          <w:tcPr>
            <w:tcW w:w="2360" w:type="dxa"/>
            <w:vAlign w:val="bottom"/>
            <w:gridSpan w:val="5"/>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IV</w:t>
              </w:r>
            </w:hyperlink>
          </w:p>
        </w:tc>
        <w:tc>
          <w:tcPr>
            <w:tcW w:w="4900" w:type="dxa"/>
            <w:vAlign w:val="bottom"/>
            <w:gridSpan w:val="10"/>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2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15. Exhibits, Financial Statement Schedules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2320" w:type="dxa"/>
            <w:vAlign w:val="bottom"/>
            <w:gridSpan w:val="11"/>
            <w:shd w:val="clear" w:color="auto" w:fill="0000EE"/>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gridSpan w:val="19"/>
          </w:tcPr>
          <w:p>
            <w:pPr>
              <w:spacing w:after="0" w:line="196" w:lineRule="exact"/>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SIGNATURES</w:t>
              </w:r>
            </w:hyperlink>
          </w:p>
        </w:tc>
        <w:tc>
          <w:tcPr>
            <w:tcW w:w="4860" w:type="dxa"/>
            <w:vAlign w:val="bottom"/>
            <w:gridSpan w:val="9"/>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127</w:t>
              </w:r>
            </w:hyperlink>
          </w:p>
        </w:tc>
        <w:tc>
          <w:tcPr>
            <w:tcW w:w="130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3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60" w:type="dxa"/>
            <w:vAlign w:val="bottom"/>
            <w:tcBorders>
              <w:top w:val="single" w:sz="8" w:color="0000EE"/>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jc w:val="both"/>
        <w:ind w:firstLine="409"/>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our belief that our published evidence provides a basis for inclusion of our Afirma GEC test in practice guidelines; the estimated size of the global markets for our tests and our future tests; the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including tests for lung cancer and interstitial lung disease, and the timeframes for development or commercialization; our ability to get our data and clinical studies accepted in peer-reviewed publications; our dependence on and the terms of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83" w:lineRule="exact"/>
        <w:rPr>
          <w:sz w:val="20"/>
          <w:szCs w:val="20"/>
          <w:color w:val="auto"/>
        </w:rPr>
      </w:pPr>
    </w:p>
    <w:p>
      <w:pPr>
        <w:jc w:val="both"/>
        <w:ind w:firstLine="437"/>
        <w:spacing w:after="0" w:line="286"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as well as risks and uncertainties related to: our limited operating history and history of losses since inception; our ability to increase usage of and reimbursement for the Afirma GEC and any other tests we may develop, including Percepta;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524"/>
        <w:spacing w:after="0" w:line="268"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We also refer to trademarks of other corporations or organizations in this report.</w:t>
      </w:r>
    </w:p>
    <w:p>
      <w:pPr>
        <w:spacing w:after="0" w:line="186"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16"/>
          <w:szCs w:val="16"/>
          <w:color w:val="auto"/>
        </w:rPr>
        <w:t>We are a molecular diagnostics company, pioneering the field of molecular cytology with genomic solutions that resolve diagnostic ambiguity and enable physicians to make more informed treatment decisions at an early stage in patient care. We believe that diagnostic ambiguity is a significant problem impacting our healthcare system, resulting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unnecessary invasive procedures and surgeries while reducing healthcare costs. We are focused on the continued growth of our endocrinology franchise and the entry into our second clinical indication, pulmonology, in 2015. Together, we believe these two market opportunities offer a near-term estimated addressable market of over $2 billion.</w:t>
      </w:r>
    </w:p>
    <w:p>
      <w:pPr>
        <w:spacing w:after="0" w:line="172"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In 2011, we launched our first commercial solution, the Afirma® Thyroid FNA Analysis, for use in thyroid cancer diagnosis. Our offering centers on our proprietary Afirma Gene Expression Classifier, or GEC, which is used to resolve diagnostic ambiguity among the more than 525,000 patients who undergo fine needle aspiration, or FNA, biopsies each year in the United States to assess potentially cancerous thyroid nodules. The GEC helps physicians reduce the number of unnecessary surgeries by employing a proprietary 142-gene signature to preoperatively determine whether thyroid nodules previously classified by cytopathology as indeterminate can be reclassified as benign. As of March 2015, we have received nearly 160,000 FNA samples and have performed more than 30,000 GEC tests to resolve indeterminate cytopathology results, helping an estimated 15,000 patients avoid unnecessary surgery and reducing healthcare costs by an estimated $200 million. We launched our first product extension—the Afirma Malignancy Classifiers—in 2014, which comprise genomic tests for medullary thyroid cancer, or MTC, and BRAF V600E mutation status. These genomic tests are intended to preoperatively inform physicians' choice of thyroid surgery when surgery is needed. We believe Afirma offers the most comprehensive solution for the assessment and management of patients with thyroid nodules. We estimate our addressable thyroid nodule diagnostic market opportunity today is approximately $500 million per year in the United States, and we believe that there is an estimated $300 million additional market opportunity for the Afirma GEC internationally.</w:t>
      </w:r>
    </w:p>
    <w:p>
      <w:pPr>
        <w:spacing w:after="0" w:line="18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The Afirma GEC is supported by multiple, peer-reviewed published studies, including a prospective, multicenter, double-blind clinical validation study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in 2012, which suggests that the test can reduce the number of unnecessary surgeries by 50%. As of March 2015, the GEC is recommended in leading practice guidelines and is covered for 145 million patient lives in the United States, including through Medicare and many commercial insurance plans. Additionally,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Afirma is contracted for nearly 100 million lives, making us an in-network provider for payers including Medicare, UnitedHealthcare and Cigna.</w:t>
      </w:r>
    </w:p>
    <w:p>
      <w:pPr>
        <w:spacing w:after="0" w:line="225" w:lineRule="exact"/>
        <w:rPr>
          <w:sz w:val="20"/>
          <w:szCs w:val="20"/>
          <w:color w:val="auto"/>
        </w:rPr>
      </w:pPr>
    </w:p>
    <w:p>
      <w:pPr>
        <w:jc w:val="both"/>
        <w:ind w:firstLine="430"/>
        <w:spacing w:after="0" w:line="289" w:lineRule="auto"/>
        <w:rPr>
          <w:sz w:val="20"/>
          <w:szCs w:val="20"/>
          <w:color w:val="auto"/>
        </w:rPr>
      </w:pPr>
      <w:r>
        <w:rPr>
          <w:rFonts w:ascii="Arial" w:cs="Arial" w:eastAsia="Arial" w:hAnsi="Arial"/>
          <w:sz w:val="16"/>
          <w:szCs w:val="16"/>
          <w:color w:val="auto"/>
        </w:rPr>
        <w:t>We market our Afirma solution through our dedicated specialty sales force and through a co-promotion agreement with Genzyme, a subsidiary of Sanofi, which targets the same endocrinologist customers with Thyrogen®. Since the beginning of 2014, we have more than tripled the size of our internal sales force, enabling us to further drive market penetration and expansion for Afirma, in the physician office, or ambulatory practice setting, as well as in institutional accounts and integrated delivery networks, or IDNs. We now offer models that are proven to be effective in each of these market segments and believe we are positioned to continue to drive growth in both. We estimate our addressable thyroid nodule diagnostic market opportunity today is approximately $500 million per year in the United States, and we believe that there is an estimated $300 million additional market opportunity for the Afirma GEC internationally. To date, substantially all of our revenue has been derived from customers we serve in the United States. Our revenue has increased from $11.6 million in 2012, to $21.9 million in 2013 and $38.2 million in 2014.</w:t>
      </w:r>
    </w:p>
    <w:p>
      <w:pPr>
        <w:spacing w:after="0" w:line="172" w:lineRule="exact"/>
        <w:rPr>
          <w:sz w:val="20"/>
          <w:szCs w:val="20"/>
          <w:color w:val="auto"/>
        </w:rPr>
      </w:pPr>
    </w:p>
    <w:p>
      <w:pPr>
        <w:jc w:val="both"/>
        <w:ind w:firstLine="363"/>
        <w:spacing w:after="0" w:line="287" w:lineRule="auto"/>
        <w:rPr>
          <w:sz w:val="20"/>
          <w:szCs w:val="20"/>
          <w:color w:val="auto"/>
        </w:rPr>
      </w:pPr>
      <w:r>
        <w:rPr>
          <w:rFonts w:ascii="Arial" w:cs="Arial" w:eastAsia="Arial" w:hAnsi="Arial"/>
          <w:sz w:val="16"/>
          <w:szCs w:val="16"/>
          <w:color w:val="auto"/>
        </w:rPr>
        <w:t>In September 2014, we acquired Allegro Diagnostics Corp., based in Maynard, Massachusetts, to accelerate our entry into pulmonology, our second planned clinical area. We intend to enter the lung cancer diagnostics market by mid-2015 with the Percepta™ Bronchial Genomic Classifier, a gene expression test utilizing the novel "field of injury" genomic technology, which is designed to resolve diagnostic ambiguity among the approximately 250,000 patients in the United States who undergo bronchoscopy each year to assess potentially cancerous lung nodules. Currently, approximately 40% of these procedures produce non-diagnostic results, which can lead to unnecessary invasive procedures for a definitive diagnosis. We believe the market opportunity for this test is between $350 million and $400 million in the United States, depending on the value we can extract for out test. Percepta has been validated in two multicenter, prospective clinical studies, with data presented on the AEGIS I study at the American Thoracic Society International Conference in 2014 and additional data expected to be released in 2015. We estimate that the number of bronchoscopies—and non-diagnostic results—could expand significantly in the next two to three years as, beginning in early 2015, more than eight million Americans at high risk for lung cancer have become eligible for annual screening through new Affordable Care Act and Medicare coverage.</w:t>
      </w:r>
    </w:p>
    <w:p>
      <w:pPr>
        <w:spacing w:after="0" w:line="177"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We plan to expand our footprint in pulmonology in 2016 with the launch of a product designed to preoperatively identify idiopathic pulmonary fibrosis, or IPF, among patients presenting with a suspected interstitial lung disease, or ILD. Our IPF test will target pulmonologists, the same physicians we will address with Percepta, and will also be used to test cytology samples obtained through bronchoscopy. IPF is the most common form of ILD, a group of diseases characterized by chronic, progressive scarring of the lungs, and is often difficult to distinguish from other ILDs or lung conditions. Currently, we believe that many of the estimated 175,000 to 200,000 patients in the United States and Europe who present with suspected ILDs each year may endure months of incorrect or missed diagnoses, undergoing invasive, risky and expensive diagnostic surgeries, or receiving suboptimal treatment. The need for improved IPF diagnosis becomes increasingly important given the availability of new therapies to halt or slow progression of this often fatal disease's progression, which were approved by the Food and Drug Administration, or FDA, in late 2014. In May 2014, we presented proof-of-concept data at the American Thoracic Society International Conference demonstrating the ability of a molecular classifier to accurately identify IPF cases using tissue samples. We expect to present data demonstrating our test's performance on bronchoscopy samples in 2015. We estimate the addressable market for our IPF test to be over $500 million in the United States and Europe.</w:t>
      </w:r>
    </w:p>
    <w:p>
      <w:pPr>
        <w:spacing w:after="0" w:line="181"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believe additional clinical areas offer opportunities for future expansion of our molecular cytology franchise beyond endocrinology and pulmonology. In determining new clinical areas to enter, we will focus on diseases in which a large number of patients undergo invasive and costly diagnostic procedures that could be avoided with a more accurate diagnosis from a cytology sample taken preoperatively. We intend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leverage our demonstrated core capabilities in research and development, clinical development, and managed care and reimbursement to expand our business into other clinical areas of unmet need, either through internal development or through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market opportunities are significant and have focused our strategic objectives around these three growth vectors:</w:t>
      </w:r>
    </w:p>
    <w:p>
      <w:pPr>
        <w:spacing w:after="0" w:line="239" w:lineRule="exact"/>
        <w:rPr>
          <w:sz w:val="20"/>
          <w:szCs w:val="20"/>
          <w:color w:val="auto"/>
        </w:rPr>
      </w:pPr>
    </w:p>
    <w:p>
      <w:pPr>
        <w:jc w:val="both"/>
        <w:ind w:left="1080" w:hanging="532"/>
        <w:spacing w:after="0" w:line="29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Accelerate the Growth of Afirma in Endocrinology. </w:t>
      </w:r>
      <w:r>
        <w:rPr>
          <w:rFonts w:ascii="Arial" w:cs="Arial" w:eastAsia="Arial" w:hAnsi="Arial"/>
          <w:sz w:val="16"/>
          <w:szCs w:val="16"/>
          <w:color w:val="auto"/>
        </w:rPr>
        <w:t>We expect to continue to invest in driving the adoption of Afirma and expanding our base of</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prescribing physicians, both in the community physician office market as well as in institutional settings. We plan to continue to leverage our relationship with Genzyme in the U. S. market and pursue select international markets for entry where attractive regulations and reimbursement exists. We plan to use our inclusion in guidelines and the extensive library of published evidence on Afirma to date, coupled with our core expertise in managed care, claims adjudication, and billing, to drive broader coverage determinations, particularly with the Blue Cross and Blue Shield family of payers, as well as additional in-network contracts, to expand reimbursement and smooth our path to profitability.</w:t>
      </w:r>
    </w:p>
    <w:p>
      <w:pPr>
        <w:spacing w:after="0" w:line="201"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Expand into Pulmonology through the Launch of Percepta. </w:t>
      </w:r>
      <w:r>
        <w:rPr>
          <w:rFonts w:ascii="Arial" w:cs="Arial" w:eastAsia="Arial" w:hAnsi="Arial"/>
          <w:sz w:val="16"/>
          <w:szCs w:val="16"/>
          <w:color w:val="auto"/>
        </w:rPr>
        <w:t>We believe our molecular cytology strategy addresses several unmet clinical needs in</w:t>
      </w:r>
      <w:r>
        <w:rPr>
          <w:rFonts w:ascii="Arial" w:cs="Arial" w:eastAsia="Arial" w:hAnsi="Arial"/>
          <w:sz w:val="16"/>
          <w:szCs w:val="16"/>
          <w:i w:val="1"/>
          <w:iCs w:val="1"/>
          <w:color w:val="auto"/>
        </w:rPr>
        <w:t xml:space="preserve"> </w:t>
      </w:r>
      <w:r>
        <w:rPr>
          <w:rFonts w:ascii="Arial" w:cs="Arial" w:eastAsia="Arial" w:hAnsi="Arial"/>
          <w:sz w:val="16"/>
          <w:szCs w:val="16"/>
          <w:color w:val="auto"/>
        </w:rPr>
        <w:t>pulmonology. Through the acquisition of Allegro, we plan to launch the Percepta Bronchial Genomic Classifier for lung cancer diagnosis by mid-2015. Our ability to efficiently integrate the company and technologies, including the completion of all analytical verification studies, has accelerated our launch timing. Using our existing infrastructure, we plan to commence testing of patient samples in our CLIA-certified laboratory by mid-year and continue to build out the body of evidence that will be required to gain Medicare reimbursement as well as commercial payer coverage. We believe this lung cancer test will serve as the foundational application to expand our molecular cytology platform within the pulmonology vertical where we plan to introduce a second product to improve the diagnosis of patients suspicious for ILD, specifically IPF.</w:t>
      </w:r>
    </w:p>
    <w:p>
      <w:pPr>
        <w:spacing w:after="0" w:line="185"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Further Expand our Franchise into Additional Indications. </w:t>
      </w:r>
      <w:r>
        <w:rPr>
          <w:rFonts w:ascii="Arial" w:cs="Arial" w:eastAsia="Arial" w:hAnsi="Arial"/>
          <w:sz w:val="16"/>
          <w:szCs w:val="16"/>
          <w:color w:val="auto"/>
        </w:rPr>
        <w:t>We intend to leverage our demonstrated core capabilities in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development, and managed care and reimbursement to expand our business into other clinical areas of unmet need, either through internal development or through acquisition. For each clinical area we target, we deploy a proven strategy comprised of four key pillars:</w:t>
      </w:r>
    </w:p>
    <w:p>
      <w:pPr>
        <w:spacing w:after="0" w:line="390"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Inform the Right Clinical Question. </w:t>
      </w:r>
      <w:r>
        <w:rPr>
          <w:rFonts w:ascii="Arial" w:cs="Arial" w:eastAsia="Arial" w:hAnsi="Arial"/>
          <w:sz w:val="16"/>
          <w:szCs w:val="16"/>
          <w:color w:val="auto"/>
        </w:rPr>
        <w:t>We focus on developing genomic tests that answer a relevant clinical question and that, when used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optimal point in the diagnostic pathway, provide physicians with information that can significantly alter physician decision-making, enabling patients to avoid unnecessary invasive and costly procedures. We then work with key opinion leaders and other clinicians to understand the performance criteria that will be needed for a new test to give physicians confidence to change clinical-care decisions. Only when we have pinpointed this information do we then deploy the appropriate science to develop the test.</w:t>
      </w:r>
    </w:p>
    <w:p>
      <w:pPr>
        <w:spacing w:after="0" w:line="196" w:lineRule="exact"/>
        <w:rPr>
          <w:rFonts w:ascii="Arial" w:cs="Arial" w:eastAsia="Arial" w:hAnsi="Arial"/>
          <w:sz w:val="16"/>
          <w:szCs w:val="16"/>
          <w:color w:val="auto"/>
        </w:rPr>
      </w:pPr>
    </w:p>
    <w:p>
      <w:pPr>
        <w:jc w:val="both"/>
        <w:ind w:left="1620" w:hanging="532"/>
        <w:spacing w:after="0" w:line="254"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Develop Proprietary Science and Validate in Well-designed Clinical Trials. </w:t>
      </w:r>
      <w:r>
        <w:rPr>
          <w:rFonts w:ascii="Arial" w:cs="Arial" w:eastAsia="Arial" w:hAnsi="Arial"/>
          <w:sz w:val="18"/>
          <w:szCs w:val="18"/>
          <w:color w:val="auto"/>
        </w:rPr>
        <w:t>Once we know the parameters of the test we need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patient care, we apply rich, broad-based genomic science based on our expertise in biomarker discovery and algorithm development. We utilize proprietary technology, intellectual property and scientific know-how to extract rich genomic information from tiny cytology samples, sometimes with only nanogram quantities of biological material, to answer our target clinical question. We then conduct prospective, blinded, multicenter clinical validation studies and seek to obtain publication in peer-reviewed journals to establish the clinical performance of our test.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20" w:hanging="532"/>
        <w:spacing w:after="0" w:line="306"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Demonstrate Clear Value. </w:t>
      </w:r>
      <w:r>
        <w:rPr>
          <w:rFonts w:ascii="Arial" w:cs="Arial" w:eastAsia="Arial" w:hAnsi="Arial"/>
          <w:sz w:val="16"/>
          <w:szCs w:val="16"/>
          <w:color w:val="auto"/>
        </w:rPr>
        <w:t>We build into our commercialization strategy the steps that will be needed to prove that our tests do indeed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 clinical practice and provide healthcare cost savings. To do this, we design and initiate clinical utility and cost-effectiveness studies early in the process so that we will be able to quickly and efficiently demonstrate value to physicians and payers.</w:t>
      </w:r>
    </w:p>
    <w:p>
      <w:pPr>
        <w:spacing w:after="0" w:line="187" w:lineRule="exact"/>
        <w:rPr>
          <w:rFonts w:ascii="Arial" w:cs="Arial" w:eastAsia="Arial" w:hAnsi="Arial"/>
          <w:sz w:val="16"/>
          <w:szCs w:val="16"/>
          <w:color w:val="auto"/>
        </w:rPr>
      </w:pPr>
    </w:p>
    <w:p>
      <w:pPr>
        <w:jc w:val="both"/>
        <w:ind w:left="1620" w:hanging="532"/>
        <w:spacing w:after="0" w:line="290"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Achieve Coverage and Reimbursement Success. </w:t>
      </w:r>
      <w:r>
        <w:rPr>
          <w:rFonts w:ascii="Arial" w:cs="Arial" w:eastAsia="Arial" w:hAnsi="Arial"/>
          <w:sz w:val="16"/>
          <w:szCs w:val="16"/>
          <w:color w:val="auto"/>
        </w:rPr>
        <w:t>By developing the clinical evidence for our tests, which is then published in peer-reviewed publications, we create compelling evidence for our tests to be included in clinical practice guidelines, helping to establish a new routine standard of care. We believe guideline inclusion, along with the capabilities we have built in managed care and claims adjudication, is key to successful payer coverage, contracts and reimbursement. Our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indication selection, clinical study design, marketing and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Disease Diagnosis Today</w:t>
      </w:r>
    </w:p>
    <w:p>
      <w:pPr>
        <w:spacing w:after="0" w:line="231"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Surgical pathology has long been part of the standard of care for diagnosis of numerous complex diseases, including many types of cancer and lung diseases. Patient samples collected from surgeries allow multiple slices, or sections, of the tissue to be stained, permitting a pathologist to use a microscope to evaluate the shape and structure of the cells in question to diagnose the sample. However, surgical pathology by definition requires an invasive procedure. Cytopathology, or the analysis of small numbers of cells using minimally invasive methods (which we refer to as cytology samples), is designed to provide a pathologic diagnosis using a small biopsy. It is often the first step in the diagnostic process because it offers a less-invasive and cost-effective alternative to surgery. However, cytology samples are often small and non-uniform, which can make definitive diagnoses difficult. The high rate of ambiguity in diagnosis using cytology samples today results in many patients undergoing other subsequent invasive procedures, often including surgery, to obtain an accurate diagnosis.</w:t>
      </w:r>
    </w:p>
    <w:p>
      <w:pPr>
        <w:spacing w:after="0" w:line="172" w:lineRule="exact"/>
        <w:rPr>
          <w:sz w:val="20"/>
          <w:szCs w:val="20"/>
          <w:color w:val="auto"/>
        </w:rPr>
      </w:pPr>
    </w:p>
    <w:p>
      <w:pPr>
        <w:jc w:val="both"/>
        <w:ind w:firstLine="422"/>
        <w:spacing w:after="0" w:line="291"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specific levels of cellularity, which most often must be obtained through an invasive surgical procedure.</w:t>
      </w:r>
    </w:p>
    <w:p>
      <w:pPr>
        <w:spacing w:after="0" w:line="17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without performing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72"/>
        <w:spacing w:after="0" w:line="268" w:lineRule="auto"/>
        <w:rPr>
          <w:sz w:val="20"/>
          <w:szCs w:val="20"/>
          <w:color w:val="auto"/>
        </w:rPr>
      </w:pPr>
      <w:r>
        <w:rPr>
          <w:rFonts w:ascii="Arial" w:cs="Arial" w:eastAsia="Arial" w:hAnsi="Arial"/>
          <w:sz w:val="18"/>
          <w:szCs w:val="18"/>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31" w:lineRule="exact"/>
        <w:rPr>
          <w:sz w:val="20"/>
          <w:szCs w:val="20"/>
          <w:color w:val="auto"/>
        </w:rPr>
      </w:pPr>
    </w:p>
    <w:p>
      <w:pPr>
        <w:jc w:val="both"/>
        <w:ind w:firstLine="408"/>
        <w:spacing w:after="0" w:line="318" w:lineRule="auto"/>
        <w:rPr>
          <w:sz w:val="20"/>
          <w:szCs w:val="20"/>
          <w:color w:val="auto"/>
        </w:rPr>
      </w:pPr>
      <w:r>
        <w:rPr>
          <w:rFonts w:ascii="Arial" w:cs="Arial" w:eastAsia="Arial" w:hAnsi="Arial"/>
          <w:sz w:val="15"/>
          <w:szCs w:val="15"/>
          <w:color w:val="auto"/>
        </w:rPr>
        <w:t>We are pioneering the field of molecular cytology with genomic solutions that resolve diagnostic ambiguity and enable physicians to make more informed treatment decisions at an early stage in patient care. We target diseases in which a large number of patients undergo invasive and costly diagnostic procedures that could be avoided with a more accurate diagnosis from a cytology sample taken preoperatively. In contrast to molecular diagnostics developed for surgical tissue, our solutions solve many of the technical challenges associated with generating analytically valid and clinically relevant genomic information from very small, heterogeneous cytology samples. By improving diagnosis before surgery, we help patients avoid unnecessary invasive procedures while reducing healthcare costs.</w:t>
      </w:r>
    </w:p>
    <w:p>
      <w:pPr>
        <w:spacing w:after="0" w:line="154" w:lineRule="exact"/>
        <w:rPr>
          <w:sz w:val="20"/>
          <w:szCs w:val="20"/>
          <w:color w:val="auto"/>
        </w:rPr>
      </w:pPr>
    </w:p>
    <w:p>
      <w:pPr>
        <w:jc w:val="both"/>
        <w:ind w:firstLine="496"/>
        <w:spacing w:after="0" w:line="268" w:lineRule="auto"/>
        <w:rPr>
          <w:sz w:val="20"/>
          <w:szCs w:val="20"/>
          <w:color w:val="auto"/>
        </w:rPr>
      </w:pPr>
      <w:r>
        <w:rPr>
          <w:rFonts w:ascii="Arial" w:cs="Arial" w:eastAsia="Arial" w:hAnsi="Arial"/>
          <w:sz w:val="18"/>
          <w:szCs w:val="18"/>
          <w:color w:val="auto"/>
        </w:rPr>
        <w:t>Our molecular cytology products are designed to deliver a number of benefits to physicians, payers and patients, including a reduction of unnecessary surgeries, lower healthcare costs, and actionable information from a single patient visit with a single diagnostic procedure.</w:t>
      </w:r>
    </w:p>
    <w:p>
      <w:pPr>
        <w:spacing w:after="0" w:line="186" w:lineRule="exact"/>
        <w:rPr>
          <w:sz w:val="20"/>
          <w:szCs w:val="20"/>
          <w:color w:val="auto"/>
        </w:rPr>
      </w:pPr>
    </w:p>
    <w:p>
      <w:pPr>
        <w:jc w:val="both"/>
        <w:ind w:firstLine="417"/>
        <w:spacing w:after="0" w:line="332" w:lineRule="auto"/>
        <w:rPr>
          <w:sz w:val="20"/>
          <w:szCs w:val="20"/>
          <w:color w:val="auto"/>
        </w:rPr>
      </w:pPr>
      <w:r>
        <w:rPr>
          <w:rFonts w:ascii="Arial" w:cs="Arial" w:eastAsia="Arial" w:hAnsi="Arial"/>
          <w:sz w:val="16"/>
          <w:szCs w:val="16"/>
          <w:color w:val="auto"/>
        </w:rPr>
        <w:t>Our initial focus is on the clinical areas of endocrinology, where we have made significant inroads to date, and pulmonology, which we expect to enter by mid-2015. Together, we believe these two market opportunities offer a near-term estimated addressable market of over $2 billion.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Endocrinology</w:t>
      </w:r>
    </w:p>
    <w:p>
      <w:pPr>
        <w:spacing w:after="0" w:line="225" w:lineRule="exact"/>
        <w:rPr>
          <w:sz w:val="20"/>
          <w:szCs w:val="20"/>
          <w:color w:val="auto"/>
        </w:rPr>
      </w:pPr>
    </w:p>
    <w:p>
      <w:pPr>
        <w:jc w:val="both"/>
        <w:ind w:firstLine="377"/>
        <w:spacing w:after="0" w:line="255" w:lineRule="auto"/>
        <w:rPr>
          <w:sz w:val="20"/>
          <w:szCs w:val="20"/>
          <w:color w:val="auto"/>
        </w:rPr>
      </w:pPr>
      <w:r>
        <w:rPr>
          <w:rFonts w:ascii="Arial" w:cs="Arial" w:eastAsia="Arial" w:hAnsi="Arial"/>
          <w:sz w:val="18"/>
          <w:szCs w:val="18"/>
          <w:color w:val="auto"/>
        </w:rPr>
        <w:t>We entered the endocrinology market in January 2011 with our Afirma Thyroid FNA Analysis, which is included in leading practice guidelines and gaining market share in thyroid cancer diagnosis. Our offering centers on our proprietary Afirma GEC, which is used to resolve diagnostic ambiguity among the more than 525,000 patients who undergo FNA procedures each year to assess thyroid nodules that are potentially cancerous. We launched our first product extension— the Afirma Malignancy Classifiers—comprising tests for MTC and BRAF V600E gene mutation status to provide results that might preoperatively inform surgery selection for those patients who need surgery.</w:t>
      </w:r>
    </w:p>
    <w:p>
      <w:pPr>
        <w:spacing w:after="0" w:line="197" w:lineRule="exact"/>
        <w:rPr>
          <w:sz w:val="20"/>
          <w:szCs w:val="20"/>
          <w:color w:val="auto"/>
        </w:rPr>
      </w:pPr>
    </w:p>
    <w:p>
      <w:pPr>
        <w:jc w:val="both"/>
        <w:ind w:firstLine="370"/>
        <w:spacing w:after="0" w:line="290" w:lineRule="auto"/>
        <w:rPr>
          <w:sz w:val="20"/>
          <w:szCs w:val="20"/>
          <w:color w:val="auto"/>
        </w:rPr>
      </w:pPr>
      <w:r>
        <w:rPr>
          <w:rFonts w:ascii="Arial" w:cs="Arial" w:eastAsia="Arial" w:hAnsi="Arial"/>
          <w:sz w:val="16"/>
          <w:szCs w:val="16"/>
          <w:color w:val="auto"/>
        </w:rPr>
        <w:t>As of March 2015, we have received nearly 160,000 FNA samples and have performed more than 30,000 GEC tests to resolve indeterminate cytopathology results, helping an estimated 15,000 patients avoid unnecessary surgery and reducing healthcare costs by an estimated $200 million. The Afirma GEC is covered as a medically necessary test for 145 million lives, including through Medicare and many commercial payers including UnitedHealthcare, Cigna, Aetna, Humana and leading Blue Cross and/or Blue Shield plans such as Highmark, Horizon Blue Cross, and Blue Shield of California. Afirma is contracted for nearly 100 million lives, making us an in-network provider for payers including Medicare, UnitedHealthcare and Cigna, which facilitates adoption. In February 2015, we obtained a separate CPT code, or Current Procedural Terminology code, for the Afirma GEC, which we believe will facilitate our progress with payer coverage contracts, and reimbursement. The new code became effective March 1, 2015.</w:t>
      </w:r>
    </w:p>
    <w:p>
      <w:pPr>
        <w:spacing w:after="0" w:line="172" w:lineRule="exact"/>
        <w:rPr>
          <w:sz w:val="20"/>
          <w:szCs w:val="20"/>
          <w:color w:val="auto"/>
        </w:rPr>
      </w:pPr>
    </w:p>
    <w:p>
      <w:pPr>
        <w:jc w:val="both"/>
        <w:ind w:right="20" w:firstLine="421"/>
        <w:spacing w:after="0" w:line="268" w:lineRule="auto"/>
        <w:rPr>
          <w:sz w:val="20"/>
          <w:szCs w:val="20"/>
          <w:color w:val="auto"/>
        </w:rPr>
      </w:pPr>
      <w:r>
        <w:rPr>
          <w:rFonts w:ascii="Arial" w:cs="Arial" w:eastAsia="Arial" w:hAnsi="Arial"/>
          <w:sz w:val="18"/>
          <w:szCs w:val="18"/>
          <w:color w:val="auto"/>
        </w:rPr>
        <w:t>We estimate that, of the total number of FNAs performed annually, we have a market share of approximately 20% among office-based practices and 10% among institutional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w:t>
      </w:r>
    </w:p>
    <w:p>
      <w:pPr>
        <w:spacing w:after="0" w:line="225"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We have two products in the pipeline that address unmet clinical needs in the diagnosis of lung cancer and ILDs, specifically IPF. Our lung cancer test, the Percepta Bronchial Genomic Classifier, is designed to help resolve diagnostic ambiguity among the approximately 250,000 patients each year who undergo bronchoscopy to determine if lung nodules are benign or cancerous. Our solution is intended to identify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patients with non-diagnostic bronchoscopy results whose nodules are at low risk of being cancerous so that these patients can avoid surgery and be monitored with low-dose computed tomography, or LDCT, screening instead. We plan to launch Percepta by mid-2015 and expect to see meaningful revenue from the test in 2017.</w:t>
      </w:r>
    </w:p>
    <w:p>
      <w:pPr>
        <w:spacing w:after="0" w:line="194"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We believe our introduction of Percepta will facilitate the subsequent launch of our IPF test, which will target the same customer, pulmonologists, and will similarly be run on cytology samples obtained through bronchoscopy. Our IPF test is in development and intended to preoperatively identify patients with IPF among those presenting with a suspected ILD, so that these patients can obtain an accurate diagnosis and proper treatment sooner—without the need for invasive surgery. We are collaborating with more than 25 clinical sites in the United States and Europe to develop our IPF test, which we plan to launch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Endocrinology Market</w:t>
      </w:r>
    </w:p>
    <w:p>
      <w:pPr>
        <w:spacing w:after="0" w:line="231" w:lineRule="exact"/>
        <w:rPr>
          <w:sz w:val="20"/>
          <w:szCs w:val="20"/>
          <w:color w:val="auto"/>
        </w:rPr>
      </w:pPr>
    </w:p>
    <w:p>
      <w:pPr>
        <w:jc w:val="both"/>
        <w:ind w:right="20" w:firstLine="475"/>
        <w:spacing w:after="0" w:line="268" w:lineRule="auto"/>
        <w:rPr>
          <w:sz w:val="20"/>
          <w:szCs w:val="20"/>
          <w:color w:val="auto"/>
        </w:rPr>
      </w:pPr>
      <w:r>
        <w:rPr>
          <w:rFonts w:ascii="Arial" w:cs="Arial" w:eastAsia="Arial" w:hAnsi="Arial"/>
          <w:sz w:val="18"/>
          <w:szCs w:val="18"/>
          <w:color w:val="auto"/>
        </w:rPr>
        <w:t>Our Afirma solution addresses the large and growing thyroid nodule diagnostic market, which is burdened with significant ambiguity in cytopathology, offering the potential to reduce the rate of surgery needed to diagnose and subsequently treat thyroid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123190</wp:posOffset>
            </wp:positionV>
            <wp:extent cx="5402580" cy="3035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258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413"/>
        <w:spacing w:after="0" w:line="290" w:lineRule="auto"/>
        <w:rPr>
          <w:sz w:val="20"/>
          <w:szCs w:val="20"/>
          <w:color w:val="auto"/>
        </w:rPr>
      </w:pPr>
      <w:r>
        <w:rPr>
          <w:rFonts w:ascii="Arial" w:cs="Arial" w:eastAsia="Arial" w:hAnsi="Arial"/>
          <w:sz w:val="16"/>
          <w:szCs w:val="16"/>
          <w:color w:val="auto"/>
        </w:rPr>
        <w:t>Thyroid cancer is the fastest growing cancer in the United States, according to the American Cancer Society, and evaluation of thyroid nodules—the most common indicator of thyroid cancer—is rapidly increasing the number of thyroid FNAs conducted. Approximately 525,000 thyroid FNAs were performed in the United States in 2011, which is more than double the number of FNAs performed in 2006. We estimate our addressable thyroid nodule diagnostic market opportunity today is approximately $500 million per year in the United States, consisting of an estimated $100 million in cytopathology testing, $350 million in Afirma GEC tests performed on indeterminate cytopathology samples and an additional $40 million related to our Afirma Malignancy Classifiers. Our estimates are based on the product of FNA volumes and the estimated reimbursement per test for both cytology and the Afirma GEC, not our list price at which we bill. We believe that there is an estimated $300 million additional market opportunity for the Afirma GEC internationally.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7"/>
        <w:spacing w:after="0" w:line="291" w:lineRule="auto"/>
        <w:rPr>
          <w:sz w:val="20"/>
          <w:szCs w:val="20"/>
          <w:color w:val="auto"/>
        </w:rPr>
      </w:pPr>
      <w:r>
        <w:rPr>
          <w:rFonts w:ascii="Arial" w:cs="Arial" w:eastAsia="Arial" w:hAnsi="Arial"/>
          <w:sz w:val="16"/>
          <w:szCs w:val="16"/>
          <w:color w:val="auto"/>
        </w:rPr>
        <w:t>The biology of thyroid cells is complex. Approximately 15% to 30% of thyroid nodule FNAs performed in the United States are deemed indeterminate following cytopathology review, meaning they cannot be diagnosed as definitively benign or malignant by cytopathology alone. Because the risk of malignancy in such patients ranges from 20% to 30%, clinical practice guidelines have traditionally recommended that most of these patients undergo surgery to remove all or part of the thyroid for a definitive diagnosis. Following surgery, however, 70% to 80% of these patients prove to have benign nodules, meaning the surgery was unnecessary. We estimate each surgery costs $15,000 on average. Additionally, such surgeries have a complication rate of 2% to 10%, and most patients subsequently require lifelong thyroid hormone replacement therapy.</w:t>
      </w:r>
    </w:p>
    <w:p>
      <w:pPr>
        <w:spacing w:after="0" w:line="174" w:lineRule="exact"/>
        <w:rPr>
          <w:sz w:val="20"/>
          <w:szCs w:val="20"/>
          <w:color w:val="auto"/>
        </w:rPr>
      </w:pPr>
    </w:p>
    <w:p>
      <w:pPr>
        <w:jc w:val="both"/>
        <w:ind w:firstLine="601"/>
        <w:spacing w:after="0" w:line="288" w:lineRule="auto"/>
        <w:rPr>
          <w:sz w:val="20"/>
          <w:szCs w:val="20"/>
          <w:color w:val="auto"/>
        </w:rPr>
      </w:pPr>
      <w:r>
        <w:rPr>
          <w:rFonts w:ascii="Arial" w:cs="Arial" w:eastAsia="Arial" w:hAnsi="Arial"/>
          <w:sz w:val="16"/>
          <w:szCs w:val="16"/>
          <w:color w:val="auto"/>
        </w:rPr>
        <w:t>We estimate that approximately 3,500 endocrinologists specialize in thyroid disease and perform FNAs. We also serve other specialists, including radiologists and ear, nose and throat, or ENT, physicians who similarly perform FNAs. Approximately 60% of FNAs are performed in ambulatory, or community-based, practices, with the remaining 40% conducted in institutional settings, comprised of both academic centers and integrated delivery networks, which are networks of facilities and providers that work together to offer a continuum of care to a specific geographic area or market. While endocrinologists generally diagnose patients and refer them to surgery when necessary, endocrinologists do not perform the surgeries themselves. Institutions, which influence standard of care, typically have cytopathology laboratories on-site, to which the institutions' endocrinologists submit patient samples for review. Additional stakeholders that may be involved in the decision-making process in institutions include radiologists, pathologists and, occasionally, administration. We offer Afirma to institutional customers as an option following their internal cytopathology testing, and receive orders for the Afirma GEC only and/or the Malignancy Classifiers. This approach represents a higher margin opportunity versus in the community-practice setting where we also conduct the lower margin cytopathology assessment.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Thyroid FNA Analysis</w:t>
      </w:r>
    </w:p>
    <w:p>
      <w:pPr>
        <w:spacing w:after="0" w:line="231"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Launched in 2011, the Afirma Thyroid FNA Analysis is our comprehensive offering for thyroid nodule assessment. The solution centers on our proprietary Afirma GEC to resolve indeterminate FNA results, based on cytopathology, so that patients whose nodules are actually benign can avoid unnecessary diagnostic surgery and undergo routine monitoring instead. The Afirma GEC is a 142-gene signature that is proven in multiple peer-reviewed, published studies to identify benign nodules with a high level of accuracy among those deemed indeterminate by cytopathology. Data suggest the test can enable unnecessary surgeries to be reduced by approximately 50%. Our comprehensive solution also includes our Afirma Malignancy Classifiers—comprised of tests for medullary thyroid cancer, a rare and aggressive form of thyroid cancer, and BRAF V600E gene mutational status, which is often predictive for papillary thyroid cancer—which were launched in May 2014 to preoperatively help inform selection of surgery when surgery is needed, minimizing the need for patients to undergo an additional "completion surgery." The MTC test result is included as part of the patient report when an Afirma GEC is performed on any FNA that is indeterminate by cytopathology. Physicians can also order it separately for use on FNAs that are malignant by cytopathology. The BRAF test is performed when ordered specifically by the physician on either GEC suspicious or malignant by cytopathology FNAs.</w:t>
      </w:r>
    </w:p>
    <w:p>
      <w:pPr>
        <w:spacing w:after="0" w:line="177"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auto"/>
        </w:rPr>
        <w:t>The Afirma Thyroid FNA Analysis includes initial cytopathology to optimize utilization of the Afirma GEC, ensuring that the test is used appropriately and without the need for patients to return for a repeat FNA procedure. We offer Afirma through two models, designed to meet the needs of both our community-practice and institutional physician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 for Community Practices</w:t>
      </w:r>
    </w:p>
    <w:p>
      <w:pPr>
        <w:spacing w:after="0" w:line="225" w:lineRule="exact"/>
        <w:rPr>
          <w:sz w:val="20"/>
          <w:szCs w:val="20"/>
          <w:color w:val="auto"/>
        </w:rPr>
      </w:pPr>
    </w:p>
    <w:p>
      <w:pPr>
        <w:jc w:val="both"/>
        <w:ind w:firstLine="397"/>
        <w:spacing w:after="0" w:line="332" w:lineRule="auto"/>
        <w:rPr>
          <w:sz w:val="20"/>
          <w:szCs w:val="20"/>
          <w:color w:val="auto"/>
        </w:rPr>
      </w:pPr>
      <w:r>
        <w:rPr>
          <w:rFonts w:ascii="Arial" w:cs="Arial" w:eastAsia="Arial" w:hAnsi="Arial"/>
          <w:sz w:val="16"/>
          <w:szCs w:val="16"/>
          <w:color w:val="auto"/>
        </w:rPr>
        <w:t>Our model allows community-based physicians to implement Afirma in their practice without any meaningful changes to their workflow. Samples for both cytopathology and the Afirma GEC are collected during one FNA procedure using well-accepted and widely-used techniques. Customers send both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cytopathology and the Afirma GEC samples overnight to our CLIA-certified laboratory in Austin, Texas. After we accession the samples into our laboratory information system, the Afirma GEC samples are stored in a freezer while the cytopathology samples are prepared and stained for review by Thyroid Cytopathology Partners, or TCP, a specialized cytopathology practice in Austin, Texas, that provides professional diagnoses on these samples. When cytopathology results are indeterminate, we send the stored sample to our CLIA-certified laboratory in South San Francisco, California, where we perform the Afirma GEC and/or Malignancy Classifiers. Results are provided to the ordering physician via a comprehensive report that provides cytopathology results and identifies the Afirma GEC results as either "benign" or "suspicious" for malignancy and the Afirma Malignancy Classifiers as "positive" or "negative."</w:t>
      </w:r>
    </w:p>
    <w:p>
      <w:pPr>
        <w:spacing w:after="0" w:line="174" w:lineRule="exact"/>
        <w:rPr>
          <w:sz w:val="20"/>
          <w:szCs w:val="20"/>
          <w:color w:val="auto"/>
        </w:rPr>
      </w:pPr>
    </w:p>
    <w:p>
      <w:pPr>
        <w:jc w:val="both"/>
        <w:ind w:firstLine="370"/>
        <w:spacing w:after="0" w:line="253" w:lineRule="auto"/>
        <w:rPr>
          <w:sz w:val="20"/>
          <w:szCs w:val="20"/>
          <w:color w:val="auto"/>
        </w:rPr>
      </w:pPr>
      <w:r>
        <w:rPr>
          <w:rFonts w:ascii="Arial" w:cs="Arial" w:eastAsia="Arial" w:hAnsi="Arial"/>
          <w:sz w:val="18"/>
          <w:szCs w:val="18"/>
          <w:color w:val="auto"/>
        </w:rPr>
        <w:t>Approximately 14% to 17% of thyroid FNA biopsies from TCP have been classified as indeterminate and have been reflexed to the GEC. This rate is at the low end of the 15% to 30% range cited in the 2009 American Thyroid Association Guidelines, suggesting TCP's specialized focus on thyroid cytopathology offers results that are more consistent with those of academic settings. Through our relationship with TCP, the high quality of care historically only accessible to patients in academic settings is now broadly available. By using a large, high-volume, thyroid-specialized pathology practice to offer consistent cytopathology analysis, we can optimize quality and manage appropriate utilization, ensuring that the Afirma GEC is not run on cytologically benign or malignant samples, or where the FNA contains insufficient cellular material for diagnosis. We believe our ability to manage utilization is attractive to payers looking to capture the value we promise in patient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133350</wp:posOffset>
            </wp:positionV>
            <wp:extent cx="5866130" cy="2761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613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Afirma-enabled Model for Institutional Customers</w:t>
      </w:r>
    </w:p>
    <w:p>
      <w:pPr>
        <w:spacing w:after="0" w:line="225"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Academic and hospital-based customers as well as integrated delivery networks typically perform their own cytopathology analysis and then only send us samples for Afirma GEC testing when the cytopathology result is indeterminate. We also receive samples to perform the Afirma Malignancy Classifiers either in addition to the GEC or for patients with a suspicious for malignancy result by cytopathology.</w:t>
      </w:r>
    </w:p>
    <w:p>
      <w:pPr>
        <w:spacing w:after="0" w:line="194" w:lineRule="exact"/>
        <w:rPr>
          <w:sz w:val="20"/>
          <w:szCs w:val="20"/>
          <w:color w:val="auto"/>
        </w:rPr>
      </w:pPr>
    </w:p>
    <w:p>
      <w:pPr>
        <w:jc w:val="both"/>
        <w:ind w:firstLine="421"/>
        <w:spacing w:after="0" w:line="298" w:lineRule="auto"/>
        <w:rPr>
          <w:sz w:val="20"/>
          <w:szCs w:val="20"/>
          <w:color w:val="auto"/>
        </w:rPr>
      </w:pPr>
      <w:r>
        <w:rPr>
          <w:rFonts w:ascii="Arial" w:cs="Arial" w:eastAsia="Arial" w:hAnsi="Arial"/>
          <w:sz w:val="16"/>
          <w:szCs w:val="16"/>
          <w:color w:val="auto"/>
        </w:rPr>
        <w:t>Physicians in these institutional settings generally conduct cytopathology in their own laboratory. With Afirma, the physician collects the FNA sample for GEC testing at the same time the FNA sample is collected for cytopathology review. The GEC test sample is preserved until the cytopathology results are processed. When the cytopathology result is reported, the preserved FNA sample is sent overnight to our CLIA laboratory for testing, using the Afirma GEC when the result is indeterminate and/or using the Malignancy Classifier analysis for suspicious samples.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63"/>
        <w:spacing w:after="0" w:line="268" w:lineRule="auto"/>
        <w:rPr>
          <w:sz w:val="20"/>
          <w:szCs w:val="20"/>
          <w:color w:val="auto"/>
        </w:rPr>
      </w:pPr>
      <w:r>
        <w:rPr>
          <w:rFonts w:ascii="Arial" w:cs="Arial" w:eastAsia="Arial" w:hAnsi="Arial"/>
          <w:sz w:val="18"/>
          <w:szCs w:val="18"/>
          <w:color w:val="auto"/>
        </w:rPr>
        <w:t>Whether the final result is rendered by cytopathology alone or a combination of cytopathology and genomic testing, physicians receive an actionable answer based on samples collected in a single patient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257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Afirma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growth is predominantly driven by growth of the Afirma GEC. Key initiatives include:</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Position Afirma as a Comprehensive Solution for Managing Patients with Thyroid Nodules. </w:t>
      </w:r>
      <w:r>
        <w:rPr>
          <w:rFonts w:ascii="Arial" w:cs="Arial" w:eastAsia="Arial" w:hAnsi="Arial"/>
          <w:sz w:val="18"/>
          <w:szCs w:val="18"/>
          <w:color w:val="auto"/>
        </w:rPr>
        <w:t>We believe that Afirma offers a unique,</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solution for patients to avoid unnecessary surgeries and for cost savings. Our service models for both community practices as well as institutions provides a comprehensive assessment, preoperatively, on a single FNA collected on the first patient visit. We are strengthening our messaging of this value proposition on behalf of patients.</w:t>
      </w:r>
    </w:p>
    <w:p>
      <w:pPr>
        <w:spacing w:after="0" w:line="224"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Expanded Sales Force. </w:t>
      </w:r>
      <w:r>
        <w:rPr>
          <w:rFonts w:ascii="Arial" w:cs="Arial" w:eastAsia="Arial" w:hAnsi="Arial"/>
          <w:sz w:val="18"/>
          <w:szCs w:val="18"/>
          <w:color w:val="auto"/>
        </w:rPr>
        <w:t>We have more than tripled the size of our internal sales force during 2014, enabling us to further drive market penetration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for Afirma, in both the ambulatory physician practice setting as well as in institutional accounts and integrated delivery networks. Additionally, the Genzyme sales force complements our efforts in each sales territory, whereby they generate and qualify leads and provide ongoing maintenance and support of existing accounts.</w:t>
      </w:r>
    </w:p>
    <w:p>
      <w:pPr>
        <w:spacing w:after="0" w:line="210"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Strengthen Marketing Programs. </w:t>
      </w:r>
      <w:r>
        <w:rPr>
          <w:rFonts w:ascii="Arial" w:cs="Arial" w:eastAsia="Arial" w:hAnsi="Arial"/>
          <w:sz w:val="16"/>
          <w:szCs w:val="16"/>
          <w:color w:val="auto"/>
        </w:rPr>
        <w:t>We support our sales efforts with comprehensive marketing initiatives that include medical education, speakers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for physicians to share their experience with Afirma, as well as more traditional promotional campaigns targeting both endocrinologists and patients who have been diagnosed with a thyroid nodule. Together with Genzyme, we are expanding our messages to include patient education, targeting media outlets to educate and inform patients about Afirma.</w:t>
      </w:r>
    </w:p>
    <w:p>
      <w:pPr>
        <w:spacing w:after="0" w:line="180"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Payer Coverage and Contracts. </w:t>
      </w:r>
      <w:r>
        <w:rPr>
          <w:rFonts w:ascii="Arial" w:cs="Arial" w:eastAsia="Arial" w:hAnsi="Arial"/>
          <w:sz w:val="18"/>
          <w:szCs w:val="18"/>
          <w:color w:val="auto"/>
        </w:rPr>
        <w:t>Many physicians typically require a test to have broad coverage and be offered by a service provider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has in-network status before they will offer it to their patients. We will continue our efforts to advance payer coverage decisions and contracts to facilitate rapid adoption of Afirma among ordering physicians. With Medicare and most of the leading commercial payers covering Afirma, as well as several Blue Cross and Blue Shield plans, we intend to focus our efforts on obtaining coverage from remaining "Blues" plans. Additionally, we are expanding our resources to negotiate and secure in-network contracts which we believe will facilitate adoption as well as provide more predictable reimbursement and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Selective International Expansion. </w:t>
      </w:r>
      <w:r>
        <w:rPr>
          <w:rFonts w:ascii="Arial" w:cs="Arial" w:eastAsia="Arial" w:hAnsi="Arial"/>
          <w:sz w:val="18"/>
          <w:szCs w:val="18"/>
          <w:color w:val="auto"/>
        </w:rPr>
        <w:t>We intend to create a network of international partners, including Genzyme in certain markets, to offer Afirma</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 We consider local practice patterns and local reimbursement to determine countries to enter, with special focus early on in countries where cash-based health care practices exist with local hospitals.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the Afirma Gene Expression Classifier and Malignancy Classifiers</w:t>
      </w:r>
    </w:p>
    <w:p>
      <w:pPr>
        <w:spacing w:after="0" w:line="231" w:lineRule="exact"/>
        <w:rPr>
          <w:sz w:val="20"/>
          <w:szCs w:val="20"/>
          <w:color w:val="auto"/>
        </w:rPr>
      </w:pPr>
    </w:p>
    <w:p>
      <w:pPr>
        <w:jc w:val="both"/>
        <w:ind w:firstLine="508"/>
        <w:spacing w:after="0" w:line="286" w:lineRule="auto"/>
        <w:rPr>
          <w:sz w:val="20"/>
          <w:szCs w:val="20"/>
          <w:color w:val="auto"/>
        </w:rPr>
      </w:pPr>
      <w:r>
        <w:rPr>
          <w:rFonts w:ascii="Arial" w:cs="Arial" w:eastAsia="Arial" w:hAnsi="Arial"/>
          <w:sz w:val="16"/>
          <w:szCs w:val="16"/>
          <w:color w:val="auto"/>
        </w:rPr>
        <w:t xml:space="preserve">We used a whole-genome approach to develop the Afirma GEC, identifying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at endocrinology practices across the United States in the early development of the Afirma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Afirma GEC first on thyroid surgical tissue and then on thyroid FNA samples was first published in 2010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Using our extensive thyroid-genomic database derived from the whole-genome discovery work that led to the GEC, which we believe to be the largest single data set for thyroid conditions, we developed the Afirma Malignancy Classifiers as an extension to the GEC.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Published Evidence for Afirma</w:t>
      </w:r>
    </w:p>
    <w:p>
      <w:pPr>
        <w:spacing w:after="0" w:line="231"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More than a dozen studies and review articles have been published in peer-reviewed journals supporting Afirma. Following is an overview of the key studies.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Validation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Preoperative Diagnosis of Benign Thyroid Nodules with Indeterminate Cytology (The New England Journal of Medicine, 2012)</w:t>
      </w:r>
    </w:p>
    <w:p>
      <w:pPr>
        <w:spacing w:after="0" w:line="225" w:lineRule="exact"/>
        <w:rPr>
          <w:sz w:val="20"/>
          <w:szCs w:val="20"/>
          <w:color w:val="auto"/>
        </w:rPr>
      </w:pPr>
    </w:p>
    <w:p>
      <w:pPr>
        <w:jc w:val="both"/>
        <w:ind w:firstLine="466"/>
        <w:spacing w:after="0" w:line="289" w:lineRule="auto"/>
        <w:rPr>
          <w:sz w:val="20"/>
          <w:szCs w:val="20"/>
          <w:color w:val="auto"/>
        </w:rPr>
      </w:pPr>
      <w:r>
        <w:rPr>
          <w:rFonts w:ascii="Arial" w:cs="Arial" w:eastAsia="Arial" w:hAnsi="Arial"/>
          <w:sz w:val="16"/>
          <w:szCs w:val="16"/>
          <w:color w:val="auto"/>
        </w:rPr>
        <w:t>In this study, which was sponsored by us and conducted with the support of institutional research grants from us, our Afirma GEC exhibited a negative predictive value, or NPV, of 95% for indeterminate results in the atypia or follicular lesion of undetermined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Afirma GEC benign results compared to post-operative expert pathology review. It was the second prospective multicenter study validating the Afirma GEC approach. The study supported the consideration of a more conservative approach than surgery for most patients with thyroid nodules that are cytologically indeterminate but benign according to Afirma GEC results.</w:t>
      </w:r>
    </w:p>
    <w:p>
      <w:pPr>
        <w:spacing w:after="0" w:line="172" w:lineRule="exact"/>
        <w:rPr>
          <w:sz w:val="20"/>
          <w:szCs w:val="20"/>
          <w:color w:val="auto"/>
        </w:rPr>
      </w:pPr>
    </w:p>
    <w:p>
      <w:pPr>
        <w:jc w:val="both"/>
        <w:ind w:firstLine="645"/>
        <w:spacing w:after="0" w:line="298"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Afirma GEC correctly identified 78 of the 85 malignant nodules as suspicious, a 92% sensitivity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(95% confidence interval, or CI, 84 to 97). The Afirma GEC achieved a 52% specificity (95% CI 44 to 59) and reclassified as benign over half of the true benign FNA samples that had indeterminate cytopathology diagnoses. The authors concluded that a benign Afirma GEC result has a post-test probability of malignancy that is similar to the probability for operated nodules with cytologically benign features on an FNA, making watchful waiting a safe and effective clinical option for these patients.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Molecular Classification of Thyroid Nodules using High- Dimensionality Genomic Data (Journal of Clinical Endocrinology and Metabolism, 2010)</w:t>
      </w:r>
    </w:p>
    <w:p>
      <w:pPr>
        <w:spacing w:after="0" w:line="248"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In this study, which we sponsored, our FNA trained classifier exhibited an NPV of 96% on a modest sized test set of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98" w:lineRule="exact"/>
        <w:rPr>
          <w:sz w:val="20"/>
          <w:szCs w:val="20"/>
          <w:color w:val="auto"/>
        </w:rPr>
      </w:pPr>
    </w:p>
    <w:p>
      <w:pPr>
        <w:jc w:val="both"/>
        <w:ind w:firstLine="538"/>
        <w:spacing w:after="0" w:line="254" w:lineRule="auto"/>
        <w:rPr>
          <w:sz w:val="20"/>
          <w:szCs w:val="20"/>
          <w:color w:val="auto"/>
        </w:rPr>
      </w:pPr>
      <w:r>
        <w:rPr>
          <w:rFonts w:ascii="Arial" w:cs="Arial" w:eastAsia="Arial" w:hAnsi="Arial"/>
          <w:sz w:val="18"/>
          <w:szCs w:val="18"/>
          <w:color w:val="auto"/>
        </w:rPr>
        <w:t>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Utility</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86" w:lineRule="exact"/>
        <w:rPr>
          <w:sz w:val="20"/>
          <w:szCs w:val="20"/>
          <w:color w:val="auto"/>
        </w:rPr>
      </w:pPr>
    </w:p>
    <w:p>
      <w:pPr>
        <w:jc w:val="both"/>
        <w:ind w:firstLine="431"/>
        <w:spacing w:after="0" w:line="286" w:lineRule="auto"/>
        <w:rPr>
          <w:sz w:val="20"/>
          <w:szCs w:val="20"/>
          <w:color w:val="auto"/>
        </w:rPr>
      </w:pPr>
      <w:r>
        <w:rPr>
          <w:rFonts w:ascii="Arial" w:cs="Arial" w:eastAsia="Arial" w:hAnsi="Arial"/>
          <w:sz w:val="16"/>
          <w:szCs w:val="16"/>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Afirma GEC in a multicenter, cross-sectional survey of the endocrinologists' decision to operate on patients with a cytopathology indeterminate FNA and a benign Afirma GEC result. The study reviewed the first 2,040 GEC tests performed on samples that were classified as indeterminate by cytopathology, of which the Afirma GEC reclassified 52.3% of these results as benign. In the study, a cohort of 51 endocrinologists (46 community based; five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Afirma GEC result reclassified the patient's indeterminate nodule as benign. Surgery was performed on only 7.6% (95% CI 5.1 to 10.8) of patients, compared to the 74% historic rate of surgery on indeterminate thyroid nodules previously reported by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2011, a 90% relative reduction in the decision to operate (p &lt; 0.001). Additionally, this 7.6% rate of surgery is similar to the 9.0% rate of surgery associated with cytology benign FNA results and reflects other factors considered by physicians, including the size and growth rate of the nodule, the presence of other suspicious or malignant nodules, and other symptoms. The study demonstrates the effect of the GEC on clinical decision making for patients with indeterminate thyroid nodules.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Multicenter Clinical Experience with the Afirma Gene Expression Classifier (Journal of Clinical Endocrinology and Metabolism, 2014)*</w:t>
      </w:r>
    </w:p>
    <w:p>
      <w:pPr>
        <w:spacing w:after="0" w:line="225"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6"/>
          <w:szCs w:val="16"/>
          <w:color w:val="auto"/>
        </w:rPr>
        <w:t xml:space="preserve">This study sought to determine how use of the Afirma GEC affects clinical practice in a real-world environment. Researchers at five academic centers followed all thyroid nodule patients who were tested with the Afirma GEC following indeterminate biopsy results based on cytopathology between 2010 and 2013. Among the 339 patients with indeterminate thyroid nodules, the Afirma GEC identified 174 (51%) as benign and, of these, 71 patients were followed clinically for an average of nine months. Of these 71 patients, only one cancer was identified over the course of the study, confirming a high NPV for the Afirma GEC of over 95%, which is similar to the malignancy risk of a benign cytopathology result. These findings reaffirm data from the initial validation trial published previously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The study also supports previous findings regarding the clinical utility of the Afirma GEC, as only 6% of patients with nodules identified as benign by our test underwent surgery.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Cost-effectiveness</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Cost-effectiveness of a Novel Molecular Test for Cytologically Indeterminate Thyroid Nodules (Journal of Clinical Endocrinology and Metabolism, 2011) ©The Endocrine Society*</w:t>
      </w:r>
    </w:p>
    <w:p>
      <w:pPr>
        <w:spacing w:after="0" w:line="186" w:lineRule="exact"/>
        <w:rPr>
          <w:sz w:val="20"/>
          <w:szCs w:val="20"/>
          <w:color w:val="auto"/>
        </w:rPr>
      </w:pPr>
    </w:p>
    <w:p>
      <w:pPr>
        <w:jc w:val="both"/>
        <w:ind w:right="20" w:firstLine="474"/>
        <w:spacing w:after="0" w:line="306" w:lineRule="auto"/>
        <w:rPr>
          <w:sz w:val="20"/>
          <w:szCs w:val="20"/>
          <w:color w:val="auto"/>
        </w:rPr>
      </w:pPr>
      <w:r>
        <w:rPr>
          <w:rFonts w:ascii="Arial" w:cs="Arial" w:eastAsia="Arial" w:hAnsi="Arial"/>
          <w:sz w:val="16"/>
          <w:szCs w:val="16"/>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61"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Researchers modeled the direct cost savings of utilizing the Afirma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Afirma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Afirma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Afirma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903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co-author of this study is a consultant and member of our clinical advisory board, and owned shares of our common stock at the time of the study.</w:t>
      </w:r>
    </w:p>
    <w:p>
      <w:pPr>
        <w:spacing w:after="0" w:line="275"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co-author of this study is a consultant and member of our clinical advisory board, and owned shares of our common stock at the time of the study. This study was conducted with the support of institutional research grants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0"/>
        <w:spacing w:after="0" w:line="306" w:lineRule="auto"/>
        <w:rPr>
          <w:sz w:val="20"/>
          <w:szCs w:val="20"/>
          <w:color w:val="auto"/>
        </w:rPr>
      </w:pPr>
      <w:r>
        <w:rPr>
          <w:rFonts w:ascii="Arial" w:cs="Arial" w:eastAsia="Arial" w:hAnsi="Arial"/>
          <w:sz w:val="16"/>
          <w:szCs w:val="16"/>
          <w:color w:val="auto"/>
        </w:rPr>
        <w:t xml:space="preserve">The cost savings estimate in the Johns Hopkins model was based on an estimated 14% rate of surgery on a benign Afirma GEC nodule, which rate is almost double the 7.6% and 6.3% subsequently reported in prior studies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Based on the rate of surgery on GEC benign nodules reported in </w:t>
      </w:r>
      <w:r>
        <w:rPr>
          <w:rFonts w:ascii="Arial" w:cs="Arial" w:eastAsia="Arial" w:hAnsi="Arial"/>
          <w:sz w:val="16"/>
          <w:szCs w:val="16"/>
          <w:i w:val="1"/>
          <w:iCs w:val="1"/>
          <w:color w:val="auto"/>
        </w:rPr>
        <w:t>Thyroid</w:t>
      </w:r>
      <w:r>
        <w:rPr>
          <w:rFonts w:ascii="Arial" w:cs="Arial" w:eastAsia="Arial" w:hAnsi="Arial"/>
          <w:sz w:val="16"/>
          <w:szCs w:val="16"/>
          <w:color w:val="auto"/>
        </w:rPr>
        <w:t>, this study found that each Afirma GEC test would save approximately $2,600.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Analytical Validity</w:t>
      </w:r>
    </w:p>
    <w:p>
      <w:pPr>
        <w:spacing w:after="0" w:line="225"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Analytical Performance Verification of a Molecular Diagnostic for Cytology-Indeterminate Thyroid Nodules (Journal of Clinical Endocrinology and Metabolism, 2012)</w:t>
      </w:r>
    </w:p>
    <w:p>
      <w:pPr>
        <w:spacing w:after="0" w:line="186"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This study evaluated the Afirma GEC's ability to provide a robust, accurate and reproducible assay result on patient samples. The findings showed that the RNA content in an FNA sample that is preserved in our proprietary FNAProtect is stable for up to six days at room temperature with no changes in RNA yield or quality. Additionally, the Afirma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Afirma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Afirma GEC were successfully demonstrated.</w:t>
      </w:r>
    </w:p>
    <w:p>
      <w:pPr>
        <w:spacing w:after="0" w:line="174" w:lineRule="exact"/>
        <w:rPr>
          <w:sz w:val="20"/>
          <w:szCs w:val="20"/>
          <w:color w:val="auto"/>
        </w:rPr>
      </w:pPr>
    </w:p>
    <w:p>
      <w:pPr>
        <w:ind w:left="720" w:hanging="179"/>
        <w:spacing w:after="0" w:line="268" w:lineRule="auto"/>
        <w:rPr>
          <w:sz w:val="20"/>
          <w:szCs w:val="20"/>
          <w:color w:val="auto"/>
        </w:rPr>
      </w:pPr>
      <w:r>
        <w:rPr>
          <w:rFonts w:ascii="Arial" w:cs="Arial" w:eastAsia="Arial" w:hAnsi="Arial"/>
          <w:sz w:val="18"/>
          <w:szCs w:val="18"/>
          <w:i w:val="1"/>
          <w:iCs w:val="1"/>
          <w:color w:val="auto"/>
        </w:rPr>
        <w:t>Machine Learning from Concept to Clinic: Reliable Detection of BRAF V600E DNA Mutations in Thyroid Nodules Using High-Dimensional RNA Expression Data (Pacific Symposium on Biocomputing, 2015)</w:t>
      </w:r>
    </w:p>
    <w:p>
      <w:pPr>
        <w:spacing w:after="0" w:line="18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This study, which was sponsored by us and supported with institutional research grants, demonstrated the analytical and clinical validity of the Afirma BRAF test, one of our Afirma Malignancy Classifiers, and confirms that the RNA-based classifier detects the BRAF V600E gene mutation with high diagnostic accuracy. In the study, researchers evaluated 535 FNA samples using both the Afirma RNA-based classifier and a sensitive, standard PCR DNA-based test. The Afirma BRAF RNA-based classifier accurately determined the presence or absence of the BRAF V600E gene mutation with equal performance, but with a lower non-diagnostic rate, than the DNA-based test (7.6% vs. 24.5%).</w:t>
      </w:r>
    </w:p>
    <w:p>
      <w:pPr>
        <w:spacing w:after="0" w:line="197" w:lineRule="exact"/>
        <w:rPr>
          <w:sz w:val="20"/>
          <w:szCs w:val="20"/>
          <w:color w:val="auto"/>
        </w:rPr>
      </w:pPr>
    </w:p>
    <w:p>
      <w:pPr>
        <w:jc w:val="both"/>
        <w:ind w:firstLine="356"/>
        <w:spacing w:after="0" w:line="223" w:lineRule="auto"/>
        <w:rPr>
          <w:sz w:val="20"/>
          <w:szCs w:val="20"/>
          <w:color w:val="auto"/>
        </w:rPr>
      </w:pPr>
      <w:r>
        <w:rPr>
          <w:rFonts w:ascii="Arial" w:cs="Arial" w:eastAsia="Arial" w:hAnsi="Arial"/>
          <w:sz w:val="18"/>
          <w:szCs w:val="18"/>
          <w:color w:val="auto"/>
        </w:rPr>
        <w:t>Additionally, strong clinical validation data demonstrating the ability of the Afirma MTC test to accurately identify cases of medullary thyroid cancer, which were missed by cytopathology alone, were presented at the American Association of Clinical Endocrinologists, or AACE,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Annual Scientific &amp; Clinical Congress in May 2014 and are expected to be published in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in Practice Guidelines</w:t>
      </w:r>
    </w:p>
    <w:p>
      <w:pPr>
        <w:spacing w:after="0" w:line="231"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We believe inclusion of diagnostic tests in clinical practice guidelines is essential to drive their broad adoption and reimbursement. In January 2013, the National Comprehensive Cancer Network, or NCCN, modified its thyroid cancer guidelines to recommend that physicians consider molecular testing in lieu of diagnostic surgery for patients with cytopathology indeterminate thyroid nodules, provided that the molecular test predicts a risk of malignancy comparable to the risk of malignancy of a benign cytopathology result. Based on published evidence, the Afirma GEC meets these criteria. In July 2014, the NCCN further modified its guidelines to include the Afirma GEC by name. Additionally, UpToDate, a leading evidence-based clinical decision support resource for physicians, recommended the Afirma GEC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its February 2013 review. Finally, based on preliminary American Thyroid Association, or ATA, guidelines on the management of thyroid nodules, which were presented in June 2014, we believe the Afirma GEC is positioned well as a "rule out" test to meet the ATA's proposed inclusion criteria for using molecular testing to help patients avoid unnecessary surgery following an indeterminate cytopathology result. The ATA is expected to finalize its guidelines in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Afirma Marketing and Sales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We employ diverse marketing programs to inform key stakeholders of the value of our Afirma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Genzyme jointly participates in our marketing and medical education activities.</w:t>
      </w:r>
    </w:p>
    <w:p>
      <w:pPr>
        <w:spacing w:after="0" w:line="174" w:lineRule="exact"/>
        <w:rPr>
          <w:sz w:val="20"/>
          <w:szCs w:val="20"/>
          <w:color w:val="auto"/>
        </w:rPr>
      </w:pPr>
    </w:p>
    <w:p>
      <w:pPr>
        <w:jc w:val="both"/>
        <w:ind w:firstLine="390"/>
        <w:spacing w:after="0" w:line="291" w:lineRule="auto"/>
        <w:rPr>
          <w:sz w:val="20"/>
          <w:szCs w:val="20"/>
          <w:color w:val="auto"/>
        </w:rPr>
      </w:pPr>
      <w:r>
        <w:rPr>
          <w:rFonts w:ascii="Arial" w:cs="Arial" w:eastAsia="Arial" w:hAnsi="Arial"/>
          <w:sz w:val="16"/>
          <w:szCs w:val="16"/>
          <w:color w:val="auto"/>
        </w:rPr>
        <w:t>In May 2014, we introduced a comprehensive promotional campaign targeting endocrinologists, which highlights the patient benefits of Afirma—primarily its ability to help avoid unnecessary surgeries using information derived from a single FNA procedure. We expanded this campaign to focus on a patient audience while still highlighting the patient experience for physicians. The campaign's centerpiece, www.afirma.com, serves as the digital home for a an inbound marketing campaign for patients diagnosed with a thyroid nodule that includes paid search, search engine optimization, advertising in physician offices, and outreach to patient advocacy organizations. To support the consumer campaign, a robust physician campaign includes sales aids, medical conference promotion, print and online advertising and direct mail promotion.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We market our Afirma solution through our dedicated specialty sales force and through a co-promotion agreement with Genzyme Corporation, which targets the same endocrinologist customers with Thyrogen. We estimate that approximately 3,500 endocrinologists specialize in thyroid disease and perform FNAs to determine whether a thyroid nodule is malignant for cancer or benign. We also serve other specialists, including radiologists and ENT physicians, who also perform FNAs. We estimate that 60% of FNAs are collected in the physician office ambulatory setting and 40% in institutions and integrated delivery networks. In the early years of commercialization of Afirma, our success was attributed to our ability to gain adoption in the ambulatory setting where the physician alone can make a decision to use Afirma. In 2014 we refined our "Afirma-enabled" model in institutions, which involves a more complex sales process due to the multiple stakeholders within the institutions that participate in the decision to adopt Afirma. We believe servicing both models is important to our future growth.</w:t>
      </w:r>
    </w:p>
    <w:p>
      <w:pPr>
        <w:spacing w:after="0" w:line="172"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We entered 2015 with a significantly expanded team of 26 sales professionals (versus eight at the beginning of 2014) that focuses on driving Afirma adoption and GEC test volume among both community-based and institutional customers, with the continued engagement of the Genzyme sales force. The Genzyme sales force focuses on lead development and ongoing support and maintenance of existing and new customers. The two teams work hand in hand, territory by territory to maximize our penetration and retention of the business. We have designed sales goals and financial incentives to align the interests of all sales representatives, regardless of company affiliation, to drive Afirma adoption and growth. In our Amended and Restated U.S. Co-Promotion Agreement, or Amended Agreement, effective January 2015, we reduced the fees we pay to Genzyme from 32% to 15% of Afirma cash revenue and invested the savings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fees in our expanded internal team. We believe this more robust sales footprint positions us well for continued Afirma growth, particularly with institutional accounts.</w:t>
      </w:r>
    </w:p>
    <w:p>
      <w:pPr>
        <w:spacing w:after="0" w:line="186" w:lineRule="exact"/>
        <w:rPr>
          <w:sz w:val="20"/>
          <w:szCs w:val="20"/>
          <w:color w:val="auto"/>
        </w:rPr>
      </w:pPr>
    </w:p>
    <w:p>
      <w:pPr>
        <w:jc w:val="both"/>
        <w:ind w:firstLine="600"/>
        <w:spacing w:after="0" w:line="259" w:lineRule="auto"/>
        <w:rPr>
          <w:sz w:val="20"/>
          <w:szCs w:val="20"/>
          <w:color w:val="auto"/>
        </w:rPr>
      </w:pPr>
      <w:r>
        <w:rPr>
          <w:rFonts w:ascii="Arial" w:cs="Arial" w:eastAsia="Arial" w:hAnsi="Arial"/>
          <w:sz w:val="18"/>
          <w:szCs w:val="18"/>
          <w:color w:val="auto"/>
        </w:rPr>
        <w:t>In 2014 we entered our first international market in Brazil through a partnership with Fleury Health and Medicine, one of the largest diagnostics organizations in Brazil. Through our amended ex-U.S. Co-Promotion Agreement with Genzyme, we anticipate collaborating on additional international market entries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31"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and lung, these often generate ambiguous results that lead to invasive procedures including surgery.</w:t>
      </w:r>
    </w:p>
    <w:p>
      <w:pPr>
        <w:spacing w:after="0" w:line="197" w:lineRule="exact"/>
        <w:rPr>
          <w:sz w:val="20"/>
          <w:szCs w:val="20"/>
          <w:color w:val="auto"/>
        </w:rPr>
      </w:pPr>
    </w:p>
    <w:p>
      <w:pPr>
        <w:jc w:val="both"/>
        <w:ind w:right="20" w:firstLine="377"/>
        <w:spacing w:after="0" w:line="268" w:lineRule="auto"/>
        <w:rPr>
          <w:sz w:val="20"/>
          <w:szCs w:val="20"/>
          <w:color w:val="auto"/>
        </w:rPr>
      </w:pPr>
      <w:r>
        <w:rPr>
          <w:rFonts w:ascii="Arial" w:cs="Arial" w:eastAsia="Arial" w:hAnsi="Arial"/>
          <w:sz w:val="18"/>
          <w:szCs w:val="18"/>
          <w:color w:val="auto"/>
        </w:rPr>
        <w:t>We are now applying our proven molecular cytology approach to other disease areas, beginning with lung diseases, which are often challenging to diagnose without surgery or other invasive procedures. The following graphic shows our progress across our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123190</wp:posOffset>
            </wp:positionV>
            <wp:extent cx="5591175" cy="3215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9117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407"/>
        <w:spacing w:after="0" w:line="332" w:lineRule="auto"/>
        <w:rPr>
          <w:sz w:val="20"/>
          <w:szCs w:val="20"/>
          <w:color w:val="auto"/>
        </w:rPr>
      </w:pPr>
      <w:r>
        <w:rPr>
          <w:rFonts w:ascii="Arial" w:cs="Arial" w:eastAsia="Arial" w:hAnsi="Arial"/>
          <w:sz w:val="16"/>
          <w:szCs w:val="16"/>
          <w:color w:val="auto"/>
        </w:rPr>
        <w:t>Developing new products is a lengthy and complex process, and is subject to numerous risks and uncertainties. We may not be able to commercialize on a timely basis, or at all, products we are developing. If we are not able to do so, our business and our ability to generate revenue could be harmed.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w:t>
      </w:r>
    </w:p>
    <w:p>
      <w:pPr>
        <w:spacing w:after="0" w:line="225"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8"/>
          <w:szCs w:val="18"/>
          <w:color w:val="auto"/>
        </w:rPr>
        <w:t>Pulmonology represents a significant opportunity for molecular cytology, given the inherent challenges in diagnosing lung cancer and lung diseases, which are difficult to access without invasive procedures.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Lung Cancer Diagnostic Market</w:t>
      </w:r>
    </w:p>
    <w:p>
      <w:pPr>
        <w:spacing w:after="0" w:line="225"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Lung cancer is the leading cause of cancer deaths in the United States, with an estimated 224,000 new diagnoses and 160,000 deaths in 2014. Approximately 250,000 patients with suspected lung cancer currently undergo bronchoscopy each year in the United States to assess lung nodules or lesions that are suspicious for lung cancer. Bronchoscopy, a procedure typically performed in an outpatient setting, enables the physician to visualize and collect cells from the patient's lung airways and is considered safer than other, more invasive sampling methods, such as transthoracic needle biopsy, or TTNB, or surgery.</w:t>
      </w:r>
    </w:p>
    <w:p>
      <w:pPr>
        <w:spacing w:after="0" w:line="167"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8"/>
          <w:szCs w:val="18"/>
          <w:color w:val="auto"/>
        </w:rPr>
        <w:t>Approximately 40% of bronchoscopies produce non-diagnostic results, meaning that malignancy was not found—but cannot be ruled out—in approximately 100,000 patients each year in the United States. This results from difficulty in accessing small and/or peripheral nodules with bronchoscopy devices. This leaves physicians with the dilemma of whether to direct these patients to surgery or other invasive procedures to obtain a diagnosis, which are risky and costly at over $20,000 per surgery, or to actively monitor the patients with imaging techniques.</w:t>
      </w:r>
    </w:p>
    <w:p>
      <w:pPr>
        <w:spacing w:after="0" w:line="197"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6"/>
          <w:szCs w:val="16"/>
          <w:color w:val="auto"/>
        </w:rPr>
        <w:t>Beginning in early 2015, more than eight million Americans at high-risk for lung cancer are eligible for annual screening with LDCT through new coverage requirements for private insurers as part of the Affordable Care Act, and through Medicare. This screening requirement resulted from the National Lung Screening Trial, a landmark 2011 government study, which found that annual screening using newer LDCT scans reduced lung cancer deaths by 20% among older current and former smokers. These findings had subsequently prompted the U.S. Preventive Services Task Force to recommend annual LDCT screening for people at high risk of lung cancer due to their age (from 55 to 80 years old) and history of smoking the equivalent of a pack a day for 30 years. While annual screening is expected to save many lives through early detection, it is anticipated to also find many lung nodules that prove to be benign, which has raised concerns that many patients will be unnecessarily subjected to invasive, risky and expensive procedures just to get a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114935</wp:posOffset>
            </wp:positionV>
            <wp:extent cx="2958465" cy="2221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846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A test that could improve the accuracy of bronchoscopy results could help identify patients who are at low risk of lung cancer and can thus avoid unnecessary invasive diagnostic procedures and be monitored with CT scans instead. We believe the market opportunity for such a test is between $350 million and $400 million in the United States, based on the current number of bronchoscopies performed to evaluate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lung nodules that are suspicious for cancer. The number of patients screened for lung cancer—and the number of non-diagnostic bronchoscopies—could expand significantly in the next two to three years as the screening programs are implemented.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Percepta Bronchial Genomic Classifier</w:t>
      </w:r>
    </w:p>
    <w:p>
      <w:pPr>
        <w:spacing w:after="0" w:line="225" w:lineRule="exact"/>
        <w:rPr>
          <w:sz w:val="20"/>
          <w:szCs w:val="20"/>
          <w:color w:val="auto"/>
        </w:rPr>
      </w:pPr>
    </w:p>
    <w:p>
      <w:pPr>
        <w:jc w:val="both"/>
        <w:ind w:firstLine="348"/>
        <w:spacing w:after="0" w:line="289" w:lineRule="auto"/>
        <w:rPr>
          <w:sz w:val="20"/>
          <w:szCs w:val="20"/>
          <w:color w:val="auto"/>
        </w:rPr>
      </w:pPr>
      <w:r>
        <w:rPr>
          <w:rFonts w:ascii="Arial" w:cs="Arial" w:eastAsia="Arial" w:hAnsi="Arial"/>
          <w:sz w:val="16"/>
          <w:szCs w:val="16"/>
          <w:color w:val="auto"/>
        </w:rPr>
        <w:t>The Percepta Bronchial Genomic Classifier is a gene expression test designed to identify patients with lung nodules who are at low risk of cancer following a non-diagnostic bronchoscopy so that they may be monitored with CT surveillance without the need for invasive procedures or surgery to obtain a sample from the nodule directly. The test comprises a 23-gene molecular classifier that utilizes "field of injury" technology to detect molecular changes that occur in the epithelial cells lining the lung's respiratory tract in response to smoking—the cause of 85-90% of lung cancers. These changes can be detected in cytologically normal airway cells and have been shown to correlate with the presence of malignancy or disease processes from distant sites in the lung. This field of injury genomic technology plays a key role in our positioning of Percepta at the point in the clinical pathway following a bronchoscopy procedure that yields non-diagnostic results. By resolving ambiguity following a bronchoscopy, we believe our test results can potentially help physicians and patients avoid an invasive surgical procedure as the next step in achieving diagnostic results.</w:t>
      </w:r>
    </w:p>
    <w:p>
      <w:pPr>
        <w:spacing w:after="0" w:line="172" w:lineRule="exact"/>
        <w:rPr>
          <w:sz w:val="20"/>
          <w:szCs w:val="20"/>
          <w:color w:val="auto"/>
        </w:rPr>
      </w:pPr>
    </w:p>
    <w:p>
      <w:pPr>
        <w:jc w:val="both"/>
        <w:ind w:firstLine="523"/>
        <w:spacing w:after="0" w:line="255" w:lineRule="auto"/>
        <w:rPr>
          <w:sz w:val="20"/>
          <w:szCs w:val="20"/>
          <w:color w:val="auto"/>
        </w:rPr>
      </w:pPr>
      <w:r>
        <w:rPr>
          <w:rFonts w:ascii="Arial" w:cs="Arial" w:eastAsia="Arial" w:hAnsi="Arial"/>
          <w:sz w:val="18"/>
          <w:szCs w:val="18"/>
          <w:color w:val="auto"/>
        </w:rPr>
        <w:t>We estimate that approximately 4,000 physicians perform bronchoscopies in the United States, of which approximately 80% are pulmonologists. The remaining bronchoscopies are performed by thoracic surgeons, general surgeons and other subspecialty physicians. Most bronchoscopies are performed in hospitals and the majority of those for lung cancer diagnosis take place in the hospital outpatient setting. The primary decision maker for Percepta will be the pulmonologist, although other physicians involved in the diagnostic work-up for lung cancer will also be involved, including the pathologist, thoracic surgeon, oncologist and radiologist.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Percepta Bronchial Genomic Classifier</w:t>
      </w:r>
    </w:p>
    <w:p>
      <w:pPr>
        <w:spacing w:after="0" w:line="225"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 xml:space="preserve">We gained Percepta and its underlying technology and intellectual property through the acquisition of Allegro. Early work published in </w:t>
      </w:r>
      <w:r>
        <w:rPr>
          <w:rFonts w:ascii="Arial" w:cs="Arial" w:eastAsia="Arial" w:hAnsi="Arial"/>
          <w:sz w:val="16"/>
          <w:szCs w:val="16"/>
          <w:i w:val="1"/>
          <w:iCs w:val="1"/>
          <w:color w:val="auto"/>
        </w:rPr>
        <w:t>Nature Medicine</w:t>
      </w:r>
      <w:r>
        <w:rPr>
          <w:rFonts w:ascii="Arial" w:cs="Arial" w:eastAsia="Arial" w:hAnsi="Arial"/>
          <w:sz w:val="16"/>
          <w:szCs w:val="16"/>
          <w:color w:val="auto"/>
        </w:rPr>
        <w:t xml:space="preserve"> in 2007 demonstrated how gene expression alterations in cytologically normal large-airway epithelial cells of current and former smokers could serve as a lung cancer diagnostic. Percepta was developed using a training set of 299 patients, a subset of patients enrolled in the AEGIS, or Airway Epithelium Gene Expression in the Diagnosis of Lung Cancer, trials, designed as prospective, observational, cohort studies of current and former cigarette smokers with lung nodules suspicious for cancer, who were undergoing bronchoscopy as part of their diagnostic work-up. Samples were collected at medical centers around the country using standard cytopathology brushings during bronchoscopy. The microarray-based gene expression algorithm was derived using genes associated with lung cancer and with three clinical covariates, including gender, tobacco use and smoking history, as well as age, and then applying logistical regression modeling techniques to lock a classifier that could accurately predict cancer status.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Evidence for Percepta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Clinical Validation</w:t>
      </w:r>
    </w:p>
    <w:p>
      <w:pPr>
        <w:spacing w:after="0" w:line="225"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auto"/>
        </w:rPr>
        <w:t>The performance of Percepta has been demonstrated in studies enrolling over 1,000 patients from more than 30 centers in domestic and international sites, including two prospective clinical validation studies. Results of the first clinical validation study, the AEGIS I study on a cohort of 298 patients, were presented at the American Thoracic Society, or ATS, 2014 International Conference in May 2014 and demonstrated that the test was highly accurate, with an NPV of greater than 90%, in identifying patients at low risk of lung cancer following a non-diagnostic bronchoscopy result. In the study, all patients were followed longitudinally to the point of diagnosis of either primary lung cancer, using pathology results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gold standard, or benign disease. The second validation study, AEGIS II, involved 341 patients and demonstrated similar results. We expect these data will be presented at a scientific meeting in 2015. Data from the combined AEGIS I and AEGIS II clinical validation studies, along with data describing the algorithm's development and initial clinical validation, are expected to be submitted for publication in 2015.</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Additional Evidence Development</w:t>
      </w:r>
    </w:p>
    <w:p>
      <w:pPr>
        <w:spacing w:after="0" w:line="225"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Analytical verification studies are underway to document the robust laboratory process transferred from Allegro to Veracyte's CLIA laboratory. We plan to build out the remaining body of evidence to demonstrate how the test changes clinical care decisions once we commercialize the test by mid-2015. Finally, we have cost-effectiveness studies underway to demonstrate the test's value to payers.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Guidelines</w:t>
      </w:r>
    </w:p>
    <w:p>
      <w:pPr>
        <w:spacing w:after="0" w:line="225"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6"/>
          <w:szCs w:val="16"/>
          <w:color w:val="auto"/>
        </w:rPr>
        <w:t>Several existing guidelines cover the management of patients undergoing a diagnostic workup for lung cancer. In 2013, the American College of Chest Physicians, or ACCP, released comprehensive guidelines for the diagnosis and management of lung cancer, updating their 2007 guidelines. NCCN also publishes guidelines for lung cancer screening and management of non-small cell lung cancer and small cell lung cancer. These guidelines are updated on a more frequent basis. Both organizations' recommendations advise on when to proceed to a biopsy. However, there is little guidance on what to do after a non-diagnostic bronchoscopy. Our internal research suggests that physicians vary widely in how they proceed with these patients. For example, some physicians take all of these patients to surgery or TTNB, while others are more conservative and place them on CT surveillance. ACCP guidelines place non-diagnostic patients at an intermediate risk of malignancy, thus implying that pulmonologists should treat these patients as they would any other intermediate-risk patient. Current guidelines, however, do not provide definitive guidance on what to do for this group. We believe that Percepta can change this diagnostic paradigm by offering evidence-based medicine to further guide how to manage "intermediate-risk" patients, identifying those who are at low risk for lung cancer so they can be followed with CT surveillance rather than moving on to additional invasive diagnostic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Sales</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We plan to enter the market with a small, targeted pulmonary product specialist field force, under the Percepta Early Access Program, while we complete the remaining studies needed to build out our library of evidence. Once these studies are completed and published in peer-reviewed journals, we will pursue coverage decisions by Medicare as well as commercial payers. We plan to initially target sites with high volumes of bronchoscopies for lung cancer, both in academic and community settings.</w:t>
      </w:r>
    </w:p>
    <w:p>
      <w:pPr>
        <w:spacing w:after="0" w:line="19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Similar to our approach with Afirma, the physicians will collect the samples for Percepta at the same time that the original bronchoscopy is conducted. This approach will help ensure that Percepta fits smoothly into physicians' workflow, minimizing complexity for our customers and optimizing utilization of our test to maximize patient benefit and cost savings.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Interstitial Lung Diseases Diagnostic Market</w:t>
      </w:r>
    </w:p>
    <w:p>
      <w:pPr>
        <w:spacing w:after="0" w:line="225"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The market for an ILD diagnostic, and particularly IPF, represents another large opportunity to improve preoperative diagnosis, helping to reduce the need for unnecessary invasive procedures and associated costs. The physician specialist for our IPF product is also the pulmonologist, leveraging our pulmonology channel which we plan to enter this year with Percepta.</w:t>
      </w:r>
    </w:p>
    <w:p>
      <w:pPr>
        <w:spacing w:after="0" w:line="194"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IPF is the most common and most deadly form of ILD, a diagnostic category comprising more than 200 diverse lung disorders characterized by progressive scarring of the lungs. An estimated 175,000 to 200,000 patients in the United States and major European countries present with suspected ILDs each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 IPF and other ILDs are often similar in symptoms and appearance, making them challenging for physicians to distinguish from each other.</w:t>
      </w:r>
    </w:p>
    <w:p>
      <w:pPr>
        <w:spacing w:after="0" w:line="225"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This uncertainty can result in incorrect or missed diagnoses; invasive, risky and expensive diagnostic surgeries costing over $40,000 per surgery; and/or suboptimal treatment. In addition, patients diagnosed with IPF who actually have another, less-serious ILD could be erroneously told that they have a deadly disease with a very poor prognosis and may be subjected to inadequate and/or potentially harmful treatment. The need for improved IPF diagnosis is increasingly important with the recent availability of new therapies for IPF in the United States and Europe, pirfenidone and nintedanib, that slow IPF progression, and with numerous additional drugs under development with the potential to slow or reverse IPF-related lung damage.</w:t>
      </w:r>
    </w:p>
    <w:p>
      <w:pPr>
        <w:spacing w:after="0" w:line="170"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8"/>
          <w:szCs w:val="18"/>
          <w:color w:val="auto"/>
        </w:rPr>
        <w:t>IPF diagnosis is typically made by a multidisciplinary team, or MDT, comprised of pulmonologists, radiologists and pathologists, based on a thorough clinical work-up combined with the presence of a specific pattern called usual interstitial pneumonia, or UIP, from high-resolution computed tomography, or HRCT, or from a pathology diagnosis made from a tissue sample collected from a surgical procedure. These UIP patterns are often difficult to distinguish, and even experienced radiologists and pathologists may not agree on the diagnosis. Additionally, many patients live in areas where an MDT is not available. When an IPF diagnosis is uncertain by HRCT, diagnostic surgery is considered the best approach; however, lung surgery is invasive, risky and expensive and many patients are too sick to undergo surgery.</w:t>
      </w:r>
    </w:p>
    <w:p>
      <w:pPr>
        <w:spacing w:after="0" w:line="198" w:lineRule="exact"/>
        <w:rPr>
          <w:sz w:val="20"/>
          <w:szCs w:val="20"/>
          <w:color w:val="auto"/>
        </w:rPr>
      </w:pPr>
    </w:p>
    <w:p>
      <w:pPr>
        <w:jc w:val="both"/>
        <w:ind w:firstLine="425"/>
        <w:spacing w:after="0" w:line="256" w:lineRule="auto"/>
        <w:rPr>
          <w:sz w:val="20"/>
          <w:szCs w:val="20"/>
          <w:color w:val="auto"/>
        </w:rPr>
      </w:pPr>
      <w:r>
        <w:rPr>
          <w:rFonts w:ascii="Arial" w:cs="Arial" w:eastAsia="Arial" w:hAnsi="Arial"/>
          <w:sz w:val="18"/>
          <w:szCs w:val="18"/>
          <w:color w:val="auto"/>
        </w:rPr>
        <w:t>A genomic test that could resolve diagnostic ambiguity found in the majority of patients presenting with potential IPF or another ILD could enable many patients to be diagnosed and treated appropriately, sooner, and without the need for diagnostic surgery. Our research suggests that clinicians see the need for a genomic test that could provide greater confidence in making an IPF or other ILD diagnosis. We estimate the addressable market for our IPF test to be over $500 million in the United States and Europe.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IPF Test</w:t>
      </w:r>
    </w:p>
    <w:p>
      <w:pPr>
        <w:spacing w:after="0" w:line="225" w:lineRule="exact"/>
        <w:rPr>
          <w:sz w:val="20"/>
          <w:szCs w:val="20"/>
          <w:color w:val="auto"/>
        </w:rPr>
      </w:pPr>
    </w:p>
    <w:p>
      <w:pPr>
        <w:jc w:val="both"/>
        <w:ind w:firstLine="538"/>
        <w:spacing w:after="0" w:line="259" w:lineRule="auto"/>
        <w:rPr>
          <w:sz w:val="20"/>
          <w:szCs w:val="20"/>
          <w:color w:val="auto"/>
        </w:rPr>
      </w:pPr>
      <w:r>
        <w:rPr>
          <w:rFonts w:ascii="Arial" w:cs="Arial" w:eastAsia="Arial" w:hAnsi="Arial"/>
          <w:sz w:val="18"/>
          <w:szCs w:val="18"/>
          <w:color w:val="auto"/>
        </w:rPr>
        <w:t>We are developing a molecular test to enable less-invasive, more accurate and less costly diagnosis of IPF using cytology samples obtained through bronchoscopy. Our IPF test is intended to replace diagnostic surgery by providing valuable, objective information that will enable the MDT to make more accurate diagnoses earlier. We expect to launch our test in 2016.</w:t>
      </w:r>
    </w:p>
    <w:p>
      <w:pPr>
        <w:spacing w:after="0" w:line="194"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Our molecular classifier is designed to identify patients with pathology patterns that correspond with IPF versus those typically associated with other ILDs. In May 2014, we presented preliminary data at the ATS 2014 International Conference demonstrating the ability of our molecular classifier, developed using a whole-genome approach and microarray and deep RNA and DNA sequencing on tissue samples, to accurately distinguish IPF from other ILDs. We are now optimizing the test for use on bronchoscopy samples.</w:t>
      </w:r>
    </w:p>
    <w:p>
      <w:pPr>
        <w:spacing w:after="0" w:line="197"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color w:val="auto"/>
        </w:rPr>
        <w:t>To this end, we are working with more than 25 clinical sites in the United States and internationally to prospectively collect hundreds of patient samples for use in developing—and later, in validating—our test under our BRAVE protocols. Our intent is to obtain samples that represent all types of cases and associated clinical annotations, which we believe our classifier will be exposed to once commercialized. We have formed a "virtual" MDT of world-renowned experts in pulmonology, radiology and pathology to establish "clinical truth" against which we are developing and measuring our test's performance. We expect to present initial clinical data demonstrating the performance of our IPF test on bronchoscopy samples at a scientific meeting in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Relationships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w:t>
      </w:r>
    </w:p>
    <w:p>
      <w:pPr>
        <w:spacing w:after="0" w:line="225"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We began our co-promotion partnership with Genzyme, a subsidiary of Sanofi, in January 2012 by executing a co-promotion agreement. Genzyme is an established leader in endocrinology globally, developing and commercializing Thyrogen (thyrotropin alfa for injection) in the United States and over 42 countries worldwide. Thyrogen is an adjunctive diagnostic agent used in follow up of patients with well differentiated thyroid cancer, and an adjunctive treatment for ablation or destruction of thyroid remnants in patients who have had their thyroid removed for the treatment of well-differentiated thyroid cancer. We manage the relationship through a steering committee that oversees certain tactical and strategic planning activities.</w:t>
      </w:r>
    </w:p>
    <w:p>
      <w:pPr>
        <w:spacing w:after="0" w:line="170"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Under the 2012 agreement, Genzyme paid us a $10.0 million upfront fee and we are required to pay Genzyme a co promotion fee that was equal to a percentage of our U.S. cash receipts from the sale of the Afirma GEC test, which fee varied over time. We record the Genzyme co-promotion fees, net of amortization related to the upfront fee, within selling and marketing expense in our statements of operations.</w:t>
      </w:r>
    </w:p>
    <w:p>
      <w:pPr>
        <w:spacing w:after="0" w:line="194"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On November 7, 2014, we signed an Amended and Restated U.S. Co-Promotion Agreement, or Amended Agreement. Under the Amended Agreement, the co-promotion fees payable to Genzyme as a percentage of U.S. cash receipts from the sale of the Afirma GEC test were reduced from 32% to 15% beginning January 1, 2015, and the earliest either party may terminate the Amended Agreement for convenience is July 1, 2016. Our Amended Agreement with Genzyme expires in January 2027.</w:t>
      </w:r>
    </w:p>
    <w:p>
      <w:pPr>
        <w:spacing w:after="0" w:line="197"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On February 13, 2015, we entered into an Ex-U.S. Co-Promotion Agreement, or Ex-U.S. Agreement, with Genzyme for the co-exclusive promotion of the Afirma GEC test in two countries outside the United States: Brazil and Singapore. We also granted Genzyme, for a limited period of time, an exclusive right of first negotiation to enter into an agreement with us for the promotion of the Afirma GEC test in three additional countries: Canada, the Netherlands and Italy. Further, upon mutual agreement, the parties may add additional countries (other than the United States) to the Ex-U.S. Agreement. The term of the Ex-U.S. Agreement commenced January 1, 2015 and continues until December 31, 2019 with extension of the agreement possible upon agreement of the parties. Country specific terms have been established under the Ex-U.S. Agreement for Brazil and Singapore. Pursuant to these terms, we will pay Genzyme 25% of cash receipts from the sale of the Afirma GEC test in Brazil and Singapore over a five-year period commencing January 1, 2015. Beginning in the fourth year of the agreement, if we terminate the agreement for convenience with respect to Brazil, we may be required to pay a termination fee contingent on the number of GEC billable results generated. This will give us optionality to drive new models in each market and more efficiently solidify the foundation of an international brand presence, retaining our Genzyme relationship in markets that make sense.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w:t>
      </w:r>
    </w:p>
    <w:p>
      <w:pPr>
        <w:spacing w:after="0" w:line="225"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6"/>
          <w:szCs w:val="16"/>
          <w:color w:val="auto"/>
        </w:rPr>
        <w:t>We rely on Thyroid Cytopathology Partners, P.A.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 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TCP is co-located in a portion of our facilities in Austin, Texas and reimburses us for a portion of our actual out-of-pocket rental and related operating expense costs. Our agreement with TCP is effective until December 31, 2015 and thereafter automatically renews every year unless either party provides notice of intent not to renew at least twelve months prior to the end of the then-current term.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Revenue for Afirma Thyroid FNA Analysis comes from several sources, including commercial third-party payers, such as insurance companies and health maintenance organizations, government payers, such as Medicare and Medicaid, and patients. We believe that reimbursement for our lung products will be derived from similar sources but with a greater proportion coming from Medicare and potentially Medicaid due to the age of the patient population.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Payer Landscape for Afirma</w:t>
      </w:r>
    </w:p>
    <w:p>
      <w:pPr>
        <w:spacing w:after="0" w:line="225" w:lineRule="exact"/>
        <w:rPr>
          <w:sz w:val="20"/>
          <w:szCs w:val="20"/>
          <w:color w:val="auto"/>
        </w:rPr>
      </w:pPr>
    </w:p>
    <w:p>
      <w:pPr>
        <w:jc w:val="both"/>
        <w:ind w:firstLine="537"/>
        <w:spacing w:after="0" w:line="255" w:lineRule="auto"/>
        <w:rPr>
          <w:sz w:val="20"/>
          <w:szCs w:val="20"/>
          <w:color w:val="auto"/>
        </w:rPr>
      </w:pPr>
      <w:r>
        <w:rPr>
          <w:rFonts w:ascii="Arial" w:cs="Arial" w:eastAsia="Arial" w:hAnsi="Arial"/>
          <w:sz w:val="18"/>
          <w:szCs w:val="18"/>
          <w:color w:val="auto"/>
        </w:rPr>
        <w:t>Reimbursement for Afirma is comprised of cytopathology, the GEC and/or the Malignancy Classifiers when these tests are performed as part of our comprehensive solution. To date, a high percentage of FNA samples received are accessioned for cytopathology and for which we bill both the technical and professional component using established CPT codes. Under our "Afirma-enabled" model, which is used predominantly by our institutional customers, reimbursement is sought for the Afirma GEC and/or the Malignancy Classifiers. We bill payers directly for the GEC and the Malignancy Classifiers using either a unique code or a miscellaneous code.</w:t>
      </w:r>
    </w:p>
    <w:p>
      <w:pPr>
        <w:spacing w:after="0" w:line="197" w:lineRule="exact"/>
        <w:rPr>
          <w:sz w:val="20"/>
          <w:szCs w:val="20"/>
          <w:color w:val="auto"/>
        </w:rPr>
      </w:pPr>
    </w:p>
    <w:p>
      <w:pPr>
        <w:jc w:val="both"/>
        <w:ind w:firstLine="359"/>
        <w:spacing w:after="0" w:line="290" w:lineRule="auto"/>
        <w:rPr>
          <w:sz w:val="20"/>
          <w:szCs w:val="20"/>
          <w:color w:val="auto"/>
        </w:rPr>
      </w:pPr>
      <w:r>
        <w:rPr>
          <w:rFonts w:ascii="Arial" w:cs="Arial" w:eastAsia="Arial" w:hAnsi="Arial"/>
          <w:sz w:val="16"/>
          <w:szCs w:val="16"/>
          <w:color w:val="auto"/>
        </w:rPr>
        <w:t>Effective January 2012, Palmetto GBA, the regional Medicare administrative contractor, or MAC, that handled claims processing for Medicare services with jurisdiction at that time, issued coverage and payment determinations for the GEC. Their review determined that the Afirma GEC met their criteria for analytical and clinical validity, and clinical utility as a reasonable and necessary Medicare benefit. This coverage decision provided approximately 50 million Medicare participants with access to the Afirma GEC. In mid-September 2013, Noridian Administrative Services succeeded Palmetto as the MAC for our region. Noridian continues to reimburse under our unique Z code originally established by Palmetto. On a five year rotational basis, Medicare requests bids for its regional MAC services. Any future changes in the MAC processing or coding for Medicare claims for the Afirma GEC or for future products could result in a change in the coverage or reimbursement rates for such products, or the loss of coverage.</w:t>
      </w:r>
    </w:p>
    <w:p>
      <w:pPr>
        <w:spacing w:after="0" w:line="172" w:lineRule="exact"/>
        <w:rPr>
          <w:sz w:val="20"/>
          <w:szCs w:val="20"/>
          <w:color w:val="auto"/>
        </w:rPr>
      </w:pPr>
    </w:p>
    <w:p>
      <w:pPr>
        <w:jc w:val="both"/>
        <w:ind w:firstLine="398"/>
        <w:spacing w:after="0" w:line="254" w:lineRule="auto"/>
        <w:rPr>
          <w:sz w:val="20"/>
          <w:szCs w:val="20"/>
          <w:color w:val="auto"/>
        </w:rPr>
      </w:pPr>
      <w:r>
        <w:rPr>
          <w:rFonts w:ascii="Arial" w:cs="Arial" w:eastAsia="Arial" w:hAnsi="Arial"/>
          <w:sz w:val="18"/>
          <w:szCs w:val="18"/>
          <w:color w:val="auto"/>
        </w:rPr>
        <w:t>Collectively, as of March 2015, we have 145 million lives under positive medical coverage policies for the Afirma GEC including from Medicare (January 2012) and leading commercial insurers, including UnitedHealthcare (April 2013), Aetna (June 2013), Humana (July 2013), Cigna (December 2013) and several leading Blue Cross and/or Blue Shield plans, including Highmark, Horizon Blue Cross, and Blue Shield of California (all 2014). We have nearly 100 million lives under contract for the Afirma GEC, which establishes us as an in-network provider and helps facilitate adoption. However, payers may suspend or discontinue reimbursement at any time, may require or increase co-payments from patients, or may reduce the reimbursement rates paid to us. Any such actions could have a negative effect on our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Dependence on Certain Third-party Payers</w:t>
      </w:r>
    </w:p>
    <w:p>
      <w:pPr>
        <w:spacing w:after="0" w:line="225"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color w:val="auto"/>
        </w:rPr>
        <w:t>We rely on a small number of third-party payers for a significant portion of our revenue. Reimbursement on behalf of patients covered by Medicare accounted for 26%, 32% and 34% of our revenue for the years ended December 31, 2014, 2013 and 2012, respectively. UnitedHealthcare accounted for 18%, 18% and 12% of our revenue for the years ended December 31, 2014, 2013 and 2012, respectively. Aetna accounted for 11%, 9% and 13% of our revenue for the years ended December 31, 2014, 2013 and 2012, respectively. The loss of one or more of these payers would have a negative effect on our business and our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Strategy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employ a multi-pronged strategy designed to achieve broad coverage and reimbursement for our tests:</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Meet the Evidence Standards Necessary to Be Consistent with Leading Clinical Guidelines. </w:t>
      </w:r>
      <w:r>
        <w:rPr>
          <w:rFonts w:ascii="Arial" w:cs="Arial" w:eastAsia="Arial" w:hAnsi="Arial"/>
          <w:sz w:val="16"/>
          <w:szCs w:val="16"/>
          <w:color w:val="auto"/>
        </w:rPr>
        <w:t>We believe inclusion in leading clinical practice</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plays a critical role in payers' coverage decisions. The data published on the Afirma GEC to date is consistent with the recommendations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93"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and Claims Adjudication Function as Part of Our Core Business Operations. </w:t>
      </w:r>
      <w:r>
        <w:rPr>
          <w:rFonts w:ascii="Arial" w:cs="Arial" w:eastAsia="Arial" w:hAnsi="Arial"/>
          <w:sz w:val="18"/>
          <w:szCs w:val="18"/>
          <w:color w:val="auto"/>
        </w:rPr>
        <w:t>We believe that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and widespread reimbursement is a critical factor in our long-term success. We employ a team of in-house claims processing and reimbursement specialists who work with payers, physician practices and patients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physician practices and patients to navigate the claims process.</w:t>
      </w:r>
    </w:p>
    <w:p>
      <w:pPr>
        <w:spacing w:after="0" w:line="211" w:lineRule="exact"/>
        <w:rPr>
          <w:rFonts w:ascii="Arial" w:cs="Arial" w:eastAsia="Arial" w:hAnsi="Arial"/>
          <w:sz w:val="18"/>
          <w:szCs w:val="18"/>
          <w:color w:val="auto"/>
        </w:rPr>
      </w:pPr>
    </w:p>
    <w:p>
      <w:pPr>
        <w:jc w:val="both"/>
        <w:ind w:left="1080" w:hanging="532"/>
        <w:spacing w:after="0" w:line="323"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Cultivate a Network of Key Opinion Leaders. </w:t>
      </w:r>
      <w:r>
        <w:rPr>
          <w:rFonts w:ascii="Arial" w:cs="Arial" w:eastAsia="Arial" w:hAnsi="Arial"/>
          <w:sz w:val="15"/>
          <w:szCs w:val="15"/>
          <w:color w:val="auto"/>
        </w:rPr>
        <w:t>Key opinion leaders are able to influence clinical practice by publishing research and determining</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new tests should be integrated into practice guidelines. We collaborate with key opinion leaders early in the development process to ensure our clinical studies are designed and executed in a way that clearly demonstrates the benefits of our tests to physicians and payers. Ongoing studies to support real world experience with our tests are a key component of our efforts to maintain collaborations with physician influencers.</w:t>
      </w:r>
    </w:p>
    <w:p>
      <w:pPr>
        <w:spacing w:after="0" w:line="165" w:lineRule="exact"/>
        <w:rPr>
          <w:rFonts w:ascii="Arial" w:cs="Arial" w:eastAsia="Arial" w:hAnsi="Arial"/>
          <w:sz w:val="15"/>
          <w:szCs w:val="15"/>
          <w:color w:val="auto"/>
        </w:rPr>
      </w:pPr>
    </w:p>
    <w:p>
      <w:pPr>
        <w:jc w:val="both"/>
        <w:ind w:left="108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Compile a Growing Library of Peer-reviewed Studies that Demonstrate the Test Is Effective. </w:t>
      </w:r>
      <w:r>
        <w:rPr>
          <w:rFonts w:ascii="Arial" w:cs="Arial" w:eastAsia="Arial" w:hAnsi="Arial"/>
          <w:sz w:val="16"/>
          <w:szCs w:val="16"/>
          <w:color w:val="auto"/>
        </w:rPr>
        <w:t>To date, several peer-reviewed articles and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papers have been published and have helped support our efforts aimed at widespread adoption and reimbursement of Afirma. In each disease area we pursue, we intend to conduct studies in order to develop similar supporting literature.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technology platform offers a number of key attributes, which are applicable to Afirma, Percepta and our subsequent products:</w:t>
      </w:r>
    </w:p>
    <w:p>
      <w:pPr>
        <w:spacing w:after="0" w:line="252" w:lineRule="exact"/>
        <w:rPr>
          <w:sz w:val="20"/>
          <w:szCs w:val="20"/>
          <w:color w:val="auto"/>
        </w:rPr>
      </w:pPr>
    </w:p>
    <w:p>
      <w:pPr>
        <w:jc w:val="both"/>
        <w:ind w:left="10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Core Expertise in Broad-based Genomic Analysis. </w:t>
      </w:r>
      <w:r>
        <w:rPr>
          <w:rFonts w:ascii="Arial" w:cs="Arial" w:eastAsia="Arial" w:hAnsi="Arial"/>
          <w:sz w:val="16"/>
          <w:szCs w:val="16"/>
          <w:color w:val="auto"/>
        </w:rPr>
        <w:t>Our team of bioinformatics and computational scientists possess extensive knowledge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174"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Proprietary Capabilities in Analyzing Small, Heterogeneous Cytology Samples. </w:t>
      </w:r>
      <w:r>
        <w:rPr>
          <w:rFonts w:ascii="Arial" w:cs="Arial" w:eastAsia="Arial" w:hAnsi="Arial"/>
          <w:sz w:val="16"/>
          <w:szCs w:val="16"/>
          <w:color w:val="auto"/>
        </w:rPr>
        <w:t>We have developed proprietary technology,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and know-how for optimized methods for extraction and analysis of nanogram quantities of RNA from small biopsy samples. Although others can extract RNA from these small biopsies,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98"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w:t>
      </w:r>
      <w:r>
        <w:rPr>
          <w:rFonts w:ascii="Arial" w:cs="Arial" w:eastAsia="Arial" w:hAnsi="Arial"/>
          <w:sz w:val="16"/>
          <w:szCs w:val="16"/>
          <w:i w:val="1"/>
          <w:iCs w:val="1"/>
          <w:color w:val="auto"/>
        </w:rPr>
        <w:t xml:space="preserve"> </w:t>
      </w:r>
      <w:r>
        <w:rPr>
          <w:rFonts w:ascii="Arial" w:cs="Arial" w:eastAsia="Arial" w:hAnsi="Arial"/>
          <w:sz w:val="16"/>
          <w:szCs w:val="16"/>
          <w:color w:val="auto"/>
        </w:rPr>
        <w:t>extensive 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93"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Technology Agnostic Discovery Platform. </w:t>
      </w:r>
      <w:r>
        <w:rPr>
          <w:rFonts w:ascii="Arial" w:cs="Arial" w:eastAsia="Arial" w:hAnsi="Arial"/>
          <w:sz w:val="18"/>
          <w:szCs w:val="18"/>
          <w:color w:val="auto"/>
        </w:rPr>
        <w:t>We are not reliant on specific formats and are able to take advantage of a multitude of genomic</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in developing future tests. When we developed the GEC in 2008, microarray technologies were a cost-effective discovery technology compared to other approaches that were nascent at the time. More recently, the rapid cost reductions achieved in next generation sequencing platforms has allowed us to pursue our whole genome approach to biomarker discovery using a range of technologies, including gene expression and DNA methylation, as well as DNA and RNA sequencing.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231" w:lineRule="exact"/>
        <w:rPr>
          <w:sz w:val="20"/>
          <w:szCs w:val="20"/>
          <w:color w:val="auto"/>
        </w:rPr>
      </w:pPr>
    </w:p>
    <w:p>
      <w:pPr>
        <w:jc w:val="both"/>
        <w:ind w:firstLine="386"/>
        <w:spacing w:after="0" w:line="312"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Afirma GEC testing and plan to perform our Percepta testing and subsequent tests in pulmonology. Our customers ship samples for cytopathology assessment to our CLIA-registered laboratory in Austin, Texas. Once received, samples are processed through our automated accessioning system, prepared for cytopathology review, and delivered to TCP for cytopathology diagnosis. If cytopathology results are indeterminate, the sample is transferred to South San Francisco where we perform GEC testing. Institutions and other clients using our Afirma-enabled model ship the samples for Afirma GEC and/or the Afirma Malignancy Classifiers directly to our South San Francisco laboratory. Percepta samples will be shipped directly to South San Francisco. Our South San Francisco facility is responsible for quality assurance oversight, licensing and regulation compliance and maintenance for both of our laboratories to ensure data integrity and consistent, validated processes.</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we have sufficient laboratory capacity to process Afirma tests, including our Afirma Malignancy Classifiers, as well as Percepta and our IPF test.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w:t>
      </w:r>
    </w:p>
    <w:p>
      <w:pPr>
        <w:spacing w:after="0" w:line="231"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competitive factors in the thyroid cancer market include:</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and strength of clinical validation and utility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confidence in diagnostic results backed by our analytical verification data;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reimbursement;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inclusion in practice guidelines;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cost-effectiveness;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we compete favorably on the factors described above with our Afirma solution.</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will need to educate physicians about the benefits of our test in order to change clinical practice.</w:t>
      </w:r>
    </w:p>
    <w:p>
      <w:pPr>
        <w:spacing w:after="0" w:line="167"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Qiagen N.V. and Rosetta Genomics Ltd. We also face competition from companies and academic institutions that use next generation sequencing technology or other methods to measure mutational markers such as BRAF and KRAS along with numerous other mutations. In the future, we may also face competition from companies developing new products or technologies that are able to compete with Afirma's high negative predictive value to rule out cancer.</w:t>
      </w:r>
    </w:p>
    <w:p>
      <w:pPr>
        <w:spacing w:after="0" w:line="172"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With Percepta, we anticipate facing potential competition from the companies and institutions listed above, but additionally from companies developing approaches for assessing malignancy risk in patients with lung nodules using alternative samples, such as blood-based tests or sputums, which are performed early in the diagnostic paradigm.</w:t>
      </w:r>
    </w:p>
    <w:p>
      <w:pPr>
        <w:spacing w:after="0" w:line="194"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39"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 As we add new tests and services, we will face many of these same competitive risks for these new tests.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7" w:lineRule="exact"/>
        <w:rPr>
          <w:sz w:val="20"/>
          <w:szCs w:val="20"/>
          <w:color w:val="auto"/>
        </w:rPr>
      </w:pPr>
    </w:p>
    <w:p>
      <w:pPr>
        <w:jc w:val="both"/>
        <w:ind w:firstLine="412"/>
        <w:spacing w:after="0" w:line="332" w:lineRule="auto"/>
        <w:rPr>
          <w:sz w:val="20"/>
          <w:szCs w:val="20"/>
          <w:color w:val="auto"/>
        </w:rPr>
      </w:pPr>
      <w:r>
        <w:rPr>
          <w:rFonts w:ascii="Arial" w:cs="Arial" w:eastAsia="Arial" w:hAnsi="Arial"/>
          <w:sz w:val="16"/>
          <w:szCs w:val="16"/>
          <w:color w:val="auto"/>
        </w:rPr>
        <w:t>We have five issued patents which expire between 2029 and 2032 related to methods used in the Afirma diagnostic platform, in addition to seven pending U.S. utility patent applications, two U.S. provisional applications and one PCT application. Some of these U.S. utility patent applications have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pending foreign counterparts. We also exclusively licensed intellectual property, including rights to three pending U.S. utility patent applications in the thyroid space that would expire between 2030 and 2033 once issued, related to methods that are used in the Afirma diagnostic test, some of which have foreign counterparts.</w:t>
      </w:r>
    </w:p>
    <w:p>
      <w:pPr>
        <w:spacing w:after="0" w:line="19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In the lung diagnostic space, we exclusively licensed intellectual property rights to 19 pending patent applications and two issued patents in the United States and abroad. Patents issuing from the licensed portfolio will expire between 2024 and 2028. In addition, we own four pending patent applications, a PCT application, and a provisional U.S. application related to our lung cancer test under development, Percepta, as well as a PCT application and two provisional U.S. applications related to our interstitial lung disease test under development. Any patents granted from the current lung cancer patent applications will expire from 2032 to 2034 and those from the interstitial lung disease patent applications will expire from 2034 to 2036.</w:t>
      </w:r>
    </w:p>
    <w:p>
      <w:pPr>
        <w:spacing w:after="0" w:line="170" w:lineRule="exact"/>
        <w:rPr>
          <w:sz w:val="20"/>
          <w:szCs w:val="20"/>
          <w:color w:val="auto"/>
        </w:rPr>
      </w:pPr>
    </w:p>
    <w:p>
      <w:pPr>
        <w:jc w:val="both"/>
        <w:ind w:firstLine="352"/>
        <w:spacing w:after="0" w:line="306" w:lineRule="auto"/>
        <w:rPr>
          <w:sz w:val="20"/>
          <w:szCs w:val="20"/>
          <w:color w:val="auto"/>
        </w:rPr>
      </w:pPr>
      <w:r>
        <w:rPr>
          <w:rFonts w:ascii="Arial" w:cs="Arial" w:eastAsia="Arial" w:hAnsi="Arial"/>
          <w:sz w:val="16"/>
          <w:szCs w:val="16"/>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61"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8"/>
          <w:szCs w:val="18"/>
          <w:color w:val="auto"/>
        </w:rPr>
        <w:t>We hold registered trademarks in the United States for "Veracyte" and "Afirma," and the Veracyte and Afirma logos. We also hold registered trademarks in various jurisdictions outside of the United States.</w:t>
      </w:r>
    </w:p>
    <w:p>
      <w:pPr>
        <w:spacing w:after="0" w:line="186" w:lineRule="exact"/>
        <w:rPr>
          <w:sz w:val="20"/>
          <w:szCs w:val="20"/>
          <w:color w:val="auto"/>
        </w:rPr>
      </w:pPr>
    </w:p>
    <w:p>
      <w:pPr>
        <w:jc w:val="both"/>
        <w:ind w:firstLine="448"/>
        <w:spacing w:after="0" w:line="291" w:lineRule="auto"/>
        <w:rPr>
          <w:sz w:val="20"/>
          <w:szCs w:val="20"/>
          <w:color w:val="auto"/>
        </w:rPr>
      </w:pPr>
      <w:r>
        <w:rPr>
          <w:rFonts w:ascii="Arial" w:cs="Arial" w:eastAsia="Arial" w:hAnsi="Arial"/>
          <w:sz w:val="16"/>
          <w:szCs w:val="16"/>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Amendments of 1988, or CLIA</w:t>
      </w:r>
    </w:p>
    <w:p>
      <w:pPr>
        <w:spacing w:after="0" w:line="225"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94"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94"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Food and Drug Administration: Diagnostic Kits</w:t>
      </w:r>
    </w:p>
    <w:p>
      <w:pPr>
        <w:spacing w:after="0" w:line="225" w:lineRule="exact"/>
        <w:rPr>
          <w:sz w:val="20"/>
          <w:szCs w:val="20"/>
          <w:color w:val="auto"/>
        </w:rPr>
      </w:pPr>
    </w:p>
    <w:p>
      <w:pPr>
        <w:jc w:val="both"/>
        <w:ind w:firstLine="471"/>
        <w:spacing w:after="0" w:line="254" w:lineRule="auto"/>
        <w:rPr>
          <w:sz w:val="20"/>
          <w:szCs w:val="20"/>
          <w:color w:val="auto"/>
        </w:rPr>
      </w:pPr>
      <w:r>
        <w:rPr>
          <w:rFonts w:ascii="Arial" w:cs="Arial" w:eastAsia="Arial" w:hAnsi="Arial"/>
          <w:sz w:val="18"/>
          <w:szCs w:val="18"/>
          <w:color w:val="auto"/>
        </w:rPr>
        <w:t>Diagnostic kits, including collection systems, which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98" w:lineRule="exact"/>
        <w:rPr>
          <w:sz w:val="20"/>
          <w:szCs w:val="20"/>
          <w:color w:val="auto"/>
        </w:rPr>
      </w:pPr>
    </w:p>
    <w:p>
      <w:pPr>
        <w:jc w:val="both"/>
        <w:ind w:firstLine="476"/>
        <w:spacing w:after="0" w:line="294"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For Class II devices, the FDA generally requires clearance through the premarket notification, or 510(k) clearance process. Class III devices are generally the highest risk devices and are subject to the highest level of regulatory control to provide reasonable assurance of the device's safety and effectiveness. Class III devices must typically be approved by the FDA before they are marketed.</w:t>
      </w:r>
    </w:p>
    <w:p>
      <w:pPr>
        <w:spacing w:after="0" w:line="170" w:lineRule="exact"/>
        <w:rPr>
          <w:sz w:val="20"/>
          <w:szCs w:val="20"/>
          <w:color w:val="auto"/>
        </w:rPr>
      </w:pPr>
    </w:p>
    <w:p>
      <w:pPr>
        <w:jc w:val="both"/>
        <w:ind w:firstLine="431"/>
        <w:spacing w:after="0" w:line="332"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39" w:lineRule="exact"/>
        <w:rPr>
          <w:sz w:val="20"/>
          <w:szCs w:val="20"/>
          <w:color w:val="auto"/>
        </w:rPr>
      </w:pPr>
    </w:p>
    <w:p>
      <w:pPr>
        <w:jc w:val="both"/>
        <w:ind w:firstLine="561"/>
        <w:spacing w:after="0" w:line="255" w:lineRule="auto"/>
        <w:rPr>
          <w:sz w:val="20"/>
          <w:szCs w:val="20"/>
          <w:color w:val="auto"/>
        </w:rPr>
      </w:pPr>
      <w:r>
        <w:rPr>
          <w:rFonts w:ascii="Arial" w:cs="Arial" w:eastAsia="Arial" w:hAnsi="Arial"/>
          <w:sz w:val="18"/>
          <w:szCs w:val="18"/>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97" w:lineRule="exact"/>
        <w:rPr>
          <w:sz w:val="20"/>
          <w:szCs w:val="20"/>
          <w:color w:val="auto"/>
        </w:rPr>
      </w:pPr>
    </w:p>
    <w:p>
      <w:pPr>
        <w:jc w:val="both"/>
        <w:ind w:firstLine="585"/>
        <w:spacing w:after="0" w:line="287" w:lineRule="auto"/>
        <w:rPr>
          <w:sz w:val="20"/>
          <w:szCs w:val="20"/>
          <w:color w:val="auto"/>
        </w:rPr>
      </w:pPr>
      <w:r>
        <w:rPr>
          <w:rFonts w:ascii="Arial" w:cs="Arial" w:eastAsia="Arial" w:hAnsi="Arial"/>
          <w:sz w:val="16"/>
          <w:szCs w:val="16"/>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We also plan to list our sample collection containers for use with our lung cancer and IPF tests with the FDA as Class I medical devices. If the FDA were to determine that our sample collection containers are a Class II medical device, we would be required to obtain FDA clearance to use the container.</w:t>
      </w:r>
    </w:p>
    <w:p>
      <w:pPr>
        <w:spacing w:after="0" w:line="177" w:lineRule="exact"/>
        <w:rPr>
          <w:sz w:val="20"/>
          <w:szCs w:val="20"/>
          <w:color w:val="auto"/>
        </w:rPr>
      </w:pPr>
    </w:p>
    <w:p>
      <w:pPr>
        <w:jc w:val="both"/>
        <w:ind w:firstLine="434"/>
        <w:spacing w:after="0" w:line="332" w:lineRule="auto"/>
        <w:rPr>
          <w:sz w:val="20"/>
          <w:szCs w:val="20"/>
          <w:color w:val="auto"/>
        </w:rPr>
      </w:pPr>
      <w:r>
        <w:rPr>
          <w:rFonts w:ascii="Arial" w:cs="Arial" w:eastAsia="Arial" w:hAnsi="Arial"/>
          <w:sz w:val="16"/>
          <w:szCs w:val="16"/>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5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recall or seizure of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Oversight of Laboratory Developed Tests and Research Use Only Products</w:t>
      </w:r>
    </w:p>
    <w:p>
      <w:pPr>
        <w:spacing w:after="0" w:line="225" w:lineRule="exact"/>
        <w:rPr>
          <w:sz w:val="20"/>
          <w:szCs w:val="20"/>
          <w:color w:val="auto"/>
        </w:rPr>
      </w:pPr>
    </w:p>
    <w:p>
      <w:pPr>
        <w:jc w:val="both"/>
        <w:ind w:firstLine="429"/>
        <w:spacing w:after="0" w:line="291"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FDA currently exercises its enforcement discretion for LDTs. In October 2014, the FDA published draft guidance documents describing the framework by which they might regulate LDTs. The framework is similar to the guidance they issued previously. The comment period ended in February 2015. There is no timeframe in which the FDA must issue final guidance documents.</w:t>
      </w:r>
    </w:p>
    <w:p>
      <w:pPr>
        <w:spacing w:after="0" w:line="174"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Some of the materials we use for Afirma and that we may use for future products, such as Percepta,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November 2013, the FDA issued guidance regarding "Commercially Distributed In-Vitro Diagnostic Products Labeled for Research Use Only or Investigational Use Only."</w:t>
      </w:r>
    </w:p>
    <w:p>
      <w:pPr>
        <w:spacing w:after="0" w:line="170"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We cannot predict the ultimate form or impact of any such RUO,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98"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70"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225"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97" w:lineRule="exact"/>
        <w:rPr>
          <w:sz w:val="20"/>
          <w:szCs w:val="20"/>
          <w:color w:val="auto"/>
        </w:rPr>
      </w:pPr>
    </w:p>
    <w:p>
      <w:pPr>
        <w:jc w:val="both"/>
        <w:ind w:right="20" w:firstLine="460"/>
        <w:spacing w:after="0" w:line="332"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39"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 The U.S. Department of Commerce, the European Commission and the Swiss Federal Data Protection and Information Commissioner have agreed on a set of data protection principles and frequently asked questions, referred to as the Safe Harbor Principles, to enable U.S. companies to satisfy the requirement under European Union and Swiss law that adequate protection is given to personal information transferred from the European Union or Switzerland to the United States. The European Commission and Switzerland have also recognized the Safe Harbor Principles as providing adequate data protection.</w:t>
      </w:r>
    </w:p>
    <w:p>
      <w:pPr>
        <w:spacing w:after="0" w:line="170"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Physician Self-referral Prohibitions</w:t>
      </w:r>
    </w:p>
    <w:p>
      <w:pPr>
        <w:spacing w:after="0" w:line="225"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67" w:lineRule="exact"/>
        <w:rPr>
          <w:sz w:val="20"/>
          <w:szCs w:val="20"/>
          <w:color w:val="auto"/>
        </w:rPr>
      </w:pPr>
    </w:p>
    <w:p>
      <w:pPr>
        <w:jc w:val="both"/>
        <w:ind w:firstLine="532"/>
        <w:spacing w:after="0" w:line="306" w:lineRule="auto"/>
        <w:rPr>
          <w:sz w:val="20"/>
          <w:szCs w:val="20"/>
          <w:color w:val="auto"/>
        </w:rPr>
      </w:pPr>
      <w:r>
        <w:rPr>
          <w:rFonts w:ascii="Arial" w:cs="Arial" w:eastAsia="Arial" w:hAnsi="Arial"/>
          <w:sz w:val="16"/>
          <w:szCs w:val="16"/>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6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Sanctions for a violation of the Stark Law include the following:</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civil penalty of up to $15,000 for each service arising out of the prohibited referral;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civil penalty of up to $100,000 against parties that enter into a scheme to circumvent the Stark Law's prohibition.</w:t>
      </w:r>
    </w:p>
    <w:p>
      <w:pPr>
        <w:spacing w:after="0" w:line="225"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39"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Anti-kickback Laws</w:t>
      </w:r>
    </w:p>
    <w:p>
      <w:pPr>
        <w:spacing w:after="0" w:line="225" w:lineRule="exact"/>
        <w:rPr>
          <w:sz w:val="20"/>
          <w:szCs w:val="20"/>
          <w:color w:val="auto"/>
        </w:rPr>
      </w:pPr>
    </w:p>
    <w:p>
      <w:pPr>
        <w:jc w:val="both"/>
        <w:ind w:firstLine="416"/>
        <w:spacing w:after="0" w:line="290" w:lineRule="auto"/>
        <w:rPr>
          <w:sz w:val="20"/>
          <w:szCs w:val="20"/>
          <w:color w:val="auto"/>
        </w:rPr>
      </w:pPr>
      <w:r>
        <w:rPr>
          <w:rFonts w:ascii="Arial" w:cs="Arial" w:eastAsia="Arial" w:hAnsi="Arial"/>
          <w:sz w:val="16"/>
          <w:szCs w:val="16"/>
          <w:color w:val="auto"/>
        </w:rPr>
        <w:t>The Federal health care program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2" w:lineRule="exact"/>
        <w:rPr>
          <w:sz w:val="20"/>
          <w:szCs w:val="20"/>
          <w:color w:val="auto"/>
        </w:rPr>
      </w:pPr>
    </w:p>
    <w:p>
      <w:pPr>
        <w:jc w:val="both"/>
        <w:ind w:firstLine="426"/>
        <w:spacing w:after="0" w:line="254" w:lineRule="auto"/>
        <w:rPr>
          <w:sz w:val="20"/>
          <w:szCs w:val="20"/>
          <w:color w:val="auto"/>
        </w:rPr>
      </w:pPr>
      <w:r>
        <w:rPr>
          <w:rFonts w:ascii="Arial" w:cs="Arial" w:eastAsia="Arial" w:hAnsi="Arial"/>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98"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94"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97" w:lineRule="exact"/>
        <w:rPr>
          <w:sz w:val="20"/>
          <w:szCs w:val="20"/>
          <w:color w:val="auto"/>
        </w:rPr>
      </w:pPr>
    </w:p>
    <w:p>
      <w:pPr>
        <w:jc w:val="both"/>
        <w:ind w:firstLine="439"/>
        <w:spacing w:after="0" w:line="289"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72"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and State Fraud and Abuse Laws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1"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22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8"/>
          <w:szCs w:val="18"/>
          <w:color w:val="auto"/>
        </w:rPr>
        <w:t>Many countries in which we may offer Afirma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97"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8"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Bribery Act.</w:t>
      </w:r>
    </w:p>
    <w:p>
      <w:pPr>
        <w:spacing w:after="0" w:line="197"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Laboratory Licensing</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97" w:lineRule="exact"/>
        <w:rPr>
          <w:sz w:val="20"/>
          <w:szCs w:val="20"/>
          <w:color w:val="auto"/>
        </w:rPr>
      </w:pPr>
    </w:p>
    <w:p>
      <w:pPr>
        <w:jc w:val="both"/>
        <w:ind w:firstLine="463"/>
        <w:spacing w:after="0" w:line="256" w:lineRule="auto"/>
        <w:rPr>
          <w:sz w:val="20"/>
          <w:szCs w:val="20"/>
          <w:color w:val="auto"/>
        </w:rPr>
      </w:pPr>
      <w:r>
        <w:rPr>
          <w:rFonts w:ascii="Arial" w:cs="Arial" w:eastAsia="Arial" w:hAnsi="Arial"/>
          <w:sz w:val="18"/>
          <w:szCs w:val="18"/>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Laboratory Licensing</w:t>
      </w:r>
    </w:p>
    <w:p>
      <w:pPr>
        <w:spacing w:after="0" w:line="225" w:lineRule="exact"/>
        <w:rPr>
          <w:sz w:val="20"/>
          <w:szCs w:val="20"/>
          <w:color w:val="auto"/>
        </w:rPr>
      </w:pPr>
    </w:p>
    <w:p>
      <w:pPr>
        <w:ind w:firstLine="378"/>
        <w:spacing w:after="0" w:line="268" w:lineRule="auto"/>
        <w:rPr>
          <w:sz w:val="20"/>
          <w:szCs w:val="20"/>
          <w:color w:val="auto"/>
        </w:rPr>
      </w:pPr>
      <w:r>
        <w:rPr>
          <w:rFonts w:ascii="Arial" w:cs="Arial" w:eastAsia="Arial" w:hAnsi="Arial"/>
          <w:sz w:val="18"/>
          <w:szCs w:val="18"/>
          <w:color w:val="auto"/>
        </w:rPr>
        <w:t>Because we receive specimens from New York State, our clinical reference laboratories are required to be licensed by New York, under New York laws and regulations, which establish standards for:</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day-to-day operation of a clinical laboratory, including training and skill levels required of laboratory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225" w:lineRule="exact"/>
        <w:rPr>
          <w:sz w:val="20"/>
          <w:szCs w:val="20"/>
          <w:color w:val="auto"/>
        </w:rPr>
      </w:pPr>
    </w:p>
    <w:p>
      <w:pPr>
        <w:jc w:val="both"/>
        <w:ind w:firstLine="412"/>
        <w:spacing w:after="0" w:line="290" w:lineRule="auto"/>
        <w:rPr>
          <w:sz w:val="20"/>
          <w:szCs w:val="20"/>
          <w:color w:val="auto"/>
        </w:rPr>
      </w:pPr>
      <w:r>
        <w:rPr>
          <w:rFonts w:ascii="Arial" w:cs="Arial" w:eastAsia="Arial" w:hAnsi="Arial"/>
          <w:sz w:val="16"/>
          <w:szCs w:val="16"/>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 requirements, we could be subject to such sanctions, which could harm our business. We maintain a current license in good standing with DOH for our South San Francisco and Austin laboratories. We cannot provide assurance that the DOH will at all times find us to be in compliance with applicable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States' Laboratory Licensing</w:t>
      </w:r>
    </w:p>
    <w:p>
      <w:pPr>
        <w:spacing w:after="0" w:line="225" w:lineRule="exact"/>
        <w:rPr>
          <w:sz w:val="20"/>
          <w:szCs w:val="20"/>
          <w:color w:val="auto"/>
        </w:rPr>
      </w:pPr>
    </w:p>
    <w:p>
      <w:pPr>
        <w:jc w:val="both"/>
        <w:ind w:right="20" w:firstLine="560"/>
        <w:spacing w:after="0" w:line="259" w:lineRule="auto"/>
        <w:rPr>
          <w:sz w:val="20"/>
          <w:szCs w:val="20"/>
          <w:color w:val="auto"/>
        </w:rPr>
      </w:pPr>
      <w:r>
        <w:rPr>
          <w:rFonts w:ascii="Arial" w:cs="Arial" w:eastAsia="Arial" w:hAnsi="Arial"/>
          <w:sz w:val="18"/>
          <w:szCs w:val="18"/>
          <w:color w:val="auto"/>
        </w:rPr>
        <w:t>In addition to New York and California, other states including Florida, Maryland, Pennsylvania and Rhode Island, require licensing of out-of- state laboratories under certain circumstances. We have obtained licenses from states where we believe we are required to be licensed, and believe we are in compliance with applicable licensing laws.</w:t>
      </w:r>
    </w:p>
    <w:p>
      <w:pPr>
        <w:spacing w:after="0" w:line="194" w:lineRule="exact"/>
        <w:rPr>
          <w:sz w:val="20"/>
          <w:szCs w:val="20"/>
          <w:color w:val="auto"/>
        </w:rPr>
      </w:pPr>
    </w:p>
    <w:p>
      <w:pPr>
        <w:jc w:val="both"/>
        <w:ind w:firstLine="354"/>
        <w:spacing w:after="0" w:line="306" w:lineRule="auto"/>
        <w:rPr>
          <w:sz w:val="20"/>
          <w:szCs w:val="20"/>
          <w:color w:val="auto"/>
        </w:rPr>
      </w:pPr>
      <w:r>
        <w:rPr>
          <w:rFonts w:ascii="Arial" w:cs="Arial" w:eastAsia="Arial" w:hAnsi="Arial"/>
          <w:sz w:val="16"/>
          <w:szCs w:val="16"/>
          <w:color w:val="auto"/>
        </w:rPr>
        <w:t>From time to time, we may become aware of other states that require out- 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225" w:lineRule="exact"/>
        <w:rPr>
          <w:sz w:val="20"/>
          <w:szCs w:val="20"/>
          <w:color w:val="auto"/>
        </w:rPr>
      </w:pPr>
    </w:p>
    <w:p>
      <w:pPr>
        <w:jc w:val="both"/>
        <w:ind w:firstLine="547"/>
        <w:spacing w:after="0" w:line="308" w:lineRule="auto"/>
        <w:rPr>
          <w:sz w:val="20"/>
          <w:szCs w:val="20"/>
          <w:color w:val="auto"/>
        </w:rPr>
      </w:pPr>
      <w:r>
        <w:rPr>
          <w:rFonts w:ascii="Arial" w:cs="Arial" w:eastAsia="Arial" w:hAnsi="Arial"/>
          <w:sz w:val="15"/>
          <w:szCs w:val="15"/>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31, 2015 and thereafter automatically renews every year unless either party provides notice of intent not to renew at least twelve months prior to the end of the then-current term.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At December 31, 2014, we had 167 employees, of which 28 work in laboratory operations, 29 in research and development and clinical development, 37 in selling and marketing, 73 in general and administrative including 41 in billing and client services, 11 in information technology, four in human resources, and one in quality and regulatory affairs. None of our employees are the subject of collective bargaining arrangements, and our management considers its relationships with employees to be good.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31" w:lineRule="exact"/>
        <w:rPr>
          <w:sz w:val="20"/>
          <w:szCs w:val="20"/>
          <w:color w:val="auto"/>
        </w:rPr>
      </w:pPr>
    </w:p>
    <w:p>
      <w:pPr>
        <w:jc w:val="both"/>
        <w:ind w:firstLine="639"/>
        <w:spacing w:after="0" w:line="290" w:lineRule="auto"/>
        <w:rPr>
          <w:sz w:val="20"/>
          <w:szCs w:val="20"/>
          <w:color w:val="auto"/>
        </w:rPr>
      </w:pPr>
      <w:r>
        <w:rPr>
          <w:rFonts w:ascii="Arial" w:cs="Arial" w:eastAsia="Arial" w:hAnsi="Arial"/>
          <w:sz w:val="16"/>
          <w:szCs w:val="16"/>
          <w:color w:val="auto"/>
        </w:rPr>
        <w:t>We procure reagents, equipment, chips and other materials we use to perform our tests from sole suppliers such as NuGEN Technologies, Inc., Affymetrix, Inc. and Thermo Fischer Scientific, Inc.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tests and for our collection kits, if the materials do not meet our quality specifications, or if we cannot obtain acceptable substitute materials, an interruption in test processing could occur and we may not be able to deliver patient reports, and thus our business would be negatively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may be party to lawsuits in the ordinary course of business. We are currently not a party to any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The information contained on, or that can be accessed through, our website is not part of this annual report on Form 10-K.</w:t>
      </w:r>
    </w:p>
    <w:p>
      <w:pPr>
        <w:spacing w:after="0" w:line="197" w:lineRule="exact"/>
        <w:rPr>
          <w:sz w:val="20"/>
          <w:szCs w:val="20"/>
          <w:color w:val="auto"/>
        </w:rPr>
      </w:pPr>
    </w:p>
    <w:p>
      <w:pPr>
        <w:jc w:val="both"/>
        <w:ind w:firstLine="508"/>
        <w:spacing w:after="0" w:line="259" w:lineRule="auto"/>
        <w:rPr>
          <w:sz w:val="20"/>
          <w:szCs w:val="20"/>
          <w:color w:val="auto"/>
        </w:rPr>
      </w:pPr>
      <w:r>
        <w:rPr>
          <w:rFonts w:ascii="Arial" w:cs="Arial" w:eastAsia="Arial" w:hAnsi="Arial"/>
          <w:sz w:val="18"/>
          <w:szCs w:val="18"/>
          <w:color w:val="auto"/>
        </w:rPr>
        <w:t xml:space="preserve">We make available free of charge on our website our annual report on Form 10-K, quarterly reports on Form 10-Q, current reports on Form 8-K and amendments to those reports as soon as reasonably practicable after we electronically file such material with, or furnish it to, the Securities and Exchange Commission, or SEC. The reports are also available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86" w:lineRule="exact"/>
        <w:rPr>
          <w:sz w:val="20"/>
          <w:szCs w:val="20"/>
          <w:color w:val="auto"/>
        </w:rPr>
      </w:pPr>
    </w:p>
    <w:p>
      <w:pPr>
        <w:jc w:val="both"/>
        <w:ind w:firstLine="425"/>
        <w:spacing w:after="0" w:line="291" w:lineRule="auto"/>
        <w:rPr>
          <w:sz w:val="20"/>
          <w:szCs w:val="20"/>
          <w:color w:val="auto"/>
        </w:rPr>
      </w:pPr>
      <w:r>
        <w:rPr>
          <w:rFonts w:ascii="Arial" w:cs="Arial" w:eastAsia="Arial" w:hAnsi="Arial"/>
          <w:sz w:val="16"/>
          <w:szCs w:val="16"/>
          <w:color w:val="auto"/>
        </w:rPr>
        <w:t>We have incurred net losses since our inception. For the years ended December 31, 2014 and 2013, we had a net loss of $29.4 million and $25.6 million, respectively, and we expect to incur additional losses in the future. From inception through December 31, 2014, we had an accumulated deficit of $115.0 million. We may never achieve revenue sufficient to offset our expenses. Over the next several years, we expect to continue to devote substantially all of our resources to increase adoption of, and reimbursement for, Afirma, as well as our lung cancer test, Percepta, which we expect to launch by mid-2015, as well as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86"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All of our revenue have been derived from the sale of Afirma, which we commercially launched in January 2011. For the foreseeable future, we expect to derive substantially all of our revenue from sales of Afirma. We are planning to launch our first product in pulmonology for lung cancer, Percepta, by mid-2015, and our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develop and commercialize Percepta and other solutions, our revenue and our ability to achieve and sustain profitability would be impaired, and the market price of our common stock could decline.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 stops providing reimbursement or decreases the amount of reimbursement for our tests, our revenue could decline.</w:t>
      </w:r>
    </w:p>
    <w:p>
      <w:pPr>
        <w:spacing w:after="0" w:line="186"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Revenue for tests performed on patients covered by Medicare, Aetna and UnitedHealthcare was 26%, 11% and 18%, respectively, of our revenue for the year ended December 31, 2014, compared with 32%, 9% and 18%, respectively, in the year ended December 31, 2013. The percentage of our revenue derived from significant payers is expected to fluctuate from period to period as our revenue increases, as additional payers provide reimbursement for our tests or if one or more payers were to stop reimbursing for our tests. Effective January 2012, Palmetto GBA, the regional Medicare administrative contractor, or MAC, that handled claims processing for Medicare services with jurisdiction at that time, issued coverage and payment determinations for the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7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late 2014, we entered into contracts with Cigna and UnitedHealthcare that establish in-network allowable rates of reimbursement for our tests. However, payers may suspend or discontinue reimbursement at any time, may require or increase co-payments from patients, or may reduce the reimbursement rates paid to us. Any such actions could have a negative effect on our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payers do not provide reimbursement, rescind or modify their reimbursement policies or delay payments for our tests, or if we are unable to successfully negotiate additional reimbursement contracts, our commercial success could be compromised.</w:t>
      </w:r>
    </w:p>
    <w:p>
      <w:pPr>
        <w:spacing w:after="0" w:line="186" w:lineRule="exact"/>
        <w:rPr>
          <w:sz w:val="20"/>
          <w:szCs w:val="20"/>
          <w:color w:val="auto"/>
        </w:rPr>
      </w:pPr>
    </w:p>
    <w:p>
      <w:pPr>
        <w:jc w:val="both"/>
        <w:ind w:firstLine="467"/>
        <w:spacing w:after="0" w:line="306" w:lineRule="auto"/>
        <w:rPr>
          <w:sz w:val="20"/>
          <w:szCs w:val="20"/>
          <w:color w:val="auto"/>
        </w:rPr>
      </w:pPr>
      <w:r>
        <w:rPr>
          <w:rFonts w:ascii="Arial" w:cs="Arial" w:eastAsia="Arial" w:hAnsi="Arial"/>
          <w:sz w:val="16"/>
          <w:szCs w:val="16"/>
          <w:color w:val="auto"/>
        </w:rPr>
        <w:t>Physicians may not order our tests unless payers reimburse a substantial portion of the test price. There is significant uncertainty concerning third-party reimbursement of any test incorporating new technology, including the Afirma GEC and Malignancy Classifiers as well as Percepta, which we plan to launch in mid-2015. Reimbursement by a payer may depend on a number of factors, including a payer's determination that these tests are:</w:t>
      </w:r>
    </w:p>
    <w:p>
      <w:pPr>
        <w:spacing w:after="0" w:line="174"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right="20" w:firstLine="360"/>
        <w:spacing w:after="0" w:line="268"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 seeking these approvals is a time-consuming and costly process.</w:t>
      </w:r>
    </w:p>
    <w:p>
      <w:pPr>
        <w:spacing w:after="0" w:line="186" w:lineRule="exact"/>
        <w:rPr>
          <w:sz w:val="20"/>
          <w:szCs w:val="20"/>
          <w:color w:val="auto"/>
        </w:rPr>
      </w:pPr>
    </w:p>
    <w:p>
      <w:pPr>
        <w:jc w:val="both"/>
        <w:ind w:firstLine="512"/>
        <w:spacing w:after="0" w:line="256"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w:t>
      </w:r>
    </w:p>
    <w:p>
      <w:pPr>
        <w:spacing w:after="0" w:line="197" w:lineRule="exact"/>
        <w:rPr>
          <w:sz w:val="20"/>
          <w:szCs w:val="20"/>
          <w:color w:val="auto"/>
        </w:rPr>
      </w:pPr>
    </w:p>
    <w:p>
      <w:pPr>
        <w:jc w:val="both"/>
        <w:ind w:firstLine="390"/>
        <w:spacing w:after="0" w:line="291"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In addition, the Afirma Malignancy Classifiers, launched in May 2014, and any other new products we may develop in the future, including Percepta, may require that we expend substantial time and resources in order to obtain reimbursement. Our failure to establish broad adoption of and reimbursement for our products, or our inability to maintain existing reimbursement from payers, will negatively impact our ability to generate revenue and achieve profitability, as well as our future prospects and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1"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markets have existing practices and standards of care that are different than those in the United States, we may face challenges with the adoption of Afirma outside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We sell Afirma in the United States through our internal sales team and through our Amended and Restated U.S. Co-Promotion Agreement with Genzyme Corporation, or Amended Agreement. Under the Amended Agreement, we are required to pay Genzyme a co-promotion fee that is equal to a percentage of our cash receipts from the sale of the Afirma GEC test. The percentage is currently set at 15% beginning on January 1, 2015. Our agreement with Genzyme expires in 2027. We have also granted Genzyme a right of first offer to co-promote any future thyroid cancer product that we commercialize. If Genzyme does not commit the necessary resources to market and sell the Afirma GEC test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had previously agreed to co-promote with Genzyme.</w:t>
      </w:r>
    </w:p>
    <w:p>
      <w:pPr>
        <w:spacing w:after="0" w:line="172" w:lineRule="exact"/>
        <w:rPr>
          <w:sz w:val="20"/>
          <w:szCs w:val="20"/>
          <w:color w:val="auto"/>
        </w:rPr>
      </w:pPr>
    </w:p>
    <w:p>
      <w:pPr>
        <w:jc w:val="both"/>
        <w:ind w:firstLine="407"/>
        <w:spacing w:after="0" w:line="288" w:lineRule="auto"/>
        <w:rPr>
          <w:sz w:val="20"/>
          <w:szCs w:val="20"/>
          <w:color w:val="auto"/>
        </w:rPr>
      </w:pPr>
      <w:r>
        <w:rPr>
          <w:rFonts w:ascii="Arial" w:cs="Arial" w:eastAsia="Arial" w:hAnsi="Arial"/>
          <w:sz w:val="16"/>
          <w:szCs w:val="16"/>
          <w:color w:val="auto"/>
        </w:rPr>
        <w:t>On February 13, 2015, we entered into an Ex-U.S. Co-Promotion Agreement, or Ex-U.S. Agreement, with Genzyme for the co-exclusive promotion of the Afirma GEC test in two countries outside the United States: Brazil and Singapore. We also granted Genzyme, for a limited period of time, an exclusive right of first negotiation to enter into an agreement with us for the promotion of the Afirma GEC test in three additional countries: Canada, the Netherlands and Italy. Further, upon mutual agreement, the parties may add additional countries (other than the United States) to the Ex-U.S. Agreement. The term of the Ex-U.S. Agreement commenced January 1, 2015 and continues until December 31, 2019 with extension of the agreement possible upon agreement of the parties. Country specific terms have been established under this agreement for Brazil and Singapore. We will pay Genzyme 25% of cash receipts from the sale of the Afirma GEC test in Brazil and Singapore over a five-year period commencing January 1, 2015. If Genzyme does not commit the necessary resources to market and sell the Afirma GEC test outside the U.S. to the level of our expectations, or if they terminate the agreement, we may not realize the benefits of this relationship and our ability to generate revenue in the future may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384"/>
        <w:spacing w:after="0" w:line="286" w:lineRule="auto"/>
        <w:rPr>
          <w:sz w:val="20"/>
          <w:szCs w:val="20"/>
          <w:color w:val="auto"/>
        </w:rPr>
      </w:pPr>
      <w:r>
        <w:rPr>
          <w:rFonts w:ascii="Arial" w:cs="Arial" w:eastAsia="Arial" w:hAnsi="Arial"/>
          <w:sz w:val="16"/>
          <w:szCs w:val="16"/>
          <w:color w:val="auto"/>
        </w:rPr>
        <w:t>We recognize a significant portion of our revenue upon the earlier of receipt of third-party payer notification of payment or when cash is received. We have little visibility as to when we will receive payment for our diagnostic test, and we must appeal negative payment decisions, which delays collections. For tests performed where we have an agreed upon reimbursement rate or we are able to make a reasonable estimate of reimbursement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In situations where we are not able to make a reasonable estimate of reimbursement,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86" w:lineRule="exact"/>
        <w:rPr>
          <w:sz w:val="20"/>
          <w:szCs w:val="20"/>
          <w:color w:val="auto"/>
        </w:rPr>
      </w:pPr>
    </w:p>
    <w:p>
      <w:pPr>
        <w:jc w:val="both"/>
        <w:ind w:firstLine="560"/>
        <w:spacing w:after="0" w:line="288" w:lineRule="auto"/>
        <w:rPr>
          <w:sz w:val="20"/>
          <w:szCs w:val="20"/>
          <w:color w:val="auto"/>
        </w:rPr>
      </w:pPr>
      <w:r>
        <w:rPr>
          <w:rFonts w:ascii="Arial" w:cs="Arial" w:eastAsia="Arial" w:hAnsi="Arial"/>
          <w:sz w:val="16"/>
          <w:szCs w:val="16"/>
          <w:color w:val="auto"/>
        </w:rPr>
        <w:t>We rely on sole suppliers, such as NuGEN Technologies, Inc., Affymetrix, Inc. and Thermo Fischer Scientific, Inc.,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 and reputation. In addition, in order to mitigate these risks, we maintain inventories of these supplies at higher levels than would be the case if multiple sources of supply were available. If our test volume decreases, we may hold excess inventory with expiration dates that occur before use.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86" w:lineRule="exact"/>
        <w:rPr>
          <w:sz w:val="20"/>
          <w:szCs w:val="20"/>
          <w:color w:val="auto"/>
        </w:rPr>
      </w:pPr>
    </w:p>
    <w:p>
      <w:pPr>
        <w:jc w:val="both"/>
        <w:ind w:firstLine="363"/>
        <w:spacing w:after="0" w:line="323" w:lineRule="auto"/>
        <w:rPr>
          <w:sz w:val="20"/>
          <w:szCs w:val="20"/>
          <w:color w:val="auto"/>
        </w:rPr>
      </w:pPr>
      <w:r>
        <w:rPr>
          <w:rFonts w:ascii="Arial" w:cs="Arial" w:eastAsia="Arial" w:hAnsi="Arial"/>
          <w:sz w:val="15"/>
          <w:szCs w:val="15"/>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December 31, 2015 and thereafter automatically renews every year unless either party provides notice of intent not to renew at least 12 months prior to the end of the then-current term.</w:t>
      </w:r>
    </w:p>
    <w:p>
      <w:pPr>
        <w:spacing w:after="0" w:line="152"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auto"/>
        </w:rPr>
        <w:t>As demand for Afirma grows, and as we commercialize new products such as Percepta,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6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98" w:lineRule="exact"/>
        <w:rPr>
          <w:sz w:val="20"/>
          <w:szCs w:val="20"/>
          <w:color w:val="auto"/>
        </w:rPr>
      </w:pPr>
    </w:p>
    <w:p>
      <w:pPr>
        <w:jc w:val="both"/>
        <w:ind w:firstLine="369"/>
        <w:spacing w:after="0" w:line="287" w:lineRule="auto"/>
        <w:rPr>
          <w:sz w:val="20"/>
          <w:szCs w:val="20"/>
          <w:color w:val="auto"/>
        </w:rPr>
      </w:pPr>
      <w:r>
        <w:rPr>
          <w:rFonts w:ascii="Arial" w:cs="Arial" w:eastAsia="Arial" w:hAnsi="Arial"/>
          <w:sz w:val="16"/>
          <w:szCs w:val="16"/>
          <w:color w:val="auto"/>
        </w:rPr>
        <w:t>If the FDA requires us to seek clearance or approval to offer Afirma or any of our future products for clinical use, including Percepta,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7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Some of the materials we use for Afirma and that we may use for future products, such as Percepta, are labeled for research use only. In November 2013, the FDA finalized guidance regarding the sale and use of products labeled for research or investigational use only. Among other things, the guidance advises that the FDA continues to be concerned about distribution of research-investigational-use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Afirma and the Afirma Malignancy Classifier are currently labeled as research-use only products. If the FDA were to undertake enforcement actions, some of our suppliers may cease selling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right="20" w:firstLine="362"/>
        <w:spacing w:after="0" w:line="332" w:lineRule="auto"/>
        <w:rPr>
          <w:sz w:val="20"/>
          <w:szCs w:val="20"/>
          <w:color w:val="auto"/>
        </w:rPr>
      </w:pPr>
      <w:r>
        <w:rPr>
          <w:rFonts w:ascii="Arial" w:cs="Arial" w:eastAsia="Arial" w:hAnsi="Arial"/>
          <w:sz w:val="16"/>
          <w:szCs w:val="16"/>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thyroid to rule out cancer. This practice has been the standard of care in the United States for many years, and we need to educate physicians about the benefits of Afirma to change clinical practice.</w:t>
      </w:r>
    </w:p>
    <w:p>
      <w:pPr>
        <w:spacing w:after="0" w:line="186"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Qiagen N.V. and Rosetta Genomics Ltd. We also face competition from companies and academic institutions that use next generation sequencing technology or other methods to measure mutational markers such as BRAF and KRAS along with numerous other mutations. In the future, we may also face competition from companies developing new products or technologies that are able to compete with Afirma's high negative predictive value to rule out cancer.</w:t>
      </w:r>
    </w:p>
    <w:p>
      <w:pPr>
        <w:spacing w:after="0" w:line="172" w:lineRule="exact"/>
        <w:rPr>
          <w:sz w:val="20"/>
          <w:szCs w:val="20"/>
          <w:color w:val="auto"/>
        </w:rPr>
      </w:pPr>
    </w:p>
    <w:p>
      <w:pPr>
        <w:jc w:val="both"/>
        <w:ind w:right="20" w:firstLine="392"/>
        <w:spacing w:after="0" w:line="33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39" w:lineRule="exact"/>
        <w:rPr>
          <w:sz w:val="20"/>
          <w:szCs w:val="20"/>
          <w:color w:val="auto"/>
        </w:rPr>
      </w:pPr>
    </w:p>
    <w:p>
      <w:pPr>
        <w:jc w:val="both"/>
        <w:ind w:right="20" w:firstLine="422"/>
        <w:spacing w:after="0" w:line="268"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86"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97" w:lineRule="exact"/>
        <w:rPr>
          <w:sz w:val="20"/>
          <w:szCs w:val="20"/>
          <w:color w:val="auto"/>
        </w:rPr>
      </w:pPr>
    </w:p>
    <w:p>
      <w:pPr>
        <w:jc w:val="both"/>
        <w:ind w:firstLine="560"/>
        <w:spacing w:after="0" w:line="289"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people. During 2014, we significantly expanded our sales force for Afirma. There can be no assurance that they will be successful in maintaining and growing the business. As we plan to further increase our sales channels for new tests such as Percepta, we may have difficulties locating and recruiting additional sales personnel or retaining qualified salespeople, which could cause a delay or decline in the rate of adoption of our tests. Finally, our business requires specialized capabilities in reimbursement, billing, finance,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at-will, which means that either we or the employee may terminate their employment at any time. We do not carry key man insurance for any of our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427"/>
        <w:spacing w:after="0" w:line="287"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will require us to expand and move our South San Francisco operations by 2016. Any move to a new facility could require us to re-certify our laboratory in South San Francisco. This could disrupt our business and will require the investment of resources. If we are unable to manage our growth effectively, it may be difficult for us to execute our business strategy and our business could be harmed.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491"/>
        <w:spacing w:after="0" w:line="290" w:lineRule="auto"/>
        <w:rPr>
          <w:sz w:val="20"/>
          <w:szCs w:val="20"/>
          <w:color w:val="auto"/>
        </w:rPr>
      </w:pPr>
      <w:r>
        <w:rPr>
          <w:rFonts w:ascii="Arial" w:cs="Arial" w:eastAsia="Arial" w:hAnsi="Arial"/>
          <w:sz w:val="16"/>
          <w:szCs w:val="16"/>
          <w:color w:val="auto"/>
        </w:rPr>
        <w:t>Standard industry billing codes, known as CPT codes, that we use to bill for cytopathology do not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will not result in errors or delays in payments.</w:t>
      </w:r>
    </w:p>
    <w:p>
      <w:pPr>
        <w:spacing w:after="0" w:line="172" w:lineRule="exact"/>
        <w:rPr>
          <w:sz w:val="20"/>
          <w:szCs w:val="20"/>
          <w:color w:val="auto"/>
        </w:rPr>
      </w:pPr>
    </w:p>
    <w:p>
      <w:pPr>
        <w:jc w:val="both"/>
        <w:ind w:firstLine="450"/>
        <w:spacing w:after="0" w:line="332" w:lineRule="auto"/>
        <w:rPr>
          <w:sz w:val="20"/>
          <w:szCs w:val="20"/>
          <w:color w:val="auto"/>
        </w:rPr>
      </w:pPr>
      <w:r>
        <w:rPr>
          <w:rFonts w:ascii="Arial" w:cs="Arial" w:eastAsia="Arial" w:hAnsi="Arial"/>
          <w:sz w:val="16"/>
          <w:szCs w:val="16"/>
          <w:color w:val="auto"/>
        </w:rPr>
        <w:t>As we introduce new tests, such as Percepta,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39"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to transmit claims to payers, and any delay in transmitting claims could have an adverse effect on our revenue.</w:t>
      </w:r>
    </w:p>
    <w:p>
      <w:pPr>
        <w:spacing w:after="0" w:line="248"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86" w:lineRule="exact"/>
        <w:rPr>
          <w:sz w:val="20"/>
          <w:szCs w:val="20"/>
          <w:color w:val="auto"/>
        </w:rPr>
      </w:pPr>
    </w:p>
    <w:p>
      <w:pPr>
        <w:jc w:val="both"/>
        <w:ind w:firstLine="355"/>
        <w:spacing w:after="0" w:line="314" w:lineRule="auto"/>
        <w:rPr>
          <w:sz w:val="20"/>
          <w:szCs w:val="20"/>
          <w:color w:val="auto"/>
        </w:rPr>
      </w:pPr>
      <w:r>
        <w:rPr>
          <w:rFonts w:ascii="Arial" w:cs="Arial" w:eastAsia="Arial" w:hAnsi="Arial"/>
          <w:sz w:val="15"/>
          <w:szCs w:val="15"/>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are in the process of developing tests for lung cancer and interstitial lung disease, specifically IPF. Our planned lung cancer test, Percepta, has been clinically validated in three independent clinical trials including two multi-center, prospective studies, but we must complete analytical verification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and studies required to transfer it to our CLIA-certified laboratory prior to commercial launch. This test may not be successfully transferred to the laboratory as planned and launched by mid-2015, and our product for interstitial lung diseases may not be fully developed and introduced as planned in 2016.</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firstLine="431"/>
        <w:spacing w:after="0" w:line="268"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21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inability to secure sufficient numbers of samples at an acceptable cost and on an acceptable timeframe to conduct analytical and clinical studies; or</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398"/>
        <w:spacing w:after="0" w:line="254"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86" w:lineRule="exact"/>
        <w:rPr>
          <w:sz w:val="20"/>
          <w:szCs w:val="20"/>
          <w:color w:val="auto"/>
        </w:rPr>
      </w:pPr>
    </w:p>
    <w:p>
      <w:pPr>
        <w:jc w:val="both"/>
        <w:ind w:firstLine="564"/>
        <w:spacing w:after="0" w:line="288" w:lineRule="auto"/>
        <w:rPr>
          <w:sz w:val="20"/>
          <w:szCs w:val="20"/>
          <w:color w:val="auto"/>
        </w:rPr>
      </w:pPr>
      <w:r>
        <w:rPr>
          <w:rFonts w:ascii="Arial" w:cs="Arial" w:eastAsia="Arial" w:hAnsi="Arial"/>
          <w:sz w:val="16"/>
          <w:szCs w:val="16"/>
          <w:color w:val="auto"/>
        </w:rPr>
        <w:t>We acquired Allegro Diagnostics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our recent acquisition of Allegro or any businesses we may acquire in the future.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4" w:lineRule="exact"/>
        <w:rPr>
          <w:sz w:val="20"/>
          <w:szCs w:val="20"/>
          <w:color w:val="auto"/>
        </w:rPr>
      </w:pPr>
    </w:p>
    <w:p>
      <w:pPr>
        <w:jc w:val="both"/>
        <w:ind w:firstLine="561"/>
        <w:spacing w:after="0" w:line="259"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401"/>
        <w:spacing w:after="0" w:line="323" w:lineRule="auto"/>
        <w:rPr>
          <w:sz w:val="20"/>
          <w:szCs w:val="20"/>
          <w:color w:val="auto"/>
        </w:rPr>
      </w:pPr>
      <w:r>
        <w:rPr>
          <w:rFonts w:ascii="Arial" w:cs="Arial" w:eastAsia="Arial" w:hAnsi="Arial"/>
          <w:sz w:val="15"/>
          <w:szCs w:val="15"/>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86" w:lineRule="exact"/>
        <w:rPr>
          <w:sz w:val="20"/>
          <w:szCs w:val="20"/>
          <w:color w:val="auto"/>
        </w:rPr>
      </w:pPr>
    </w:p>
    <w:p>
      <w:pPr>
        <w:jc w:val="both"/>
        <w:ind w:firstLine="533"/>
        <w:spacing w:after="0" w:line="291"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relocate either of our facilities, we would be required to undergo certification at our new facility in order to offer our tests.</w:t>
      </w:r>
    </w:p>
    <w:p>
      <w:pPr>
        <w:spacing w:after="0" w:line="174"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establishes standards for the day-to-day operation of our clinical reference laboratories, including the training and skills required of personnel and quality control matters. In addition, both of our clinical reference laboratories are required to be licensed on a test-specific basis by New York State. We have received approval for the Afirma tests we currently offer, but will need to obtain approval for Percepta and any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75"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or the import of tissue into the United States, may constrain our ability to offer tests internationally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86" w:lineRule="exact"/>
        <w:rPr>
          <w:sz w:val="20"/>
          <w:szCs w:val="20"/>
          <w:color w:val="auto"/>
        </w:rPr>
      </w:pPr>
    </w:p>
    <w:p>
      <w:pPr>
        <w:jc w:val="both"/>
        <w:ind w:firstLine="406"/>
        <w:spacing w:after="0" w:line="289"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72" w:lineRule="exact"/>
        <w:rPr>
          <w:sz w:val="20"/>
          <w:szCs w:val="20"/>
          <w:color w:val="auto"/>
        </w:rPr>
      </w:pPr>
    </w:p>
    <w:p>
      <w:pPr>
        <w:jc w:val="both"/>
        <w:ind w:firstLine="415"/>
        <w:spacing w:after="0" w:line="28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2"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4" w:lineRule="exact"/>
        <w:rPr>
          <w:sz w:val="20"/>
          <w:szCs w:val="20"/>
          <w:color w:val="auto"/>
        </w:rPr>
      </w:pPr>
    </w:p>
    <w:p>
      <w:pPr>
        <w:jc w:val="both"/>
        <w:ind w:firstLine="488"/>
        <w:spacing w:after="0" w:line="289"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0"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In April 2014, the President signed the Protecting Access to Medicare Act of 2014, or PAMA, which included a substantial new payment system for clinical laboratory tests under the CLFS. Under PAMA, laboratories that receive the majority of their Medicare revenues from payments made under the CLFS would report, beginning January 1, 2016, and then on an every three year basis thereafter (or annually for "advanced diagnostic laboratory tests"), private payer payment rates and volumes for their tests. CMS will use the rates and volumes reported by laboratories to develop Medicare payment rates for the tests equal to the volume-weighted median of the private payer payment rates for the tests. The payment rates calculated under PAMA will be effective starting January 1, 2017. Any reductions to payment rates resulting from the new methodology are limited to 10% per test per year in each of the years 2017 through 2019 and to 15% per test per year in each of 2020 through 2022. Although CMS has not yet issued regulations to implement PAMA, we believe our Afirma GEC as well as Percepta would be considered an advanced diagnostic laboratory test. Further rule-making from CMS will define the time period and data elements evaluated on an annual basis to set reimbursement rates for tests like ours.</w:t>
      </w:r>
    </w:p>
    <w:p>
      <w:pPr>
        <w:spacing w:after="0" w:line="174" w:lineRule="exact"/>
        <w:rPr>
          <w:sz w:val="20"/>
          <w:szCs w:val="20"/>
          <w:color w:val="auto"/>
        </w:rPr>
      </w:pPr>
    </w:p>
    <w:p>
      <w:pPr>
        <w:jc w:val="both"/>
        <w:ind w:firstLine="455"/>
        <w:spacing w:after="0" w:line="298" w:lineRule="auto"/>
        <w:rPr>
          <w:sz w:val="20"/>
          <w:szCs w:val="20"/>
          <w:color w:val="auto"/>
        </w:rPr>
      </w:pPr>
      <w:r>
        <w:rPr>
          <w:rFonts w:ascii="Arial" w:cs="Arial" w:eastAsia="Arial" w:hAnsi="Arial"/>
          <w:sz w:val="16"/>
          <w:szCs w:val="16"/>
          <w:color w:val="auto"/>
        </w:rPr>
        <w:t>PAMA also requires CMS to issue unique Health Care Common Procedure Coding System, or HCPCS codes to advanced diagnostic laboratory tests by January 1, 2016 for tests that were paid under the Medicare program prior to passage of the Act. In March 2015, we were issued a unique Tier1 CPT code that could impact reimbursement of the Afirma GEC in the future. Under the PAMA, new advanced diagnostic laboratory tests paid by Medicare after the date of passage of PAMA will also receive unique HCPCS codes impacting private payer reimbursement of future tests we may commercialize.</w:t>
      </w:r>
    </w:p>
    <w:p>
      <w:pPr>
        <w:spacing w:after="0" w:line="167"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color w:val="auto"/>
        </w:rPr>
        <w:t>PAMA codified coverage rules for laboratory tests by requiring any local coverage determination to be made following the established procedures for development and appeals of local coverage determinations. PAMA also authorizes CMS to consolidate coverage policies for clinical laboratory tests among one to four laboratory-specific MACs. These same contractors may also be designated to process claims if CMS determines that such a model is appropriate.</w:t>
      </w:r>
    </w:p>
    <w:p>
      <w:pPr>
        <w:spacing w:after="0" w:line="161"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8"/>
          <w:szCs w:val="18"/>
          <w:color w:val="auto"/>
        </w:rPr>
        <w:t>In addition to changes adopted by PAMA, in 2013 CMS announced plans to bundle payments for clinical laboratory tests together with other services performed during hospital outpatient visits under the Hospital Outpatient Prospective Payment System. CMS exempted molecular diagnostic tests from this packaging provision at that time. It is possible that this exemption could be removed by CMS in future rule making, which might result in lower reimbursement for tests performed in this setting.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jc w:val="both"/>
        <w:ind w:firstLine="453"/>
        <w:spacing w:after="0" w:line="291"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If the United States Supreme Court finds parts of PPACA to be unconstitutional, patients may be unable to afford our tests due to changes in their insurance coverage. These events may result in patients delaying or forgoing medical checkups or treatment due to their inability to pay for our tests, which could have an adverse effect on our revenue.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ind w:firstLine="490"/>
        <w:spacing w:after="0" w:line="268"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9" w:lineRule="exact"/>
        <w:rPr>
          <w:sz w:val="20"/>
          <w:szCs w:val="20"/>
          <w:color w:val="auto"/>
        </w:rPr>
      </w:pPr>
    </w:p>
    <w:p>
      <w:pPr>
        <w:jc w:val="both"/>
        <w:ind w:left="1080" w:hanging="532"/>
        <w:spacing w:after="0" w:line="25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24"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7"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8"/>
        <w:spacing w:after="0" w:line="286"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357"/>
        <w:spacing w:after="0" w:line="286" w:lineRule="auto"/>
        <w:rPr>
          <w:sz w:val="20"/>
          <w:szCs w:val="20"/>
          <w:color w:val="auto"/>
        </w:rPr>
      </w:pPr>
      <w:r>
        <w:rPr>
          <w:rFonts w:ascii="Arial" w:cs="Arial" w:eastAsia="Arial" w:hAnsi="Arial"/>
          <w:sz w:val="16"/>
          <w:szCs w:val="16"/>
          <w:color w:val="auto"/>
        </w:rPr>
        <w:t>The marketing, sale and use of Afirma or future tests, such as Percepta,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as well as tests we may develop in the future, including Percepta which may classify a patient as low risk for lung cancer who is later found to have a malignancy.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86" w:lineRule="exact"/>
        <w:rPr>
          <w:sz w:val="20"/>
          <w:szCs w:val="20"/>
          <w:color w:val="auto"/>
        </w:rPr>
      </w:pPr>
    </w:p>
    <w:p>
      <w:pPr>
        <w:jc w:val="both"/>
        <w:ind w:firstLine="550"/>
        <w:spacing w:after="0" w:line="289" w:lineRule="auto"/>
        <w:rPr>
          <w:sz w:val="20"/>
          <w:szCs w:val="20"/>
          <w:color w:val="auto"/>
        </w:rPr>
      </w:pPr>
      <w:r>
        <w:rPr>
          <w:rFonts w:ascii="Arial" w:cs="Arial" w:eastAsia="Arial" w:hAnsi="Arial"/>
          <w:sz w:val="16"/>
          <w:szCs w:val="16"/>
          <w:color w:val="auto"/>
        </w:rPr>
        <w:t>We perform all of the Afirma GEC testing at our laboratory in South San Francisco, California. Our laboratory in Austin, Texas accepts and stores substantially all FNA samples pending transfer to our California laboratory for Afirma GEC processing. We plan to commence testing for Percepta in our South San Francisco laboratory as well. The equipment we use to perform our tests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crucial step in commercializing and obtaining reimbursement for our diagnostic tests, and our inability to control when and if results are published may delay or limit our ability to derive sufficient revenue from them.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467"/>
        <w:spacing w:after="0" w:line="294"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86" w:lineRule="exact"/>
        <w:rPr>
          <w:sz w:val="20"/>
          <w:szCs w:val="20"/>
          <w:color w:val="auto"/>
        </w:rPr>
      </w:pPr>
    </w:p>
    <w:p>
      <w:pPr>
        <w:jc w:val="both"/>
        <w:ind w:firstLine="411"/>
        <w:spacing w:after="0" w:line="285"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39"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access, inappropriate disclosure and inappropriate access, as well as risks associated with our ability to identify and audit such events.</w:t>
      </w:r>
    </w:p>
    <w:p>
      <w:pPr>
        <w:spacing w:after="0" w:line="225" w:lineRule="exact"/>
        <w:rPr>
          <w:sz w:val="20"/>
          <w:szCs w:val="20"/>
          <w:color w:val="auto"/>
        </w:rPr>
      </w:pPr>
    </w:p>
    <w:p>
      <w:pPr>
        <w:jc w:val="both"/>
        <w:ind w:firstLine="467"/>
        <w:spacing w:after="0" w:line="287"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77" w:lineRule="exact"/>
        <w:rPr>
          <w:sz w:val="20"/>
          <w:szCs w:val="20"/>
          <w:color w:val="auto"/>
        </w:rPr>
      </w:pPr>
    </w:p>
    <w:p>
      <w:pPr>
        <w:jc w:val="both"/>
        <w:ind w:firstLine="470"/>
        <w:spacing w:after="0" w:line="255"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467"/>
        <w:spacing w:after="0" w:line="256"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97"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five issued patents which expire between 2029 and 2032 related to methods used in the Afirma diagnostic platform, in addition to seven pending United States utility patent applications, two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provisional applications and one PCT application. Some of these United States utility patent applications have pending foreign counterparts. We also exclusively licensed intellectual property, including rights to three pending United States utility patent applications in the thyroid space that would expire between 2030 and 2033 once issued, related to methods that are used in the Afirma diagnostic test, some of which have foreign counterparts . In the lung diagnostic space, we exclusively licensed intellectual property rights to 19 pending patent applications and two issued patents in the United States and abroad. Patents issuing from the licensed portfolio will expire between 2024 and 2028. In addition, we own four pending patent applications, a PCT application, and a provisional U.S. application related to our lung cancer test under development, Percepta, as well as a PCT application and two provisional United States applications related to our interstitial lung disease test under development. Any patents granted from the current lung cancer patent applications will expire from 2032 to 2034 and those from the interstitial lung disease patent applications will expire from 2034 to 2036.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97"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In particular, the patent positions of companies engaged in the development and commercialization of genomic diagnostic tests, like the Afirma GEC, Malignancy Classifiers and Percepta,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72" w:lineRule="exact"/>
        <w:rPr>
          <w:sz w:val="20"/>
          <w:szCs w:val="20"/>
          <w:color w:val="auto"/>
        </w:rPr>
      </w:pPr>
    </w:p>
    <w:p>
      <w:pPr>
        <w:jc w:val="both"/>
        <w:ind w:firstLine="447"/>
        <w:spacing w:after="0" w:line="255"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97"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0" w:lineRule="exact"/>
        <w:rPr>
          <w:sz w:val="20"/>
          <w:szCs w:val="20"/>
          <w:color w:val="auto"/>
        </w:rPr>
      </w:pPr>
    </w:p>
    <w:p>
      <w:pPr>
        <w:jc w:val="both"/>
        <w:ind w:firstLine="384"/>
        <w:spacing w:after="0" w:line="306"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1"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0"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7"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We have not registered certain of our trademarks, including Afirma and Percepta,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8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4"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2" w:lineRule="exact"/>
        <w:rPr>
          <w:sz w:val="20"/>
          <w:szCs w:val="20"/>
          <w:color w:val="auto"/>
        </w:rPr>
      </w:pPr>
    </w:p>
    <w:p>
      <w:pPr>
        <w:jc w:val="both"/>
        <w:ind w:firstLine="359"/>
        <w:spacing w:after="0" w:line="284"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87" w:lineRule="exact"/>
        <w:rPr>
          <w:sz w:val="20"/>
          <w:szCs w:val="20"/>
          <w:color w:val="auto"/>
        </w:rPr>
      </w:pPr>
    </w:p>
    <w:p>
      <w:pPr>
        <w:jc w:val="both"/>
        <w:ind w:right="20" w:firstLine="474"/>
        <w:spacing w:after="0" w:line="33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6"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39" w:lineRule="exact"/>
        <w:rPr>
          <w:sz w:val="20"/>
          <w:szCs w:val="20"/>
          <w:color w:val="auto"/>
        </w:rPr>
      </w:pPr>
    </w:p>
    <w:p>
      <w:pPr>
        <w:jc w:val="both"/>
        <w:ind w:firstLine="422"/>
        <w:spacing w:after="0" w:line="286"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this annual report for the year ending December 31, 2014,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4"/>
        <w:spacing w:after="0" w:line="294"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86" w:lineRule="exact"/>
        <w:rPr>
          <w:sz w:val="20"/>
          <w:szCs w:val="20"/>
          <w:color w:val="auto"/>
        </w:rPr>
      </w:pPr>
    </w:p>
    <w:p>
      <w:pPr>
        <w:jc w:val="both"/>
        <w:ind w:firstLine="374"/>
        <w:spacing w:after="0" w:line="286"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right="20" w:firstLine="397"/>
        <w:spacing w:after="0" w:line="259"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208"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periodic fluctuations in our revenue, due in part to the way in which we recognize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522"/>
        <w:spacing w:after="0" w:line="290"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substantial investors sell large blocks of stock, particularly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86"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423"/>
        <w:spacing w:after="0" w:line="298" w:lineRule="auto"/>
        <w:rPr>
          <w:sz w:val="20"/>
          <w:szCs w:val="20"/>
          <w:color w:val="auto"/>
        </w:rPr>
      </w:pPr>
      <w:r>
        <w:rPr>
          <w:rFonts w:ascii="Arial" w:cs="Arial" w:eastAsia="Arial" w:hAnsi="Arial"/>
          <w:sz w:val="16"/>
          <w:szCs w:val="16"/>
          <w:color w:val="auto"/>
        </w:rPr>
        <w:t>As of March 2, 2015, directors and executive officers and their affiliates beneficially owned, in the aggregate, 62%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jc w:val="both"/>
        <w:ind w:right="20" w:firstLine="355"/>
        <w:spacing w:after="0" w:line="332" w:lineRule="auto"/>
        <w:rPr>
          <w:sz w:val="20"/>
          <w:szCs w:val="20"/>
          <w:color w:val="auto"/>
        </w:rPr>
      </w:pPr>
      <w:r>
        <w:rPr>
          <w:rFonts w:ascii="Arial" w:cs="Arial" w:eastAsia="Arial" w:hAnsi="Arial"/>
          <w:sz w:val="16"/>
          <w:szCs w:val="16"/>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5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jc w:val="both"/>
        <w:ind w:right="20" w:firstLine="443"/>
        <w:spacing w:after="0" w:line="306" w:lineRule="auto"/>
        <w:rPr>
          <w:sz w:val="20"/>
          <w:szCs w:val="20"/>
          <w:color w:val="auto"/>
        </w:rPr>
      </w:pPr>
      <w:r>
        <w:rPr>
          <w:rFonts w:ascii="Arial" w:cs="Arial" w:eastAsia="Arial" w:hAnsi="Arial"/>
          <w:sz w:val="16"/>
          <w:szCs w:val="16"/>
          <w:color w:val="auto"/>
        </w:rPr>
        <w:t>We currently lease 24,000 square feet of office and laboratory space at our headquarters in South San Francisco, California, under a lease that expires in March 2016, with an option for us to extend the lease for an additional three years. We also lease approximately 10,400 square feet of office and laboratory space in Austin, Texas, under a lease that expires in July 2018, with an option for us to extend the lease for an additional five years.</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right="20" w:firstLine="463"/>
        <w:spacing w:after="0" w:line="268" w:lineRule="auto"/>
        <w:rPr>
          <w:sz w:val="20"/>
          <w:szCs w:val="20"/>
          <w:color w:val="auto"/>
        </w:rPr>
      </w:pPr>
      <w:r>
        <w:rPr>
          <w:rFonts w:ascii="Arial" w:cs="Arial" w:eastAsia="Arial" w:hAnsi="Arial"/>
          <w:sz w:val="18"/>
          <w:szCs w:val="18"/>
          <w:color w:val="auto"/>
        </w:rPr>
        <w:t>We are not currently a party to any material legal proceedings. We may from time to time become involved in legal proceedings arising in the ordinary course of business.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officers and their ages and positions as of March 2, 2015, are as set forth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52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Julie A. Brooks</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Shelly D. Guyer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Christopher M. Hall</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an Emeritus member of the Board of Trustees of the Keck Graduate Institute of Applied Life Sciences. Ms. Anderson holds a B.S. in Medical Technology from Indiana University of Pennsylvania.</w:t>
      </w:r>
    </w:p>
    <w:p>
      <w:pPr>
        <w:spacing w:after="0" w:line="170"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i w:val="1"/>
          <w:iCs w:val="1"/>
          <w:color w:val="auto"/>
        </w:rPr>
        <w:t xml:space="preserve">Julie A. Brooks </w:t>
      </w:r>
      <w:r>
        <w:rPr>
          <w:rFonts w:ascii="Arial" w:cs="Arial" w:eastAsia="Arial" w:hAnsi="Arial"/>
          <w:sz w:val="16"/>
          <w:szCs w:val="16"/>
          <w:color w:val="auto"/>
        </w:rPr>
        <w:t>has served as our General Counsel and Secretary since March 2014. Prior to joining us, Ms. Brooks was a legal consultant for Auxogyn, Inc.,</w:t>
      </w:r>
      <w:r>
        <w:rPr>
          <w:rFonts w:ascii="Arial" w:cs="Arial" w:eastAsia="Arial" w:hAnsi="Arial"/>
          <w:sz w:val="16"/>
          <w:szCs w:val="16"/>
          <w:i w:val="1"/>
          <w:iCs w:val="1"/>
          <w:color w:val="auto"/>
        </w:rPr>
        <w:t xml:space="preserve"> </w:t>
      </w:r>
      <w:r>
        <w:rPr>
          <w:rFonts w:ascii="Arial" w:cs="Arial" w:eastAsia="Arial" w:hAnsi="Arial"/>
          <w:sz w:val="16"/>
          <w:szCs w:val="16"/>
          <w:color w:val="auto"/>
        </w:rPr>
        <w:t>a women's health company, from September 2013 to December 2013. From June 2013 to September 2013, Ms. Brooks served as Vice President, General Counsel for Bayer HealthCare LLC, which acquired Conceptus, Inc., a medical device company, in June 2013, where she served as Executive Vice President, General Counsel and Secretary from November 2009 through June 2013. Previously, from November 2007 through October 2009, Ms. Brooks was Senior Vice President, General Counsel and Secretary of Perlegen Sciences, a genomics company. Ms. Brooks has also held executive roles with a number of medical device, healthcare IT, eCommerce and healthcare services companies, including Virgin HealthCare, Access Health and Westmark International. Ms. Brooks holds a B.A. in Comparative Literature and an M.B.A. from the University of Washington, a J.D. from Santa Clara University and a Masters of Law in Taxation from Georgetown University Law Center.</w:t>
      </w:r>
    </w:p>
    <w:p>
      <w:pPr>
        <w:spacing w:after="0" w:line="172" w:lineRule="exact"/>
        <w:rPr>
          <w:sz w:val="20"/>
          <w:szCs w:val="20"/>
          <w:color w:val="auto"/>
        </w:rPr>
      </w:pPr>
    </w:p>
    <w:p>
      <w:pPr>
        <w:jc w:val="both"/>
        <w:ind w:firstLine="378"/>
        <w:spacing w:after="0" w:line="332" w:lineRule="auto"/>
        <w:rPr>
          <w:sz w:val="20"/>
          <w:szCs w:val="20"/>
          <w:color w:val="auto"/>
        </w:rPr>
      </w:pPr>
      <w:r>
        <w:rPr>
          <w:rFonts w:ascii="Arial" w:cs="Arial" w:eastAsia="Arial" w:hAnsi="Arial"/>
          <w:sz w:val="16"/>
          <w:szCs w:val="16"/>
          <w:i w:val="1"/>
          <w:iCs w:val="1"/>
          <w:color w:val="auto"/>
        </w:rPr>
        <w:t xml:space="preserve">Shelly D. Guyer </w:t>
      </w:r>
      <w:r>
        <w:rPr>
          <w:rFonts w:ascii="Arial" w:cs="Arial" w:eastAsia="Arial" w:hAnsi="Arial"/>
          <w:sz w:val="16"/>
          <w:szCs w:val="16"/>
          <w:color w:val="auto"/>
        </w:rPr>
        <w:t>has served as our Chief Financial Officer since April 2013 and served as our Secretary from April 2013 to March 2014.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Ms. Guyer served as Chief Financial Officer and Executive Vice President of Finance and Administration of iRhythm Technologies, Inc., a medical device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an A.B. in Politics from Princeton University and an M.B.A. from the Haas School of Business at the University of California, Berkeley.</w:t>
      </w:r>
    </w:p>
    <w:p>
      <w:pPr>
        <w:spacing w:after="0" w:line="19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Operating Officer since September 2014. Mr. Hall served as our Chief Commercial Officer from March 2010 to</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2014. Prior to joining us, Mr. Hall served as Chief Business Officer of Celera 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firstLine="380"/>
        <w:spacing w:after="0" w:line="306" w:lineRule="auto"/>
        <w:rPr>
          <w:sz w:val="20"/>
          <w:szCs w:val="20"/>
          <w:color w:val="auto"/>
        </w:rPr>
      </w:pPr>
      <w:r>
        <w:rPr>
          <w:rFonts w:ascii="Arial" w:cs="Arial" w:eastAsia="Arial" w:hAnsi="Arial"/>
          <w:sz w:val="16"/>
          <w:szCs w:val="16"/>
          <w:color w:val="auto"/>
        </w:rPr>
        <w:t>Our common stock commenced trading under the symbol "VCYT" on The NASDAQ Global Market under the symbol "VCYT" on October 30, 2013. Prior to that time, there was no public market for our common stock. Our common stock in our initial public offering priced at $13.00 per share. The following table sets forth the high and low sales prices of our common stock, on a per share basis, as reported by The NASDAQ Global Market, for the periods indicated:</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18.01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12.24</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w:t>
            </w: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(from October 30,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w:t>
            </w:r>
          </w:p>
        </w:tc>
      </w:tr>
    </w:tbl>
    <w:p>
      <w:pPr>
        <w:spacing w:after="0" w:line="208" w:lineRule="exact"/>
        <w:rPr>
          <w:sz w:val="20"/>
          <w:szCs w:val="20"/>
          <w:color w:val="auto"/>
        </w:rPr>
      </w:pPr>
    </w:p>
    <w:p>
      <w:pPr>
        <w:jc w:val="both"/>
        <w:ind w:firstLine="420"/>
        <w:spacing w:after="0" w:line="268" w:lineRule="auto"/>
        <w:rPr>
          <w:sz w:val="20"/>
          <w:szCs w:val="20"/>
          <w:color w:val="auto"/>
        </w:rPr>
      </w:pPr>
      <w:r>
        <w:rPr>
          <w:rFonts w:ascii="Arial" w:cs="Arial" w:eastAsia="Arial" w:hAnsi="Arial"/>
          <w:sz w:val="18"/>
          <w:szCs w:val="18"/>
          <w:color w:val="auto"/>
        </w:rPr>
        <w:t>As of March 2, 2015, there were approximately 39 holders of record of our common stock. However, because many of our outstanding shares are held in accounts with brokers and other institutions, we have more beneficial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loan and security agreement restricts our ability to pay dividends on our common stock, and we may also enter into credit agreements or other borrowing arrangements in the future that will further restrict our ability to declare or pay dividends on our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31"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The following information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97"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6"/>
          <w:szCs w:val="16"/>
          <w:color w:val="auto"/>
        </w:rPr>
        <w:t>The graph below shows the cumulative total stockholder return (change in stock price plus reinvested dividends) assuming the investment of $100.00 on the date specified in each of our common stock, The NASDAQ Global Market Index, and the NASDAQ Biotechnology Index for the period commencing on October 30, 2013 (the first day of trading of our common stock) and ending on December 31, 2014. The comparisons in the table are required by the Securities and Exchange Commission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111125</wp:posOffset>
            </wp:positionV>
            <wp:extent cx="5866130" cy="2881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613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October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Veracyte, Inc.</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129.00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NASDAQ Market Index</w:t>
            </w: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107.00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112.00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NASDAQ Biotechnology Index</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125.00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On November 4, 2013, we completed an initial public offering, or IPO, of our common stock. In connection with our IPO, we issued and sold 5,100,351 shares of common stock at a price to the public of $13.00 per share. As a result of the IPO, we received $59.2 million in net proceeds, after deducting underwriting discounts and commissions of $4.6 million and offering expenses of $2.5 million payable by us.</w:t>
      </w:r>
    </w:p>
    <w:p>
      <w:pPr>
        <w:spacing w:after="0" w:line="194"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We registered the shares under the Securities Act on a Registration Statement on Form S-1 (Registration No. 333-191282), or the Registration Statement, which was filed on September 20, 2013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declared effective on October 29, 2013, and on a Registration Statement on Form S-1 (Registration No. 333-1919782), which was filed on October 30, 2013 and was immediately effective.</w:t>
      </w:r>
    </w:p>
    <w:p>
      <w:pPr>
        <w:spacing w:after="0" w:line="186"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From the date of the initial closing of the IPO through December 31, 2014, we have used approximately $39 million of the net proceeds from the sale of these securities to fund our operations, to make capital expenditures, in connection with the acquisition of Allegro, for working capital and for other general corporate purposes.</w:t>
      </w:r>
    </w:p>
    <w:p>
      <w:pPr>
        <w:spacing w:after="0" w:line="194" w:lineRule="exact"/>
        <w:rPr>
          <w:sz w:val="20"/>
          <w:szCs w:val="20"/>
          <w:color w:val="auto"/>
        </w:rPr>
      </w:pPr>
    </w:p>
    <w:p>
      <w:pPr>
        <w:jc w:val="both"/>
        <w:ind w:firstLine="479"/>
        <w:spacing w:after="0" w:line="259" w:lineRule="auto"/>
        <w:rPr>
          <w:sz w:val="20"/>
          <w:szCs w:val="20"/>
          <w:color w:val="auto"/>
        </w:rPr>
      </w:pPr>
      <w:r>
        <w:rPr>
          <w:rFonts w:ascii="Arial" w:cs="Arial" w:eastAsia="Arial" w:hAnsi="Arial"/>
          <w:sz w:val="18"/>
          <w:szCs w:val="18"/>
          <w:color w:val="auto"/>
        </w:rPr>
        <w:t>Other than approximately $8.7 million we spent in connection with the acquisition of Allegro, there has been no material change in the planned use of proceeds from our IPO as described in the Registration Statement. We invested the remainder of funds received in a short-term money market account primarily consisting of U.S. Treasury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31" w:lineRule="exact"/>
        <w:rPr>
          <w:sz w:val="20"/>
          <w:szCs w:val="20"/>
          <w:color w:val="auto"/>
        </w:rPr>
      </w:pPr>
    </w:p>
    <w:p>
      <w:pPr>
        <w:jc w:val="both"/>
        <w:ind w:firstLine="447"/>
        <w:spacing w:after="0" w:line="294" w:lineRule="auto"/>
        <w:rPr>
          <w:sz w:val="20"/>
          <w:szCs w:val="20"/>
          <w:color w:val="auto"/>
        </w:rPr>
      </w:pPr>
      <w:r>
        <w:rPr>
          <w:rFonts w:ascii="Arial" w:cs="Arial" w:eastAsia="Arial" w:hAnsi="Arial"/>
          <w:sz w:val="16"/>
          <w:szCs w:val="16"/>
          <w:color w:val="auto"/>
        </w:rPr>
        <w:t>In June 2013 we issued to a lender a warrant to purchase up to 49,602 shares of Series C convertible preferred stock with an exercise price of $7.56 per share. Upon the drawdown of a term loan, the warrant became exercisable for 24,801 shares. In November 2013, in connection with our IPO, the warrant automatically became exercisable for 24,801 shares of common stock at an exercise price of $7.56 per share. The lender exercised the warrant with respect to 24,801 shares through a cashless exercise in March 2014, resulting in the issuance of 13,739 shares of our common stock. The transaction was exempt from registration under the Securities Act of 1933 in reliance on Section 4(2) or Regulation D as transactions by an issuer not involving a public offering.</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financial statements and related notes included elsewhere in this annual report. The selected consolidated balance sheet data at December 31, 2014, 2013, 2012 and 2011 and the selected consolidated statements of operations data for each of the years ended December 31, 2014, 2013, 2012 and 2011 have been derived from our audited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consolidated financial statements that are included elsewhere in this report. The financial data included in this report are historical and are not necessarily indicative of results to be expected in any future period.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362"/>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40" w:type="dxa"/>
            <w:vAlign w:val="bottom"/>
            <w:gridSpan w:val="15"/>
          </w:tcPr>
          <w:p>
            <w:pPr>
              <w:jc w:val="right"/>
              <w:ind w:right="158"/>
              <w:spacing w:after="0" w:line="142" w:lineRule="exact"/>
              <w:rPr>
                <w:sz w:val="20"/>
                <w:szCs w:val="20"/>
                <w:color w:val="auto"/>
              </w:rPr>
            </w:pPr>
            <w:r>
              <w:rPr>
                <w:rFonts w:ascii="Arial" w:cs="Arial" w:eastAsia="Arial" w:hAnsi="Arial"/>
                <w:sz w:val="14"/>
                <w:szCs w:val="14"/>
                <w:b w:val="1"/>
                <w:bCs w:val="1"/>
                <w:color w:val="auto"/>
                <w:w w:val="87"/>
              </w:rPr>
              <w:t>(In thousands except share and per share data and FNAs received)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21,884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Cost of revenue(1)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Selling and marketing(1)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administrative(1)</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3"/>
          </w:tcPr>
          <w:p>
            <w:pPr>
              <w:spacing w:after="0"/>
              <w:rPr>
                <w:sz w:val="20"/>
                <w:szCs w:val="20"/>
                <w:color w:val="auto"/>
              </w:rPr>
            </w:pPr>
            <w:r>
              <w:rPr>
                <w:rFonts w:ascii="Arial" w:cs="Arial" w:eastAsia="Arial" w:hAnsi="Arial"/>
                <w:sz w:val="18"/>
                <w:szCs w:val="18"/>
                <w:color w:val="auto"/>
              </w:rPr>
              <w:t>Total operating expenses(1)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(23,173)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8"/>
              </w:rPr>
              <w:t>(18,929)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(1.36)</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(6.15)</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(28.68)</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w w:val="91"/>
              </w:rPr>
              <w:t>Shares used in computing net loss per common share, basic and</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21,639,374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4,158,664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650,333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580,061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Operating Data:</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FNAs received</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employee stock-based compensation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130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227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3,548</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466</w:t>
            </w:r>
          </w:p>
        </w:tc>
        <w:tc>
          <w:tcPr>
            <w:tcW w:w="14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0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As of December 31,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7"/>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71,220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26,203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61,019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7,390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79,630</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10,451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63,372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49,296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(115,022)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(85,649)</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2"/>
              </w:rPr>
              <w:t>(60,069)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(41,420)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41,374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56,443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(58,471)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(40,766)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together with the consolidated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auto"/>
        </w:rPr>
        <w:t xml:space="preserve">We are a diagnostics company pioneering the field of molecular cytology, focusing on genomic solutions that resolve diagnostic ambiguity and enable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Gene Expression Classifier, or GEC, to resolve ambiguity in diagnosis and is becoming a new standard of care in thyroid nodule assessment. 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6"/>
          <w:szCs w:val="16"/>
          <w:i w:val="1"/>
          <w:iCs w:val="1"/>
          <w:color w:val="auto"/>
        </w:rPr>
        <w:t>The 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Medicine </w:t>
      </w:r>
      <w:r>
        <w:rPr>
          <w:rFonts w:ascii="Arial" w:cs="Arial" w:eastAsia="Arial" w:hAnsi="Arial"/>
          <w:sz w:val="16"/>
          <w:szCs w:val="16"/>
          <w:color w:val="auto"/>
        </w:rPr>
        <w:t>in 2012. The comprehensive Afirma offering also includes cytopathology testing and the Afirma Malignancy Classifiers, launched in May 2014.</w:t>
      </w:r>
      <w:r>
        <w:rPr>
          <w:rFonts w:ascii="Arial" w:cs="Arial" w:eastAsia="Arial" w:hAnsi="Arial"/>
          <w:sz w:val="16"/>
          <w:szCs w:val="16"/>
          <w:i w:val="1"/>
          <w:iCs w:val="1"/>
          <w:color w:val="auto"/>
        </w:rPr>
        <w:t xml:space="preserve"> </w:t>
      </w:r>
      <w:r>
        <w:rPr>
          <w:rFonts w:ascii="Arial" w:cs="Arial" w:eastAsia="Arial" w:hAnsi="Arial"/>
          <w:sz w:val="16"/>
          <w:szCs w:val="16"/>
          <w:color w:val="auto"/>
        </w:rPr>
        <w:t>Since we commercially launched Afirma in January 2011, we have received nearly 160,000 FNA samples for evaluation using Afirma and performed more than 30,000 GECs to resolve indeterminate cytopathology results.</w:t>
      </w:r>
    </w:p>
    <w:p>
      <w:pPr>
        <w:spacing w:after="0" w:line="177" w:lineRule="exact"/>
        <w:rPr>
          <w:sz w:val="20"/>
          <w:szCs w:val="20"/>
          <w:color w:val="auto"/>
        </w:rPr>
      </w:pPr>
    </w:p>
    <w:p>
      <w:pPr>
        <w:jc w:val="both"/>
        <w:ind w:firstLine="483"/>
        <w:spacing w:after="0" w:line="294" w:lineRule="auto"/>
        <w:rPr>
          <w:sz w:val="20"/>
          <w:szCs w:val="20"/>
          <w:color w:val="auto"/>
        </w:rPr>
      </w:pPr>
      <w:r>
        <w:rPr>
          <w:rFonts w:ascii="Arial" w:cs="Arial" w:eastAsia="Arial" w:hAnsi="Arial"/>
          <w:sz w:val="16"/>
          <w:szCs w:val="16"/>
          <w:color w:val="auto"/>
        </w:rPr>
        <w:t>We are expanding our molecular cytology franchise into other clinical areas of unmet need, focusing first on difficult-to-diagnose lung diseases, where current diagnostic ambiguity frequently requires invasive, risky and costly procedures to obtain a definitive diagnosis. Through our acquisition of Allegro Diagnostics Corp., or Allegro, on September 16, 2014, we plan to launch our first pulmonology product by mid-2015, aimed at improving the risk stratification of patients with lung nodules that are suspicious for cancer. Our proprietary technology has been developed to help physicians determine which patients with non-diagnostic bronchoscopy results can be safely monitored with routine CT scans versus an invasive surgical biopsy.</w:t>
      </w:r>
    </w:p>
    <w:p>
      <w:pPr>
        <w:spacing w:after="0" w:line="170" w:lineRule="exact"/>
        <w:rPr>
          <w:sz w:val="20"/>
          <w:szCs w:val="20"/>
          <w:color w:val="auto"/>
        </w:rPr>
      </w:pPr>
    </w:p>
    <w:p>
      <w:pPr>
        <w:jc w:val="both"/>
        <w:ind w:firstLine="427"/>
        <w:spacing w:after="0" w:line="256" w:lineRule="auto"/>
        <w:rPr>
          <w:sz w:val="20"/>
          <w:szCs w:val="20"/>
          <w:color w:val="auto"/>
        </w:rPr>
      </w:pPr>
      <w:r>
        <w:rPr>
          <w:rFonts w:ascii="Arial" w:cs="Arial" w:eastAsia="Arial" w:hAnsi="Arial"/>
          <w:sz w:val="18"/>
          <w:szCs w:val="18"/>
          <w:color w:val="auto"/>
        </w:rPr>
        <w:t>Our second pulmonology pipeline product is intended to help patients with suspected interstitial lung diseases, or ILDs, specifically idiopathic pulmonary fibrosis, or IPF, obtain an accurate diagnosis without surgery. ILDs present a significant challenge for diagnosis today without invasive surgical biopsy, leaving many patients with ambiguous diagnoses that can lead to suboptimal or even harmful treatment. We are developing a genomic test, which we currently plan to introduce in 2016, to improve the diagnosis of IPF from the other ILDs.</w:t>
      </w:r>
    </w:p>
    <w:p>
      <w:pPr>
        <w:spacing w:after="0" w:line="197" w:lineRule="exact"/>
        <w:rPr>
          <w:sz w:val="20"/>
          <w:szCs w:val="20"/>
          <w:color w:val="auto"/>
        </w:rPr>
      </w:pPr>
    </w:p>
    <w:p>
      <w:pPr>
        <w:jc w:val="both"/>
        <w:ind w:firstLine="418"/>
        <w:spacing w:after="0" w:line="254" w:lineRule="auto"/>
        <w:rPr>
          <w:sz w:val="20"/>
          <w:szCs w:val="20"/>
          <w:color w:val="auto"/>
        </w:rPr>
      </w:pPr>
      <w:r>
        <w:rPr>
          <w:rFonts w:ascii="Arial" w:cs="Arial" w:eastAsia="Arial" w:hAnsi="Arial"/>
          <w:sz w:val="18"/>
          <w:szCs w:val="18"/>
          <w:color w:val="auto"/>
        </w:rPr>
        <w:t>On November 7, 2014, we signed an Amended and Restated U.S. Co-Promotion Agreement, or Amended Agreement, with Genzyme that reduced the co-promotion fees we owe to Genzyme from 32% to 15% beginning January 1, 2015. The Amended Agreement expires in January 2027. On February 13, 2015, we entered into an Ex-U.S. Co-Promotion Agreement, or Ex-U.S. Agreement, with Genzyme for the co-exclusive promotion of the Afirma GEC test in two countries outside the United States: Brazil and Singapore. We also granted Genzyme, for a limited period of time, an exclusive right of first negotiation to enter into an agreement with us for the promotion of the Afirma GEC test in three additional countries: Canada, the Netherlands and Italy. Further, upon mutual agreement, the parties may add additional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countries (other than the United States) to the Ex-U.S. Agreement. The term of the agreement commences January 1, 2015 and continues until December 31, 2019, with extension of the agreement possible upon agreement of the parties.</w:t>
      </w:r>
    </w:p>
    <w:p>
      <w:pPr>
        <w:spacing w:after="0" w:line="186" w:lineRule="exact"/>
        <w:rPr>
          <w:sz w:val="20"/>
          <w:szCs w:val="20"/>
          <w:color w:val="auto"/>
        </w:rPr>
      </w:pPr>
    </w:p>
    <w:p>
      <w:pPr>
        <w:jc w:val="both"/>
        <w:ind w:firstLine="383"/>
        <w:spacing w:after="0" w:line="294" w:lineRule="auto"/>
        <w:rPr>
          <w:sz w:val="20"/>
          <w:szCs w:val="20"/>
          <w:color w:val="auto"/>
        </w:rPr>
      </w:pPr>
      <w:r>
        <w:rPr>
          <w:rFonts w:ascii="Arial" w:cs="Arial" w:eastAsia="Arial" w:hAnsi="Arial"/>
          <w:sz w:val="16"/>
          <w:szCs w:val="16"/>
          <w:color w:val="auto"/>
        </w:rPr>
        <w:t>We increased the list price billed for the GEC from $4,275 to $4,875 per test in January 2014, while the list price billed for routine cytopathology remained at $490 per test. We obtained Medicare coverage for the GEC effective in January 2012 and contracted reimbursement at an agreed upon rate of $3,200. We received positive coverage determinations from UnitedHealthcare and Cigna in 2013 and in late 2014 signed contracts with these payers establishing in-network allowable rates for both our GEC and cytopathology tests. We have also received positive coverage determinations from numerous other commercial payers and, as of March 2015, the GEC is covered by payers representing 145 million covered lives. Contracted and reimbursement rates vary by payer.</w:t>
      </w:r>
    </w:p>
    <w:p>
      <w:pPr>
        <w:spacing w:after="0" w:line="170" w:lineRule="exact"/>
        <w:rPr>
          <w:sz w:val="20"/>
          <w:szCs w:val="20"/>
          <w:color w:val="auto"/>
        </w:rPr>
      </w:pPr>
    </w:p>
    <w:p>
      <w:pPr>
        <w:jc w:val="both"/>
        <w:ind w:firstLine="460"/>
        <w:spacing w:after="0" w:line="256" w:lineRule="auto"/>
        <w:rPr>
          <w:sz w:val="20"/>
          <w:szCs w:val="20"/>
          <w:color w:val="auto"/>
        </w:rPr>
      </w:pPr>
      <w:r>
        <w:rPr>
          <w:rFonts w:ascii="Arial" w:cs="Arial" w:eastAsia="Arial" w:hAnsi="Arial"/>
          <w:sz w:val="18"/>
          <w:szCs w:val="18"/>
          <w:color w:val="auto"/>
        </w:rPr>
        <w:t>We recognized revenue of $38.2 million, $21.9 million and $11.6 million in the years ended December 31, 2014, 2013 and 2012, respectively. Revenue increased by 75%, 88% and 340% for the years ended December 31, 2014, 2013 and 2012, respectively. We incurred a net loss of $29.4 million, $25.6 million and $18.6 million for the years ended December 31, 2014, 2013 and 2012, respectively. As of December 31, 2014, we had an accumulated deficit of $115.0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The growth in our business is tied to the number of FNAs we receive and the number of GECs performed. Approximately 91% of FNAs we receive are for the Afirma solution, which consists of cytopathology, and if the cytopathology result is indeterminate, the GEC is performed. The remaining approximate 9% of FNAs are received from centers performing cytopathology in their institution where the cytopathology result is indeterminate and we perform the GEC only. The rate at which adoption occurs in these two settings will cause these two percentages to fluctuate over time. Approximately 1% to 2%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jc w:val="both"/>
        <w:ind w:firstLine="453"/>
        <w:spacing w:after="0" w:line="294" w:lineRule="auto"/>
        <w:rPr>
          <w:sz w:val="20"/>
          <w:szCs w:val="20"/>
          <w:color w:val="auto"/>
        </w:rPr>
      </w:pPr>
      <w:r>
        <w:rPr>
          <w:rFonts w:ascii="Arial" w:cs="Arial" w:eastAsia="Arial" w:hAnsi="Arial"/>
          <w:sz w:val="16"/>
          <w:szCs w:val="16"/>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on many tests and payments may not be at acceptable levels compared to what we have billed. We expect our revenue growth will increase as more payers make a positive coverage decision and as payers enter into contracts with us, which should enhance our accrued revenue and collections. To drive increased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of Afirma, we have increased our internal sales force in high-volume geographies domestically during 2014 and plan to continue to do so into 2015, along with increasing our marketing efforts. We have also hired institutional channel managers 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A significant portion of our revenue is recognized upon the earlier of receipt of third-party notification of payment or when cash is received. For Medicare and certain other payers where we have an agreed upon reimbursement rate or we are able to make a reasonable estimate of reimbursement at the time delivery is complete, we recognize the related revenue on an accrual basis. Until we have contracts with or can make a reasonable estimate of reimbursement from a larger number of payers, we will recognize a large portion of our revenue upon the earlier of notification of payment or when cash is received. Additionally, as we commercialize new products, we will need to contract with or be able to make a reasonable estimate of reimbursement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4" w:lineRule="exact"/>
        <w:rPr>
          <w:sz w:val="20"/>
          <w:szCs w:val="20"/>
          <w:color w:val="auto"/>
        </w:rPr>
      </w:pPr>
    </w:p>
    <w:p>
      <w:pPr>
        <w:jc w:val="both"/>
        <w:ind w:firstLine="487"/>
        <w:spacing w:after="0" w:line="259" w:lineRule="auto"/>
        <w:rPr>
          <w:sz w:val="20"/>
          <w:szCs w:val="20"/>
          <w:color w:val="auto"/>
        </w:rPr>
      </w:pPr>
      <w:r>
        <w:rPr>
          <w:rFonts w:ascii="Arial" w:cs="Arial" w:eastAsia="Arial" w:hAnsi="Arial"/>
          <w:sz w:val="18"/>
          <w:szCs w:val="18"/>
          <w:color w:val="auto"/>
        </w:rPr>
        <w:t>Revenue recognized when cash is received was $25.7 million, $14.6 million and $7.5 million for the years ended December 31, 2014, 2013 and 2012, respectively. Revenue recognized on an accrual basis was $12.5 million, $7.3 million and $4.1 million for the years ended December 31, 2014, 2013 and 2012, respectively.</w:t>
      </w:r>
    </w:p>
    <w:p>
      <w:pPr>
        <w:spacing w:after="0" w:line="194"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As of December 31, 2014, amounts billed in the last 12 months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$47.1 million.</w:t>
      </w:r>
    </w:p>
    <w:p>
      <w:pPr>
        <w:spacing w:after="0" w:line="194" w:lineRule="exact"/>
        <w:rPr>
          <w:sz w:val="20"/>
          <w:szCs w:val="20"/>
          <w:color w:val="auto"/>
        </w:rPr>
      </w:pPr>
    </w:p>
    <w:p>
      <w:pPr>
        <w:jc w:val="both"/>
        <w:ind w:firstLine="422"/>
        <w:spacing w:after="0" w:line="306" w:lineRule="auto"/>
        <w:rPr>
          <w:sz w:val="20"/>
          <w:szCs w:val="20"/>
          <w:color w:val="auto"/>
        </w:rPr>
      </w:pPr>
      <w:r>
        <w:rPr>
          <w:rFonts w:ascii="Arial" w:cs="Arial" w:eastAsia="Arial" w:hAnsi="Arial"/>
          <w:sz w:val="16"/>
          <w:szCs w:val="16"/>
          <w:color w:val="auto"/>
        </w:rPr>
        <w:t>As of December 31, 2013, amounts billed in the last 12 months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$32.4 million. Of this amount, we recognized revenue of $7.3 million in the year ended December 31, 2014, when cash was received.</w:t>
      </w:r>
    </w:p>
    <w:p>
      <w:pPr>
        <w:spacing w:after="0" w:line="161"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8"/>
          <w:szCs w:val="18"/>
          <w:color w:val="auto"/>
        </w:rPr>
        <w:t>Although primarily all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411"/>
        <w:spacing w:after="0" w:line="288" w:lineRule="auto"/>
        <w:rPr>
          <w:sz w:val="20"/>
          <w:szCs w:val="20"/>
          <w:color w:val="auto"/>
        </w:rPr>
      </w:pPr>
      <w:r>
        <w:rPr>
          <w:rFonts w:ascii="Arial" w:cs="Arial" w:eastAsia="Arial" w:hAnsi="Arial"/>
          <w:sz w:val="16"/>
          <w:szCs w:val="16"/>
          <w:color w:val="auto"/>
        </w:rPr>
        <w:t>The $10.0 million fee we received from Genzyme under the Co-Promotion Agreement dated as of January 18, 2012 is being amortized over the estimated useful life based on the provisions of the agreement, and is recorded as a reduction to selling and marketing expenses. We amortized $2.3 million, $2.5 million and $2.4 million of the $10.0 million in the years ended December 31, 2014, 2013 and 2012, respectively, and these offsets to expense are included in selling and marketing expense in our consolidated statements of operations and comprehensive loss. The 2012 agreement required that we pay a certain percentage of our cash receipts from the sale of the Afirma GEC test to Genzyme, which percentage decreased over time. The percentage was 40% from January 2013 through February 2014, 32% from February 2014 through December 2014, and decreased to 15% in January 2015 (upon execution of the Amended and Restated U.S. Co-Promotion Agreement, dated as of November 7, 2014, with Genzyme). Our co-promotion fees were $12.0 million, $8.6 million and $5.5 million in the years ended December 31, 2014, 2013 and 2012, respectively, and are included in selling and marketing expenses in our consolidated statements of operations and comprehensive loss.</w:t>
      </w:r>
    </w:p>
    <w:p>
      <w:pPr>
        <w:spacing w:after="0" w:line="174"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8"/>
          <w:szCs w:val="18"/>
          <w:color w:val="auto"/>
        </w:rPr>
        <w:t>On August 12, 2014, we signed a binding Letter of Agreement with Genzyme to amend the terms of the 2012 agreement. On November 7, 2014, we signed an Amended and Restated U.S. Co-Promotion Agreement, or Amended Agreement, with Genzyme. Under the Amended Agreement, the co-promotion fees Genzyme will receive as a percentage of U.S. cash receipts from the sale of the Afirma GEC test were reduced from 32% to 15% beginning January 1, 2015. Further, we have agreed to assume more responsibilities for sales and marketing activities. Either party may terminate the agreement for convenience with six months prior notice, however, neither party can terminate the agreement for convenience prior to June 30, 2016. Our agreement with Genzyme expires in January 2027.</w:t>
      </w:r>
    </w:p>
    <w:p>
      <w:pPr>
        <w:spacing w:after="0" w:line="198" w:lineRule="exact"/>
        <w:rPr>
          <w:sz w:val="20"/>
          <w:szCs w:val="20"/>
          <w:color w:val="auto"/>
        </w:rPr>
      </w:pPr>
    </w:p>
    <w:p>
      <w:pPr>
        <w:jc w:val="both"/>
        <w:ind w:firstLine="407"/>
        <w:spacing w:after="0" w:line="289" w:lineRule="auto"/>
        <w:rPr>
          <w:sz w:val="20"/>
          <w:szCs w:val="20"/>
          <w:color w:val="auto"/>
        </w:rPr>
      </w:pPr>
      <w:r>
        <w:rPr>
          <w:rFonts w:ascii="Arial" w:cs="Arial" w:eastAsia="Arial" w:hAnsi="Arial"/>
          <w:sz w:val="16"/>
          <w:szCs w:val="16"/>
          <w:color w:val="auto"/>
        </w:rPr>
        <w:t>On February 13, 2015, we entered into an Ex-U.S. Co-Promotion Agreement, or Ex-U.S. Agreement, with Genzyme for the co-exclusive promotion of the Afirma GEC test in two countries outside the United States: Brazil and Singapore. We also granted Genzyme, for a limited period of time, an exclusive right of first negotiation to enter into an agreement with us for the promotion of the Afirma GEC test in three additional countries: Canada, the Netherlands and Italy. Further, upon mutual agreement, the parties may add additional countries (other than the United States) to the Ex-U.S. Agreement. The term of the agreement commenced January 1, 2015 and continues until December 31, 2019, with extension of the agreement possible upon agreement of the parties. Country specific terms have been established under this agreement for Brazil and Singapore. We will pay Genzyme 25% of cash receipts from the sale of the Afirma GEC test in Brazil and Singapore over a five-year period commencing January 1, 2015. Beginning in the fourth year of the agreement, if we terminate the agreement for convenience in Brazil, we may be required to pay a termination fee contingent on the number of GEC billable results generated.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auto"/>
        </w:rPr>
        <w:t>We rely on sales of Afirma to generate all of our revenue. In May 2014, we commercially launched our Afirma Malignancy Classifiers, which we believe will enhance our Afirma Thyroid FNA Analysis as a comprehensive way to manage thyroid nodule patients and serve our current base of prescribing physicians. We also plan to pursue development of products for additional diseases to increase and diversify our revenue. For example, in September 2014 we acquired Allegro and with it their molecular diagnostic lung cancer test designed to help physicians determine which patients with lung nodules who have had a non-diagnostic bronchoscopy result are at low risk for cancer and can thus be safely monitored with CT scans rather than undergoing invasive procedures. We plan to launch Percepta, the test acquired from Allegro, by mid-2015. Additionally,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products. Our success in developing new products will be important in our efforts to grow our business by expanding the potential market for our products and diversifying our sources of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488"/>
        <w:spacing w:after="0" w:line="312"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Collections</w:t>
      </w:r>
    </w:p>
    <w:p>
      <w:pPr>
        <w:spacing w:after="0" w:line="225"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Through December 31, 2014, all of our revenue have been derived from the sale of Afirma. Our solution to date has been delivered primarily to physicians in the United States. We generally invoice third-party payers upon delivery of a patient report to the prescribing physician. As such, we take the assignment of benefits and the risk of collection from the third-party payer and individual patients.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third-party payers in excess of 10% of revenue and their related revenue as a percentage of total revenue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Aetna</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United Healthcare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6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6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86"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For tests performed where we have an agreed upon reimbursement rate or we are able to make a reasonable estimate of reimbursement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are not able to make a reasonable estimate of reimbursement, we recognize revenue upon the earlier of receipt of third-party payer notification of payment or when cash is received.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00"/>
        <w:spacing w:after="0" w:line="310" w:lineRule="auto"/>
        <w:rPr>
          <w:sz w:val="20"/>
          <w:szCs w:val="20"/>
          <w:color w:val="auto"/>
        </w:rPr>
      </w:pPr>
      <w:r>
        <w:rPr>
          <w:rFonts w:ascii="Arial" w:cs="Arial" w:eastAsia="Arial" w:hAnsi="Arial"/>
          <w:sz w:val="15"/>
          <w:szCs w:val="15"/>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21"/>
        <w:spacing w:after="0" w:line="288"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the next 12 months the increase in research and development expenses will be for the continued development and support of Afirma and other new products and programs under development, including our lung cancer and ILD programs. Specifically, we plan to: increase the body of clinical evidence to support Afirma; incur research and development expenses associated with analytical verification and clinical utility studies to support the commercialization of Percepta; and incur expenses associated with clinical validation studies in our ILD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In November 2014, we amended the co-promotion agreement with Genzyme. As a result of this amendment, we expect our selling and marketing expenses for Afirma to remain relatively flat over the next year. While we expect that our personnel costs will increase as we take on more sales and marketing responsibilities related to Afirma, we expect these increases will be offset by the lower rate we are required to pay Genzyme under the agreement beginning in January 2015. In 2015, we also expect to incur selling and marketing expenses as a result of investments in our lung product portfolio. Therefore, we believe total selling and marketing expenses will increase in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576"/>
        <w:spacing w:after="0" w:line="289" w:lineRule="auto"/>
        <w:rPr>
          <w:sz w:val="20"/>
          <w:szCs w:val="20"/>
          <w:color w:val="auto"/>
        </w:rPr>
      </w:pPr>
      <w:r>
        <w:rPr>
          <w:rFonts w:ascii="Arial" w:cs="Arial" w:eastAsia="Arial" w:hAnsi="Arial"/>
          <w:sz w:val="16"/>
          <w:szCs w:val="16"/>
          <w:color w:val="auto"/>
        </w:rPr>
        <w:t>General and administrative expenses include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The year ended December 31, 2014 also includes transaction costs related to the acquisition of Allegro in September 2014, including charges for merger related severance and bonuses. We expect our general and administration expenses will increase over the next 12 months as we expand our billing group to support anticipated increased demand for our tests, hire more personnel in accounting and finance, incur increasing expenses related to the documentation of our internal controls in connection with compliance with Section 404 of the Sarbanes-Oxley Act of 2002, and incur greater legal costs for patent prosecution and for public company compliance and general corporate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is attributable to our borrowings under our loan and security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Other income (expense), net, for the year ended December 31, 2014 consists primarily of sublease rental income, interest income received from payers and from our cash equivalents, partially offset by amortization of debt issuance costs.</w:t>
      </w:r>
    </w:p>
    <w:p>
      <w:pPr>
        <w:spacing w:after="0" w:line="186" w:lineRule="exact"/>
        <w:rPr>
          <w:sz w:val="20"/>
          <w:szCs w:val="20"/>
          <w:color w:val="auto"/>
        </w:rPr>
      </w:pPr>
    </w:p>
    <w:p>
      <w:pPr>
        <w:jc w:val="both"/>
        <w:ind w:firstLine="479"/>
        <w:spacing w:after="0" w:line="254" w:lineRule="auto"/>
        <w:rPr>
          <w:sz w:val="20"/>
          <w:szCs w:val="20"/>
          <w:color w:val="auto"/>
        </w:rPr>
      </w:pPr>
      <w:r>
        <w:rPr>
          <w:rFonts w:ascii="Arial" w:cs="Arial" w:eastAsia="Arial" w:hAnsi="Arial"/>
          <w:sz w:val="18"/>
          <w:szCs w:val="18"/>
          <w:color w:val="auto"/>
        </w:rPr>
        <w:t>Other income (expense), net, in the years ended December 31, 2013 and 2012 also included the change in the fair value of the preferred stock liability associated with our obligation to issue additional shares of Series C convertible preferred stock.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re-measured the liability at each reporting period with the corresponding gain or loss from the adjustment recorded as other income (expense), net, through the issuance of the final Series C tranche in June 2013, at which time the preferred stock liability was extinguished.</w:t>
      </w:r>
    </w:p>
    <w:p>
      <w:pPr>
        <w:spacing w:after="0" w:line="198" w:lineRule="exact"/>
        <w:rPr>
          <w:sz w:val="20"/>
          <w:szCs w:val="20"/>
          <w:color w:val="auto"/>
        </w:rPr>
      </w:pPr>
    </w:p>
    <w:p>
      <w:pPr>
        <w:jc w:val="both"/>
        <w:ind w:firstLine="422"/>
        <w:spacing w:after="0" w:line="255" w:lineRule="auto"/>
        <w:rPr>
          <w:sz w:val="20"/>
          <w:szCs w:val="20"/>
          <w:color w:val="auto"/>
        </w:rPr>
      </w:pPr>
      <w:r>
        <w:rPr>
          <w:rFonts w:ascii="Arial" w:cs="Arial" w:eastAsia="Arial" w:hAnsi="Arial"/>
          <w:sz w:val="18"/>
          <w:szCs w:val="18"/>
          <w:color w:val="auto"/>
        </w:rPr>
        <w:t>In addition, other income (expense), net, in the year ended December 31, 2013 included changes in value of the preferred stock warrant liability issued in connection with our draw-down of borrowings under the loan and security agreement in June 2013. We recorded a liability related to this warrant and re-measured the liability at each reporting period with the corresponding gain or loss from the adjustment recorded as other income (expense), net. The preferred stock warrant liability was converted into a warrant to purchase our common stock upon the completion of our initial public offering (IPO) in November 2013. This warrant was exercised through a cashless exercise in March 2014.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31" w:lineRule="exact"/>
        <w:rPr>
          <w:sz w:val="20"/>
          <w:szCs w:val="20"/>
          <w:color w:val="auto"/>
        </w:rPr>
      </w:pPr>
    </w:p>
    <w:p>
      <w:pPr>
        <w:jc w:val="both"/>
        <w:ind w:firstLine="373"/>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we can reasonably estimate reimbursement. These contractual adjustments represent the difference between the list price (the billing rate) and the reimbursement rate for each payer. Upon ultimate collection, the amount received from Medicare and commercial payers where reimbursement was estimated is compared to previous estimates and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or other clearly enforceable legal right to demand payment from the patient, the related revenue is only recognized upon the earlier of payment notification, if applicable, or cash receipt.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For all services performed, we consider whether or not the following revenue recognition criteria are met: persuasive evidence of an arrangement exists; delivery has occurred or services have been rendered; and a reasonable estimate of reimbursement can be made.</w:t>
      </w:r>
    </w:p>
    <w:p>
      <w:pPr>
        <w:spacing w:after="0" w:line="186" w:lineRule="exact"/>
        <w:rPr>
          <w:sz w:val="20"/>
          <w:szCs w:val="20"/>
          <w:color w:val="auto"/>
        </w:rPr>
      </w:pPr>
    </w:p>
    <w:p>
      <w:pPr>
        <w:jc w:val="both"/>
        <w:ind w:firstLine="435"/>
        <w:spacing w:after="0" w:line="291"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whether a reasonable estimate of reimbursement can be made requires significant judgment by management. Where our judgment indicates a reasonable estimate of reimbursement can be made, we recognize revenue upon delivery of the patient report. Some patients have out-of- pocket costs for amounts not covered by their insurance carrier, and we may bill the patient directly for these amounts in the form of co-payments and co-insurance in accordance with their insurance carrier and health plans. Some payers may not cover the GEC as ordered by the prescribing physician under their reimbursement policies. We pursue reimbursement from such patients on a case-by-case basis.</w:t>
      </w:r>
    </w:p>
    <w:p>
      <w:pPr>
        <w:spacing w:after="0" w:line="17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the absence of contracted reimbursement coverage or the ability to reasonably estimate reimbursement, we recognize revenue upon the earlier of receipt of third-party payer notification of payment or when cash is received.</w:t>
      </w:r>
    </w:p>
    <w:p>
      <w:pPr>
        <w:spacing w:after="0" w:line="186" w:lineRule="exact"/>
        <w:rPr>
          <w:sz w:val="20"/>
          <w:szCs w:val="20"/>
          <w:color w:val="auto"/>
        </w:rPr>
      </w:pPr>
    </w:p>
    <w:p>
      <w:pPr>
        <w:jc w:val="both"/>
        <w:ind w:firstLine="374"/>
        <w:spacing w:after="0" w:line="332" w:lineRule="auto"/>
        <w:rPr>
          <w:sz w:val="20"/>
          <w:szCs w:val="20"/>
          <w:color w:val="auto"/>
        </w:rPr>
      </w:pPr>
      <w:r>
        <w:rPr>
          <w:rFonts w:ascii="Arial" w:cs="Arial" w:eastAsia="Arial" w:hAnsi="Arial"/>
          <w:sz w:val="16"/>
          <w:szCs w:val="16"/>
          <w:color w:val="auto"/>
        </w:rPr>
        <w:t>We use judgment in determining if we are able to make a reasonable estimate of reimbursement. We also use judgment in estimating the amounts we expect to collect by payer. Our judgments will continue to evolve in the future as we continue to gain payment experience with third-party payers and patients.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56"/>
        <w:spacing w:after="0" w:line="256"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Accounts receivable are written off against the allowance when the appeals process is exhausted or when there is other substantive evidence that the account will not be paid.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We account for acquisitions using the acquisition method of accounting which requires the recognition of tangible and identifiable intangible assets acquired and liabilities assumed at their estimated fair values as of the business combination date. We allocate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our operating results from the date of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519"/>
        <w:spacing w:after="0" w:line="291" w:lineRule="auto"/>
        <w:rPr>
          <w:sz w:val="20"/>
          <w:szCs w:val="20"/>
          <w:color w:val="auto"/>
        </w:rPr>
      </w:pPr>
      <w:r>
        <w:rPr>
          <w:rFonts w:ascii="Arial" w:cs="Arial" w:eastAsia="Arial" w:hAnsi="Arial"/>
          <w:sz w:val="16"/>
          <w:szCs w:val="16"/>
          <w:color w:val="auto"/>
        </w:rPr>
        <w:t>We review goodwill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Our intangible assets are comprised of acquired in-process research and development, or IPR&amp;D. The fair value of IPR&amp;D acquired through a business combination is capitalized as an indefinite-lived intangible asset until the completion or abandonment of the related research and development activities. IPR&amp;D is tested for impairment annually or when events or circumstances indicate that the fair value may be below the carrying value of the asset. If and when research and development is complete, the associated assets would then be amortized over their estimated useful lives.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52"/>
        <w:spacing w:after="0" w:line="256" w:lineRule="auto"/>
        <w:rPr>
          <w:sz w:val="20"/>
          <w:szCs w:val="20"/>
          <w:color w:val="auto"/>
        </w:rPr>
      </w:pPr>
      <w:r>
        <w:rPr>
          <w:rFonts w:ascii="Arial" w:cs="Arial" w:eastAsia="Arial" w:hAnsi="Arial"/>
          <w:sz w:val="18"/>
          <w:szCs w:val="18"/>
          <w:color w:val="auto"/>
        </w:rPr>
        <w:t>We review long-lived and indefinite lived assets other than goodwill for impairment on an annual basis or whenever events or changes in circumstances indicate that the carrying amount of the assets may not be recoverable. We recognize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re-measured them on each subsequent balance sheet date. The changes in fair value were recognized as a gain or loss from the adjustment to other income (expense), net, in the statements of operations and comprehensive loss. We estimated the fair value of this liability using option-pricing models that include assumptions for future financings, expected volatility, expected life, yield and risk-free interest rate. The preferred stock liability was extinguished in June 2013. The warrant to purchase Series C convertible preferred stock was converted into a warrant to purchase our common stock as of the closing of our IPO and was exercised through a cashless exercise in March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file U.S. federal income tax returns and tax returns in California, Texas and other states.</w:t>
      </w:r>
    </w:p>
    <w:p>
      <w:pPr>
        <w:spacing w:after="0" w:line="225"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As of December 31, 2014 and December 31, 2013, our gross deferred tax assets were $43.4 million and $32.8 million, respectively.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6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valuation allowance against all of our net deferred tax assets at December 31, 2014 and 2013. We will continue to maintain a full valuation allowance on our net deferred tax assets until there is sufficient evidence to support the reversal of all or some portion of this allowance.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valuation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2013</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Dollar</w:t>
            </w: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expense: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7,810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12,540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45,057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Loss from operations</w:t>
            </w:r>
          </w:p>
        </w:tc>
        <w:tc>
          <w:tcPr>
            <w:tcW w:w="1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(29,006)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(23,173)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(5,833)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0"/>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(29,373)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(25,580)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0"/>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Revenue increased $16.3 million, or 75%, for the year ended December 31, 2014 compared to the same period in 2013. The increase was primarily as a result of increased collections which resulted from realizing higher reimbursement rates from payers as well as from increased volume due to increased adoption of Afirma and increased percentage of samples for the GEC test only.</w:t>
      </w:r>
    </w:p>
    <w:p>
      <w:pPr>
        <w:spacing w:after="0" w:line="194"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For the year ended December 31, 2014 compared to the same period in 2013, revenue recognized when cash was received increased by approximately $11.1 million, or 76%, to $25.7 million, reflecting increased adoption and collections. For the year ended December 31, 2014 compared to the same period in 2013, revenue recognized on an accrual basis increased by approximately $5.2 million, or 71% to $12.5 million, primarily reflecting increased adoption and to a lesser extent, additional payers meeting our revenue recognition criteria.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8"/>
          <w:szCs w:val="18"/>
          <w:color w:val="auto"/>
        </w:rPr>
        <w:t>Cost of revenue increased $4.0 million, or 32%, for the year ended December 31, 2014 compared to the same period in 2013. The increase was primarily due to an increase in variable costs that are directly related to the increase in the number of FNAs received, offset in part by continuing refinements in our testing process and economies of scale related to the increase in FNAs processed. FNAs received increased 16,178, or 33%, to 65,848 in the year ended December 31,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2014 and 2013 is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Dollar</w:t>
            </w: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3,875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0"/>
        </w:trPr>
        <w:tc>
          <w:tcPr>
            <w:tcW w:w="48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4"/>
        <w:spacing w:after="0" w:line="294" w:lineRule="auto"/>
        <w:rPr>
          <w:sz w:val="20"/>
          <w:szCs w:val="20"/>
          <w:color w:val="auto"/>
        </w:rPr>
      </w:pPr>
      <w:r>
        <w:rPr>
          <w:rFonts w:ascii="Arial" w:cs="Arial" w:eastAsia="Arial" w:hAnsi="Arial"/>
          <w:sz w:val="16"/>
          <w:szCs w:val="16"/>
          <w:color w:val="auto"/>
        </w:rPr>
        <w:t>Research and development expense increased $2.0 million, or 26%, for the year ended December 31, 2014 compared to the same period in 2013. The increase in personnel related expense was primarily due to a 38% increase in headcount at December 31, 2014 as compared to December 31, 2013. The increase in stock-based compensation expense reflects option grants to new and existing employees. The increase in direct R&amp;D expense was due primarily to the timing of genome sequencing expenses and other laboratory expenses. The decrease in other expense was due primarily to $530,000 in licensing fees to secure thyroid intellectual property in 2013, partially offset by an increase in consulting and recruiting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2014 and 2013 is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Dollar</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9,733</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3,649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318%</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4"/>
        <w:spacing w:after="0" w:line="323" w:lineRule="auto"/>
        <w:rPr>
          <w:sz w:val="20"/>
          <w:szCs w:val="20"/>
          <w:color w:val="auto"/>
        </w:rPr>
      </w:pPr>
      <w:r>
        <w:rPr>
          <w:rFonts w:ascii="Arial" w:cs="Arial" w:eastAsia="Arial" w:hAnsi="Arial"/>
          <w:sz w:val="15"/>
          <w:szCs w:val="15"/>
          <w:color w:val="auto"/>
        </w:rPr>
        <w:t>Selling and marketing expense increased $9.4 million, or 75%, for the year ended December 31, 2014 compared to the same period in 2013. The increase in Genzyme co-promotion expense, net, reflects growth in cash collections, partially offset by a reduction in the co-promotion percentage rate payable to Genzyme in 2014 as compared to 2013 under the 2012 co-promotion agreement. The increase in personnel related expense were primarily due to a 107% increase in headcount of our sales force at December 31, 2014 as compared to December 31, 2013. The increase in stock-based compensation expense reflects option grants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new and existing employees. The increase in direct marketing expense was due primarily to increased marketing and promotional materials and market research and consultants. The increase in other expense was primarily due to an increase in information technology and facilities expenses that were related to sales and marketing activities.</w:t>
      </w:r>
    </w:p>
    <w:p>
      <w:pPr>
        <w:spacing w:after="0" w:line="194"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In November 2014, we entered into an Amended and Restated U.S. Co-Promotion Agreement, or Amended Agreement, with Genzyme. As a result of the Amended Agreement, we expect our selling and marketing expenses for Afirma to remain flat over the next year. While we expect that our personnel costs will increase as we take on more sales and marketing responsibilities related to Afirma, we expect these increases will be offset by the lower rate we are required to pay Genzyme under the Amended Agreement beginning in January 2015. In 2015, we also expect to incur selling and marketing expenses as a result of investments in our lung product portfolio. Therefore, we believe total selling and marketing expenses will increase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2014 and 2013 is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Dollar</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9,563</w:t>
            </w: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6,454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3,109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1"/>
        <w:spacing w:after="0" w:line="288" w:lineRule="auto"/>
        <w:rPr>
          <w:sz w:val="20"/>
          <w:szCs w:val="20"/>
          <w:color w:val="auto"/>
        </w:rPr>
      </w:pPr>
      <w:r>
        <w:rPr>
          <w:rFonts w:ascii="Arial" w:cs="Arial" w:eastAsia="Arial" w:hAnsi="Arial"/>
          <w:sz w:val="16"/>
          <w:szCs w:val="16"/>
          <w:color w:val="auto"/>
        </w:rPr>
        <w:t>General and administrative expense increased $6.8 million, or 56%, for the year ended December 31, 2014 compared to the same period in 2013. The increase in personnel related expense was primarily due to a 32% increase in headcount at December 31, 2014 as compared to December 31, 2013 and to acquisition costs of $1.2 million for bonus and severance paid to Allegro employees. The increase in stock-based compensation expense was primarily due to option grants to new and existing employees. The increase in professional fees includes higher audit, legal and other corporate expenses including insurance, associated with operating as a public company for the full year. In addition, professional fees included Allegro acquisition costs of approximately $0.3 million for audit, legal and valuation services. The increase in other expense was due primarily to an increase in consulting expense of approximately $0.9 million, including approximately $0.2 million for the Allegro acquisition. Other expense also included fees for our billing system and postage which increased as a result of increased FNA volume, and tax/license fees which increased as a result of being a public company. These other expenses were largely offset by decreases in computer and facilities allocations as a result of increased headcount in other functions.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424"/>
        <w:spacing w:after="0" w:line="268" w:lineRule="auto"/>
        <w:rPr>
          <w:sz w:val="20"/>
          <w:szCs w:val="20"/>
          <w:color w:val="auto"/>
        </w:rPr>
      </w:pPr>
      <w:r>
        <w:rPr>
          <w:rFonts w:ascii="Arial" w:cs="Arial" w:eastAsia="Arial" w:hAnsi="Arial"/>
          <w:sz w:val="18"/>
          <w:szCs w:val="18"/>
          <w:color w:val="auto"/>
        </w:rPr>
        <w:t>Interest expense increased $206,000 for the year ended December 31, 2014 compared to the same period in 2013 primarily due to higher interest expense associated with our loan which was outstanding for the full year in 2014 and only half a year in 2013.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Other income (expense), net, increased $2.2 million for the year ended December 31 2014, compared to the same period in 2013 primarily due to the one-time $2.1 million expense related to the increase in the fair value of the preferred stock liability associated with our obligation to issue additional shares of Series C convertible preferred stock, and an $86,000 expense related to the increase in the fair value of the preferred stock warrant liability in the year ended December 31, 2013. Other income (expense), net, for 2014 consisted primarily of sublease rental income of $86,000, interest income received from payers and from our cash equivalents of $31,000, partially offset by amortization of debt issuance costs of $44,000.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2013 and 2012</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Dollar</w:t>
            </w: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(18,929)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(4,244)</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(25,580)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(18,649)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(6,931)</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Revenue increased $10.3 million, or 88%, for the year ended December 31, 2013 compared to the same period in 2012 primarily as a result of a $7.2 million increase in commercial revenue from increased reimbursement and collections and a $3.1 million increase in Medicare revenue as a result of increased Afirma adoption.</w:t>
      </w:r>
    </w:p>
    <w:p>
      <w:pPr>
        <w:spacing w:after="0" w:line="194" w:lineRule="exact"/>
        <w:rPr>
          <w:sz w:val="20"/>
          <w:szCs w:val="20"/>
          <w:color w:val="auto"/>
        </w:rPr>
      </w:pPr>
    </w:p>
    <w:p>
      <w:pPr>
        <w:jc w:val="both"/>
        <w:ind w:firstLine="484"/>
        <w:spacing w:after="0" w:line="259" w:lineRule="auto"/>
        <w:rPr>
          <w:sz w:val="20"/>
          <w:szCs w:val="20"/>
          <w:color w:val="auto"/>
        </w:rPr>
      </w:pPr>
      <w:r>
        <w:rPr>
          <w:rFonts w:ascii="Arial" w:cs="Arial" w:eastAsia="Arial" w:hAnsi="Arial"/>
          <w:sz w:val="18"/>
          <w:szCs w:val="18"/>
          <w:color w:val="auto"/>
        </w:rPr>
        <w:t>For the year ended December 31, 2013 compared to the same period in 2012, revenue recognized when cash was received increased by approximately $7.1 million, or 95%, to $14.6 million, reflecting increased adoption and collections. For the year ended December 31, 2013 compared to the same period in 2012, revenue recognized on an accrual basis increased by approximately $3.2 million, or 78%, to $7.3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Cost of revenue increased $5.0 million, or 66%, for the year ended December 31, 2013 compared to the same period in 2012. This increase was primarily due to a $4.7 million, or 77%, increase in variable costs that are directly related to the increase in the number of FNAs received, offset in part by continuing refinements in our testing process and economies of scale related to the increase in FNAs. FNAs received increased 23,780, or 92%, to 49,670 in the year ended December 31,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2013 and 2012 is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jc w:val="right"/>
              <w:ind w:right="38"/>
              <w:spacing w:after="0"/>
              <w:rPr>
                <w:sz w:val="20"/>
                <w:szCs w:val="20"/>
                <w:color w:val="auto"/>
              </w:rPr>
            </w:pPr>
            <w:r>
              <w:rPr>
                <w:rFonts w:ascii="Arial" w:cs="Arial" w:eastAsia="Arial" w:hAnsi="Arial"/>
                <w:sz w:val="14"/>
                <w:szCs w:val="14"/>
                <w:b w:val="1"/>
                <w:bCs w:val="1"/>
                <w:color w:val="auto"/>
                <w:w w:val="95"/>
              </w:rPr>
              <w:t>Dollar</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0"/>
        </w:trPr>
        <w:tc>
          <w:tcPr>
            <w:tcW w:w="48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auto"/>
        </w:rPr>
        <w:t>Research and development expense increased $1.2 million, or 18%, for the year ended December 31, 2013 compared to the same period in 2012. This increase was primarily due to a $0.6 million increase in personnel related expenses related to a 24% increase in headcount, and a $0.5 million increase in licensing expenses, included above in other expense, to secure intellectual property to augment our existing thyroid patent portfolio, offset by a decrease in other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2013 and 2012 is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Dollar</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w w:val="81"/>
              </w:rPr>
              <w:t>(In</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vMerge w:val="continue"/>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Genzyme co-promotion expense,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2,990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Selling and marketing expense increased $4.1 million, or 48%, for the year ended December 31, 2013 compared to the same period in 2012. This increase was primarily due to a $3.0 million increase in net expense recognized under our co-promotion agreement with Genzyme, reflecting growth in cash collections, partially offset by amortization of the deferred fee, a $0.5 million increase in personnel related expense related to a 28% increase in headcount, a $0.5 million increase in marketing and promotional materials, and a $0.1 million increase in consulting expenses.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Comparison of the years ended December 31, 2013 and 2012 is as follows: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Dollar</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b w:val="1"/>
                <w:bCs w:val="1"/>
                <w:color w:val="auto"/>
                <w:w w:val="81"/>
              </w:rPr>
              <w:t>(In</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vMerge w:val="continue"/>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4,661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1,793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80"/>
        <w:spacing w:after="0" w:line="294" w:lineRule="auto"/>
        <w:rPr>
          <w:sz w:val="20"/>
          <w:szCs w:val="20"/>
          <w:color w:val="auto"/>
        </w:rPr>
      </w:pPr>
      <w:r>
        <w:rPr>
          <w:rFonts w:ascii="Arial" w:cs="Arial" w:eastAsia="Arial" w:hAnsi="Arial"/>
          <w:sz w:val="16"/>
          <w:szCs w:val="16"/>
          <w:color w:val="auto"/>
        </w:rPr>
        <w:t>General and administrative expense increased $4.2 million, or 53%, for the year ended December 31, 2013 compared to the same period in 2012. This increase was primarily due to a $1.8 million increase in personnel related expenses related to a 63% increase in headcount, a $0.4 million increase in stock-based compensation expense primarily related to 2013 option grants, an increase in professional fees primarily due to non-capitalizable IPO related audit and legal services of $1.4 million, an increase in rent and other facilities expenses primarily due to the opening of the Austin, Texas facility of $0.4 million, and a $0.2 million increase in insurance expenses related to higher premiums associated with being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0" w:firstLine="374"/>
        <w:spacing w:after="0" w:line="259" w:lineRule="auto"/>
        <w:rPr>
          <w:sz w:val="20"/>
          <w:szCs w:val="20"/>
          <w:color w:val="auto"/>
        </w:rPr>
      </w:pPr>
      <w:r>
        <w:rPr>
          <w:rFonts w:ascii="Arial" w:cs="Arial" w:eastAsia="Arial" w:hAnsi="Arial"/>
          <w:sz w:val="18"/>
          <w:szCs w:val="18"/>
          <w:color w:val="auto"/>
        </w:rPr>
        <w:t>Interest expense increased $0.2 million for the year ended December 31, 2013 compared to the same period in 2012. Interest expense of $0.2 million for the year ended December 31, 2013 is interest incurred on the initial June 2013 drawdown of $5.0 million under our loan and security agreement. We did not have any debt in the same period in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Other income (expense), net, decreased $2.5 million in the year ended December 31, 2013 compared to the same period in 2012. The decrease was primarily related to a $2.4 million increase in the fair value of the preferred stock liability from a gain of $0.3 million in 2012 to a loss of $2.1 million in 2013, and a $0.1 million increase in the fair value of the preferred stock warrant liability. As the preferred stock liability was extinguished in 2013, and the preferred stock warrant liability was converted into a warrant to purchase our common stock upon the completion of the IPO in 2013, any related expenses will not carry forward to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color w:val="auto"/>
        </w:rPr>
        <w:t>We have incurred net losses since our inception. For the years ended December 31, 2014, 2013 and 2012, we had a net loss of $29.4 million, $25.6 million and $18.6 million, respectively, and we expect to incur additional losses in 2015 and in future years. As of December 31, 2014, we had an accumulated deficit of $115.0 million. We may never achieve revenue sufficient to offset our expenses. As of December 31, 2014, we had $35.0 million in cash and cash equivalents. We believe our existing cash and cash equivalents as of December 31, 2014 and our revenue from the sale of Afirma in 2015 will be sufficient to meet our anticipated cash requirements for at least the next 12 months.</w:t>
      </w:r>
    </w:p>
    <w:p>
      <w:pPr>
        <w:spacing w:after="0" w:line="197"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Since inception, we have received $154.0 million in net proceeds from various sources to finance our operations, including net proceeds of $78.6 million from sales of our preferred stock, net proceeds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$59.2 million from our IPO, $10.0 million from the Genzyme co-promotion agreement, net borrowings of $4.9 million under our loan and security agreement, and $1.3 million from the exercise of stock options.</w:t>
      </w:r>
    </w:p>
    <w:p>
      <w:pPr>
        <w:spacing w:after="0" w:line="186"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6"/>
          <w:szCs w:val="16"/>
          <w:color w:val="auto"/>
        </w:rPr>
        <w:t>In June 2013, we entered into a loan and security agreement, the Original Loan, with a financial institution. The Original Loan provided for term loans of up to an aggregate of $10.0 million. On entering the Original Loan, we drew down an initial $5.0 million term loan. We opted not to draw the remaining $5.0 million and the option to do so expired in March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0"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 December 2014, we amended certain terms and conditions of the Original Loan, which we refer to as the Amended Loan. The Amended Loan provides for term loans of up to $15.0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The second $5.0 million tranche under the Amended Loan is available through December 31, 2015, and we may borrow the third $5.0 million tranche any time through June 30, 2016 after achieving the third tranche revenue milestone as defined in the Amended Loan.</w:t>
      </w:r>
    </w:p>
    <w:p>
      <w:pPr>
        <w:spacing w:after="0" w:line="17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Under the Amended Loan, we are required to repay the outstanding principal in 24 equal installments beginning 24 months after the date of the borrowing and the loan is due in full in December 2018. The first tranche of the Amended Loan bears interest at a rate of 5.00% per annum, and the Amended Loan carries prepayment penalties of 2.00% and 1.00% for prepayment within one and two years, respectively. In connection with the Amended Loan, we paid approximately $45,000 in third-party fees.</w:t>
      </w:r>
    </w:p>
    <w:p>
      <w:pPr>
        <w:spacing w:after="0" w:line="197" w:lineRule="exact"/>
        <w:rPr>
          <w:sz w:val="20"/>
          <w:szCs w:val="20"/>
          <w:color w:val="auto"/>
        </w:rPr>
      </w:pPr>
    </w:p>
    <w:p>
      <w:pPr>
        <w:jc w:val="both"/>
        <w:ind w:firstLine="474"/>
        <w:spacing w:after="0" w:line="290" w:lineRule="auto"/>
        <w:rPr>
          <w:sz w:val="20"/>
          <w:szCs w:val="20"/>
          <w:color w:val="auto"/>
        </w:rPr>
      </w:pPr>
      <w:r>
        <w:rPr>
          <w:rFonts w:ascii="Arial" w:cs="Arial" w:eastAsia="Arial" w:hAnsi="Arial"/>
          <w:sz w:val="16"/>
          <w:szCs w:val="16"/>
          <w:color w:val="auto"/>
        </w:rPr>
        <w:t>Loans drawn under the Original Loan and the Amended Loan were used for working capital and general corporate purposes. Our obligations under the Amended Loan are secured by a security interest on substantially all of our assets, excluding our intellectual property and certain other assets. The Amended Loan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Amended Loan also allows the lender to call the debt in the event there is a material adverse change in our business or financial condition. We are required to be in compliance with a minimum liquidity or minimum revenue covenant. As of December 31, 2014, we were in compliance with the financial covenants.</w:t>
      </w:r>
    </w:p>
    <w:p>
      <w:pPr>
        <w:spacing w:after="0" w:line="172"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In connection with the draw-down of the initial $5.0 million term loan under the Original Loan, we issued the lender a warrant to purchase 24,801 shares of our common stock upon completion of the IPO. The lender exercised the warrant through a cashless exercise in March 2014, resulting in the issuance of 13,739 shares of common stock at an exercise price of $7.56 per share.</w:t>
      </w:r>
    </w:p>
    <w:p>
      <w:pPr>
        <w:spacing w:after="0" w:line="194"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On September 16, 2014, we acquired Allegro via a merger with Full Moon Acquisition, Inc., or Full Moon, our wholly-owned subsidiary. Allegro was a privately-held company based in Maynard, Massachusetts, focused on the development of genomic tests to improve the preoperative diagnosis of lung cancer. In conjunction with the merger, we issued 964,377 shares of our common stock, paid $2.7 million in cash, settled in cash outstanding indebtedness of Allegro totaling $4.3 million, and paid severance and bonus to Allegro personnel of $1.2 million.</w:t>
      </w:r>
    </w:p>
    <w:p>
      <w:pPr>
        <w:spacing w:after="0" w:line="167"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We expect that our near- and longer-term liquidity requirements will continue to consist of selling and marketing expenses, research and development expenses, working capital, and general corporate expenses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 or market development programs, which could lower the economic value of those programs to us.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years ended December 31, 2014, 2013 and 2012:</w:t>
      </w:r>
    </w:p>
    <w:p>
      <w:pPr>
        <w:spacing w:after="0" w:line="275"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0</wp:posOffset>
            </wp:positionV>
            <wp:extent cx="16294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jc w:val="center"/>
        <w:ind w:left="5120"/>
        <w:spacing w:after="0"/>
        <w:tabs>
          <w:tab w:leader="none" w:pos="640" w:val="left"/>
          <w:tab w:leader="none" w:pos="6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1"/>
          <w:szCs w:val="11"/>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-6985</wp:posOffset>
            </wp:positionV>
            <wp:extent cx="16294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jc w:val="center"/>
        <w:ind w:left="510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(27,632)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0" w:type="dxa"/>
            <w:vAlign w:val="bottom"/>
          </w:tcPr>
          <w:p>
            <w:pPr>
              <w:jc w:val="right"/>
              <w:spacing w:after="0"/>
              <w:rPr>
                <w:sz w:val="20"/>
                <w:szCs w:val="20"/>
                <w:color w:val="auto"/>
              </w:rPr>
            </w:pPr>
            <w:r>
              <w:rPr>
                <w:rFonts w:ascii="Arial" w:cs="Arial" w:eastAsia="Arial" w:hAnsi="Arial"/>
                <w:sz w:val="18"/>
                <w:szCs w:val="18"/>
                <w:color w:val="auto"/>
              </w:rPr>
              <w:t>(9,010)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(1,282)</w:t>
            </w:r>
          </w:p>
        </w:tc>
        <w:tc>
          <w:tcPr>
            <w:tcW w:w="2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(1,462)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77,659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15,065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Cash used in operating activities for the year ended December 31, 2014 was $27.6 million. The net loss of $29.4 million includes non-cash charges of $2.3 million in amortization of the deferred fee received from Genzyme, offset primarily by $3.5 million of stock-based compensation expense, $1.2 million of depreciation and amortization, $0.2 million in amortization of debt discount and issuance costs and debt balloon interest expense, and $0.1 million of bad debt expense. The increase in net operating assets of $0.9 million was primarily due to a $2.0 million increase in accounts receivable due to increases in Afirma adoption and new payers for whom revenue is recognized on an accrual basis, a $1.1 million increase in supplies inventory due to the increased volume of testing performed and a strategic decision to increase our inventory on hand, offset by a $2.2 million net increase in accounts payable and accrued liabilities resulting from the timing of payments.</w:t>
      </w:r>
    </w:p>
    <w:p>
      <w:pPr>
        <w:spacing w:after="0" w:line="201"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6"/>
          <w:szCs w:val="16"/>
          <w:color w:val="auto"/>
        </w:rPr>
        <w:t>Cash used in operating activities for the year ended December 31, 2013 was $19.2 million. The net loss of $25.6 million was offset by non-cash charges of $2.1 million for the change in the value of the preferred stock liability, $2.5 million in amortization of the deferred fee received from Genzyme, $1.2 million of stock based compensation, $1.0 million of depreciation and amortization, $0.1 million of bad debt expense, a $0.1 million charge for the change in value of the preferred stock warrant liability, and $0.1 million for non-cash interest on the outstanding debt. The increase in net changes in assets and liabilities of $4.3 million was primarily due to a $7.2 million increase in accounts payable and accrued liabilities due to timing of payments offset by a $2.9 million increase in assets, including a $0.7 million increase in prepaid expenses due primarily to increased public company related prepaid insurance premiums, a $1.5 million increase in supply inventory due to the increase in volume of testing performed, and a $0.7 million increase in accounts receivable due to increased revenues from Medicare.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 $0.8 million increase in supplies inventory related to increased test demand.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31"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auto"/>
        </w:rPr>
        <w:t>Cash used in investing activities was $9.0 million, $1.3 million and $1.5 million in the years ended December 31, 2014, 2013 and 2012, respectively. We acquired Allegro in September 2014 for net cash of approximately $6.9 million and we restricted the use of $70,000 of cash as of December 31, 2014 to cover hold-back liabilities associated with the acquisition. We purchased laboratory equipment, software and leasehold improvements of $2.0 million, $1.3 million and $1.5 million for the years ended December 31, 2014, 2013 and 2012,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31" w:lineRule="exact"/>
        <w:rPr>
          <w:sz w:val="20"/>
          <w:szCs w:val="20"/>
          <w:color w:val="auto"/>
        </w:rPr>
      </w:pPr>
    </w:p>
    <w:p>
      <w:pPr>
        <w:jc w:val="both"/>
        <w:ind w:firstLine="469"/>
        <w:spacing w:after="0" w:line="332" w:lineRule="auto"/>
        <w:rPr>
          <w:sz w:val="20"/>
          <w:szCs w:val="20"/>
          <w:color w:val="auto"/>
        </w:rPr>
      </w:pPr>
      <w:r>
        <w:rPr>
          <w:rFonts w:ascii="Arial" w:cs="Arial" w:eastAsia="Arial" w:hAnsi="Arial"/>
          <w:sz w:val="16"/>
          <w:szCs w:val="16"/>
          <w:color w:val="auto"/>
        </w:rPr>
        <w:t>Cash provided by financing activities for the year ended December 31, 2014 of $0.4 million consisted of $0.7 million we received from the exercise of options to purchase our common stock, offset by $0.1 million of IPO-related disbursements and a $0.1 million end-of-term payment on our Original Loan.</w:t>
      </w:r>
    </w:p>
    <w:p>
      <w:pPr>
        <w:spacing w:after="0" w:line="139"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Cash provided by financing activities for the year ended December 31, 2013 of $77.7 million consisted of the receipt of $59.3 million in net proceeds from the issuance of common stock in connection with our IPO, the receipt of $12.9 million in net proceeds from the sale of our convertible preferred stock, net borrowings of $4.9 million under the Original Loan and $0.6 million from the exercise of options to purchase our common stock.</w:t>
      </w:r>
    </w:p>
    <w:p>
      <w:pPr>
        <w:spacing w:after="0" w:line="16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Cash provided by financing activities for the year ended December 31, 2012 of $15.1 million consisted of the receipt of $15.0 million in net proceeds from the sale of our convertible preferred stock and $0.1 million from the exercise of options to purchase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certain contractual obligations as of December 31, 2014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1 to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w w:val="87"/>
              </w:rPr>
              <w:t>3 to 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4"/>
                <w:szCs w:val="14"/>
                <w:b w:val="1"/>
                <w:bCs w:val="1"/>
                <w:color w:val="auto"/>
              </w:rPr>
              <w:t>More than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3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Supplies purchase commitments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r>
      <w:tr>
        <w:trPr>
          <w:trHeight w:val="20"/>
        </w:trPr>
        <w:tc>
          <w:tcPr>
            <w:tcW w:w="3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8,233</w:t>
            </w:r>
          </w:p>
        </w:tc>
      </w:tr>
      <w:tr>
        <w:trPr>
          <w:trHeight w:val="20"/>
        </w:trPr>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73"/>
        <w:spacing w:after="0" w:line="268" w:lineRule="auto"/>
        <w:rPr>
          <w:sz w:val="20"/>
          <w:szCs w:val="20"/>
          <w:color w:val="auto"/>
        </w:rPr>
      </w:pPr>
      <w:r>
        <w:rPr>
          <w:rFonts w:ascii="Arial" w:cs="Arial" w:eastAsia="Arial" w:hAnsi="Arial"/>
          <w:sz w:val="18"/>
          <w:szCs w:val="18"/>
          <w:color w:val="auto"/>
        </w:rPr>
        <w:t>In February 2010, we entered into a non-cancelable lease agreement for our headquarters and laboratory space in South San Francisco, California. The lease expires in March 2016.</w:t>
      </w:r>
    </w:p>
    <w:p>
      <w:pPr>
        <w:spacing w:after="0" w:line="186"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auto"/>
        </w:rPr>
        <w:t>In November 2012, we entered into a non-cancelable lease agreement commencing February 2013 for our laboratory and office space in Austin, Texas. The lease expires in July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2010 and February 2013, we entered into a non-cancelable purchase commitment with two suppliers to purchase a minimum quantity of supplies.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3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438"/>
        <w:spacing w:after="0" w:line="294"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requiring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We have not yet selected a transition method and are currently evaluating the effect that the updated standard may have on our financial statements.</w:t>
      </w:r>
    </w:p>
    <w:p>
      <w:pPr>
        <w:spacing w:after="0" w:line="170" w:lineRule="exact"/>
        <w:rPr>
          <w:sz w:val="20"/>
          <w:szCs w:val="20"/>
          <w:color w:val="auto"/>
        </w:rPr>
      </w:pPr>
    </w:p>
    <w:p>
      <w:pPr>
        <w:jc w:val="both"/>
        <w:ind w:firstLine="675"/>
        <w:spacing w:after="0" w:line="283" w:lineRule="auto"/>
        <w:rPr>
          <w:sz w:val="20"/>
          <w:szCs w:val="20"/>
          <w:color w:val="auto"/>
        </w:rPr>
      </w:pPr>
      <w:r>
        <w:rPr>
          <w:rFonts w:ascii="Arial" w:cs="Arial" w:eastAsia="Arial" w:hAnsi="Arial"/>
          <w:sz w:val="16"/>
          <w:szCs w:val="16"/>
          <w:color w:val="auto"/>
        </w:rPr>
        <w:t xml:space="preserve">In August 2014, FASB issued Accounting Standards Update No. 2014-15, </w:t>
      </w:r>
      <w:r>
        <w:rPr>
          <w:rFonts w:ascii="Arial" w:cs="Arial" w:eastAsia="Arial" w:hAnsi="Arial"/>
          <w:sz w:val="16"/>
          <w:szCs w:val="16"/>
          <w:i w:val="1"/>
          <w:iCs w:val="1"/>
          <w:color w:val="auto"/>
        </w:rPr>
        <w:t>Presentation of Financial Statements Going Concern—Disclosure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The amendments require management to assess an entity's ability to continue as a going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w:t>
      </w:r>
    </w:p>
    <w:p>
      <w:pPr>
        <w:spacing w:after="0" w:line="2" w:lineRule="exact"/>
        <w:rPr>
          <w:sz w:val="20"/>
          <w:szCs w:val="20"/>
          <w:color w:val="auto"/>
        </w:rPr>
      </w:pPr>
    </w:p>
    <w:p>
      <w:pPr>
        <w:jc w:val="both"/>
        <w:ind w:firstLine="8"/>
        <w:spacing w:after="0" w:line="253" w:lineRule="auto"/>
        <w:tabs>
          <w:tab w:leader="none" w:pos="2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fiscal 2016 and interim periods thereafter. We have not yet determined the effect of the adoption of this standard on our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$35.0 million as of December 31, 2014 which consisted of bank deposits and money market funds. Such interest-bearing instruments carry a degree of risk; however, a hypothetical 10% change in interest rates during any of the periods presented would not have had a material impact on our audited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320" w:type="dxa"/>
            <w:vAlign w:val="bottom"/>
            <w:gridSpan w:val="11"/>
            <w:vMerge w:val="restart"/>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Reports of Independent Registered Public Accounting Firms</w:t>
              </w:r>
            </w:hyperlink>
          </w:p>
        </w:tc>
        <w:tc>
          <w:tcPr>
            <w:tcW w:w="1960" w:type="dxa"/>
            <w:vAlign w:val="bottom"/>
            <w:gridSpan w:val="3"/>
          </w:tcPr>
          <w:p>
            <w:pPr>
              <w:ind w:left="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320" w:type="dxa"/>
            <w:vAlign w:val="bottom"/>
            <w:gridSpan w:val="11"/>
            <w:vMerge w:val="continue"/>
          </w:tcPr>
          <w:p>
            <w:pPr>
              <w:spacing w:after="0"/>
              <w:rPr>
                <w:sz w:val="14"/>
                <w:szCs w:val="14"/>
                <w:color w:val="auto"/>
              </w:rPr>
            </w:pPr>
          </w:p>
        </w:tc>
        <w:tc>
          <w:tcPr>
            <w:tcW w:w="660" w:type="dxa"/>
            <w:vAlign w:val="bottom"/>
            <w:tcBorders>
              <w:top w:val="single" w:sz="8" w:color="auto"/>
            </w:tcBorders>
            <w:gridSpan w:val="2"/>
          </w:tcPr>
          <w:p>
            <w:pPr>
              <w:jc w:val="right"/>
              <w:spacing w:after="0" w:line="170" w:lineRule="exact"/>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Balance Sheets as of December 31, 2014 and 2013</w:t>
              </w:r>
            </w:hyperlink>
          </w:p>
        </w:tc>
        <w:tc>
          <w:tcPr>
            <w:tcW w:w="660" w:type="dxa"/>
            <w:vAlign w:val="bottom"/>
            <w:gridSpan w:val="2"/>
          </w:tcPr>
          <w:p>
            <w:pPr>
              <w:jc w:val="right"/>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1"/>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Consolidated Statements of Operations and Comprehensive Loss for the Years Ended December 31, 2014, 2013</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92">
              <w:r>
                <w:rPr>
                  <w:rFonts w:ascii="Arial" w:cs="Arial" w:eastAsia="Arial" w:hAnsi="Arial"/>
                  <w:sz w:val="18"/>
                  <w:szCs w:val="18"/>
                  <w:color w:val="0000EE"/>
                  <w:w w:val="85"/>
                </w:rPr>
                <w:t>and 2012</w:t>
              </w:r>
            </w:hyperlink>
          </w:p>
        </w:tc>
        <w:tc>
          <w:tcPr>
            <w:tcW w:w="7040" w:type="dxa"/>
            <w:vAlign w:val="bottom"/>
            <w:tcBorders>
              <w:top w:val="single" w:sz="8" w:color="0000EE"/>
            </w:tcBorders>
            <w:gridSpan w:val="7"/>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1"/>
          </w:tcPr>
          <w:p>
            <w:pPr>
              <w:spacing w:after="0" w:line="19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Consolidated Statements of Convertible Preferred Stock and Stockholders' Equity (Deficit) for the Years Ended</w:t>
              </w:r>
            </w:hyperlink>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December 31, 2014, 2013 and 2012</w:t>
              </w:r>
            </w:hyperlink>
          </w:p>
        </w:tc>
        <w:tc>
          <w:tcPr>
            <w:tcW w:w="480" w:type="dxa"/>
            <w:vAlign w:val="bottom"/>
            <w:gridSpan w:val="2"/>
          </w:tcPr>
          <w:p>
            <w:pPr>
              <w:spacing w:after="0"/>
              <w:rPr>
                <w:sz w:val="17"/>
                <w:szCs w:val="17"/>
                <w:color w:val="auto"/>
              </w:rPr>
            </w:pPr>
          </w:p>
        </w:tc>
        <w:tc>
          <w:tcPr>
            <w:tcW w:w="660" w:type="dxa"/>
            <w:vAlign w:val="bottom"/>
            <w:gridSpan w:val="2"/>
          </w:tcPr>
          <w:p>
            <w:pPr>
              <w:jc w:val="right"/>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Consolidated Statements of Cash Flows for the Years Ended December 31, 2014, 2013 and 2012</w:t>
              </w:r>
            </w:hyperlink>
          </w:p>
        </w:tc>
        <w:tc>
          <w:tcPr>
            <w:tcW w:w="15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91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gridSpan w:val="1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660" w:type="dxa"/>
            <w:vAlign w:val="bottom"/>
            <w:gridSpan w:val="2"/>
          </w:tcPr>
          <w:p>
            <w:pPr>
              <w:jc w:val="right"/>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60" w:type="dxa"/>
            <w:vAlign w:val="bottom"/>
            <w:gridSpan w:val="2"/>
          </w:tcPr>
          <w:p>
            <w:pPr>
              <w:spacing w:after="0"/>
              <w:rPr>
                <w:sz w:val="24"/>
                <w:szCs w:val="24"/>
                <w:color w:val="auto"/>
              </w:rPr>
            </w:pPr>
          </w:p>
        </w:tc>
        <w:tc>
          <w:tcPr>
            <w:tcW w:w="3060" w:type="dxa"/>
            <w:vAlign w:val="bottom"/>
            <w:tcBorders>
              <w:top w:val="single" w:sz="8" w:color="0000EE"/>
            </w:tcBorders>
            <w:gridSpan w:val="4"/>
          </w:tcPr>
          <w:p>
            <w:pPr>
              <w:spacing w:after="0"/>
              <w:rPr>
                <w:sz w:val="24"/>
                <w:szCs w:val="24"/>
                <w:color w:val="auto"/>
              </w:rPr>
            </w:pPr>
          </w:p>
        </w:tc>
        <w:tc>
          <w:tcPr>
            <w:tcW w:w="3720" w:type="dxa"/>
            <w:vAlign w:val="bottom"/>
            <w:gridSpan w:val="3"/>
          </w:tcPr>
          <w:p>
            <w:pPr>
              <w:jc w:val="right"/>
              <w:ind w:right="2140"/>
              <w:spacing w:after="0"/>
              <w:rPr>
                <w:sz w:val="20"/>
                <w:szCs w:val="20"/>
                <w:color w:val="auto"/>
              </w:rPr>
            </w:pPr>
            <w:r>
              <w:rPr>
                <w:rFonts w:ascii="Arial" w:cs="Arial" w:eastAsia="Arial" w:hAnsi="Arial"/>
                <w:sz w:val="18"/>
                <w:szCs w:val="18"/>
                <w:color w:val="auto"/>
              </w:rPr>
              <w:t>85</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audited the accompanying consolidated balance sheet of Veracyte, Inc. as of December 31, 2014, and the related consolidated statement of operations and comprehensive loss, convertible preferred stock and stockholders' equity (deficit), and cash flows for the year ended December 31, 2014. These financial statements are the responsibility of the Company's management. Our responsibility is to express an opinion on these financial statements based on our audit.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Veracyte, Inc. at December 31, 2014, and the results of its operations and its cash flows for the year ended December 31, 2014, in conformity with U.S. generally accepted accounting principles.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our opinion, the balance sheet as of December 31, 2013 and the related statements of operations and comprehensive loss, of convertible preferred stock and stockholders' deficit, and of cash flows for each of two years in the period ended December 31, 2013 present fairly, in all material respects, the financial position of Veracyte, Inc. at December 31, 2013, and the results of its operations and its cash flows for each of the two years in the period ended December 31, 2013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w w:val="96"/>
              </w:rPr>
              <w:t>Accounts receivable, net of allowance of $84 and $107 as of December 31, 2014 and 2013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Supplies 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Deferred Genzyme co-promotion fee</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Preferred stock, $0.001 par value; 5,000,000 shares authorized, 0 shares issued and outstanding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of December 31, 2014 and 2013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w w:val="92"/>
              </w:rPr>
              <w:t>Common stock, $0.001 par value; 125,000,000 shares authorized, 22,523,529 and 21,143,313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shares issued and outstanding as of December 31, 2014 and 2013,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142,071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(115,022)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(85,649)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6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(28.68</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Shares used to compute net loss per common share, basic and diluted</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21,639,374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4,158,664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650,333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70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3"/>
            <w:vMerge w:val="restart"/>
          </w:tcPr>
          <w:p>
            <w:pPr>
              <w:jc w:val="right"/>
              <w:ind w:right="2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5"/>
                <w:szCs w:val="5"/>
                <w:color w:val="auto"/>
              </w:rPr>
            </w:pPr>
          </w:p>
        </w:tc>
        <w:tc>
          <w:tcPr>
            <w:tcW w:w="96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Equity (Deficit)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2011</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45,147,999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49,296</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594,941</w:t>
            </w:r>
          </w:p>
        </w:tc>
        <w:tc>
          <w:tcPr>
            <w:tcW w:w="540" w:type="dxa"/>
            <w:vAlign w:val="bottom"/>
            <w:gridSpan w:val="2"/>
            <w:shd w:val="clear" w:color="auto" w:fill="CCEEFF"/>
          </w:tcPr>
          <w:p>
            <w:pPr>
              <w:jc w:val="right"/>
              <w:ind w:right="24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80" w:type="dxa"/>
            <w:vAlign w:val="bottom"/>
            <w:gridSpan w:val="2"/>
            <w:shd w:val="clear" w:color="auto" w:fill="CCEEFF"/>
          </w:tcPr>
          <w:p>
            <w:pPr>
              <w:jc w:val="right"/>
              <w:ind w:right="1"/>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1"/>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(41,420)</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(40,766)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1"/>
              </w:rPr>
              <w:t>Issuance of Series C convertible preferred stock</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w w:val="99"/>
              </w:rPr>
              <w:t>in November and December 2012 at $1.89</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20"/>
              <w:spacing w:after="0" w:line="149" w:lineRule="exact"/>
              <w:rPr>
                <w:sz w:val="20"/>
                <w:szCs w:val="20"/>
                <w:color w:val="auto"/>
              </w:rPr>
            </w:pPr>
            <w:r>
              <w:rPr>
                <w:rFonts w:ascii="Arial" w:cs="Arial" w:eastAsia="Arial" w:hAnsi="Arial"/>
                <w:sz w:val="14"/>
                <w:szCs w:val="14"/>
                <w:color w:val="auto"/>
                <w:w w:val="97"/>
              </w:rPr>
              <w:t>per share, net of issuance costs of $63 and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20"/>
              <w:spacing w:after="0" w:line="159" w:lineRule="exact"/>
              <w:rPr>
                <w:sz w:val="20"/>
                <w:szCs w:val="20"/>
                <w:color w:val="auto"/>
              </w:rPr>
            </w:pPr>
            <w:r>
              <w:rPr>
                <w:rFonts w:ascii="Arial" w:cs="Arial" w:eastAsia="Arial" w:hAnsi="Arial"/>
                <w:sz w:val="14"/>
                <w:szCs w:val="14"/>
                <w:color w:val="auto"/>
              </w:rPr>
              <w:t>$861 preferred stock liability</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7,936,508</w:t>
            </w:r>
          </w:p>
        </w:tc>
        <w:tc>
          <w:tcPr>
            <w:tcW w:w="10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14,076</w:t>
            </w: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Common stock issued on exercise of stock</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options</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72,743</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1"/>
              </w:rPr>
              <w:t>Stock-based compensation expense (employee)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 compensation expense (non-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employee)</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(18,649)</w:t>
            </w: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2012</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53,084,507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63,372</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667,684</w:t>
            </w: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(60,069)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(58,471)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Issuance of Series C convertible preferred stock</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 June 2013 at $1.89 per share, net of</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issuance costs of $53</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6,904,761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12,997</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Extinguishment of preferred stock liability</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2,653</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common stock on exercise of stock</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options</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377,966</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rPr>
              <w:t>Issuance of common stock in initial public</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40"/>
              <w:spacing w:after="0" w:line="149" w:lineRule="exact"/>
              <w:rPr>
                <w:sz w:val="20"/>
                <w:szCs w:val="20"/>
                <w:color w:val="auto"/>
              </w:rPr>
            </w:pPr>
            <w:r>
              <w:rPr>
                <w:rFonts w:ascii="Arial" w:cs="Arial" w:eastAsia="Arial" w:hAnsi="Arial"/>
                <w:sz w:val="14"/>
                <w:szCs w:val="14"/>
                <w:color w:val="auto"/>
                <w:w w:val="98"/>
              </w:rPr>
              <w:t>offering, net of discounts and commissions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of $4,642 and issuance costs of $2,507</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5,100,351</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59,151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59,156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 preferred stock into common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stock upon initial public offering</w:t>
            </w: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8"/>
              </w:rPr>
              <w:t>(59,989,268)</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(79,022)</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14,997,312</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79,007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79,022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rPr>
              <w:t>Reclassification of preferred stock warrant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140"/>
              <w:spacing w:after="0" w:line="149" w:lineRule="exact"/>
              <w:rPr>
                <w:sz w:val="20"/>
                <w:szCs w:val="20"/>
                <w:color w:val="auto"/>
              </w:rPr>
            </w:pPr>
            <w:r>
              <w:rPr>
                <w:rFonts w:ascii="Arial" w:cs="Arial" w:eastAsia="Arial" w:hAnsi="Arial"/>
                <w:sz w:val="14"/>
                <w:szCs w:val="14"/>
                <w:color w:val="auto"/>
              </w:rPr>
              <w:t>liability into additional paid-in capital upon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initial public offering</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261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Stock-based compensation expense (employee)</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rPr>
              <w:t>Stock-based compensation expense (non-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employee)</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Common stock subject to repurchase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(25,580)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(25,580)</w:t>
            </w: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2013</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21,143,313</w:t>
            </w:r>
          </w:p>
        </w:tc>
        <w:tc>
          <w:tcPr>
            <w:tcW w:w="1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142,071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(85,649)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56,443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common stock on exercise of stock</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options</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402,100</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1"/>
              </w:rPr>
              <w:t>Issuance of common stock on cashless exercise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of stock warrant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13,739</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subject to repurchase</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acquisition</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964,377</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Stock-based compensation expense (employee)</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rPr>
              <w:t>Stock-based compensation expense (non-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140"/>
              <w:spacing w:after="0" w:line="159" w:lineRule="exact"/>
              <w:rPr>
                <w:sz w:val="20"/>
                <w:szCs w:val="20"/>
                <w:color w:val="auto"/>
              </w:rPr>
            </w:pPr>
            <w:r>
              <w:rPr>
                <w:rFonts w:ascii="Arial" w:cs="Arial" w:eastAsia="Arial" w:hAnsi="Arial"/>
                <w:sz w:val="14"/>
                <w:szCs w:val="14"/>
                <w:color w:val="auto"/>
              </w:rPr>
              <w:t>employee)</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160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(29,373)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(29,373)</w:t>
            </w:r>
          </w:p>
        </w:tc>
        <w:tc>
          <w:tcPr>
            <w:tcW w:w="0" w:type="dxa"/>
            <w:vAlign w:val="bottom"/>
          </w:tcPr>
          <w:p>
            <w:pPr>
              <w:spacing w:after="0"/>
              <w:rPr>
                <w:sz w:val="1"/>
                <w:szCs w:val="1"/>
                <w:color w:val="auto"/>
              </w:rPr>
            </w:pPr>
          </w:p>
        </w:tc>
      </w:tr>
      <w:tr>
        <w:trPr>
          <w:trHeight w:val="142"/>
        </w:trPr>
        <w:tc>
          <w:tcPr>
            <w:tcW w:w="278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2014</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22,523,529</w:t>
            </w: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156,373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41,374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10"/>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(29,373)</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(25,580)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(18,649)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Bad debt expense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Genzyme co-promotion fee amortization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Equity-based compensation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debt discount and issuance costs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Interest on debt balloon payment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 in value of preferred stock liability</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Change in value of preferred stock warrant liability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Supplies inventory</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current other assets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 and deferred rent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120"/>
              <w:spacing w:after="0" w:line="149" w:lineRule="exact"/>
              <w:rPr>
                <w:sz w:val="20"/>
                <w:szCs w:val="20"/>
                <w:color w:val="auto"/>
              </w:rPr>
            </w:pPr>
            <w:r>
              <w:rPr>
                <w:rFonts w:ascii="Arial" w:cs="Arial" w:eastAsia="Arial" w:hAnsi="Arial"/>
                <w:sz w:val="14"/>
                <w:szCs w:val="14"/>
                <w:color w:val="auto"/>
              </w:rPr>
              <w:t>Deferred Genzyme co-promotion fee</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(27,632)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(19,159)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(7,167)</w:t>
            </w: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Cash remitted for acquisition, net of cash received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restricted cash</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long-term debt, net of debt issuance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4,877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end-of-term debt obligation</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12,945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14,989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 in initial public offering, gross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66,304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Commissions and issuance costs relating to the initial public offering</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common stock options</w:t>
            </w:r>
          </w:p>
        </w:tc>
        <w:tc>
          <w:tcPr>
            <w:tcW w:w="9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77,659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(36,206)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57,218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period</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71,220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at end of period</w:t>
            </w:r>
          </w:p>
        </w:tc>
        <w:tc>
          <w:tcPr>
            <w:tcW w:w="11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35,014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71,220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Supplementary cash flow information of non-cash investing and financing activities:</w:t>
            </w: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common stock issued for acquisition</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Non-cash issuance of long-term debt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repayment of long-term debt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10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purchases of property and equipment</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Preferred stock liability</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of preferred stock liability to equity</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Convertible preferred stock issuance costs included in accounts payable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warrants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Conversion of preferred stock warrant liability to common stock warrants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from the non-cash exercise of common stock warrants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Conversion of convertible preferred stock to common stock</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IPO costs included in accounts payable and accrued liabilities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Cash paid for interest on debt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of equity-based compensation from liabilities to equity</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1" w:lineRule="exact"/>
        <w:rPr>
          <w:sz w:val="20"/>
          <w:szCs w:val="20"/>
          <w:color w:val="auto"/>
        </w:rPr>
      </w:pPr>
    </w:p>
    <w:p>
      <w:pPr>
        <w:jc w:val="both"/>
        <w:ind w:firstLine="390"/>
        <w:spacing w:after="0" w:line="294" w:lineRule="auto"/>
        <w:rPr>
          <w:sz w:val="20"/>
          <w:szCs w:val="20"/>
          <w:color w:val="auto"/>
        </w:rPr>
      </w:pPr>
      <w:r>
        <w:rPr>
          <w:rFonts w:ascii="Arial" w:cs="Arial" w:eastAsia="Arial" w:hAnsi="Arial"/>
          <w:sz w:val="16"/>
          <w:szCs w:val="16"/>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—diseases where many healthy patients undergo costly interventions that ultimately prove unnecessary. The Company improves the accuracy of diagnosis at an earlier stage of patient care by deriving clinically actionable genomic information from cytology samples.</w:t>
      </w:r>
    </w:p>
    <w:p>
      <w:pPr>
        <w:spacing w:after="0" w:line="170"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18"/>
          <w:szCs w:val="18"/>
          <w:color w:val="auto"/>
        </w:rPr>
        <w:t>The Company's first commercial solution, the Afirma</w:t>
      </w:r>
      <w:r>
        <w:rPr>
          <w:rFonts w:ascii="Arial" w:cs="Arial" w:eastAsia="Arial" w:hAnsi="Arial"/>
          <w:sz w:val="18"/>
          <w:szCs w:val="18"/>
          <w:i w:val="1"/>
          <w:iCs w:val="1"/>
          <w:color w:val="auto"/>
        </w:rPr>
        <w:t>®</w:t>
      </w:r>
      <w:r>
        <w:rPr>
          <w:rFonts w:ascii="Arial" w:cs="Arial" w:eastAsia="Arial" w:hAnsi="Arial"/>
          <w:sz w:val="18"/>
          <w:szCs w:val="18"/>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comprehensive offering also includes cytopathology testing and the Afirma Malignancy Classifiers, launched in May 2014. The Company markets and sells Afrma through a co-promotion agreement with Genzyme Corporation, a subsidiary of Sanofi.</w:t>
      </w:r>
    </w:p>
    <w:p>
      <w:pPr>
        <w:spacing w:after="0" w:line="197" w:lineRule="exact"/>
        <w:rPr>
          <w:sz w:val="20"/>
          <w:szCs w:val="20"/>
          <w:color w:val="auto"/>
        </w:rPr>
      </w:pPr>
    </w:p>
    <w:p>
      <w:pPr>
        <w:jc w:val="both"/>
        <w:ind w:firstLine="495"/>
        <w:spacing w:after="0" w:line="294" w:lineRule="auto"/>
        <w:rPr>
          <w:sz w:val="20"/>
          <w:szCs w:val="20"/>
          <w:color w:val="auto"/>
        </w:rPr>
      </w:pPr>
      <w:r>
        <w:rPr>
          <w:rFonts w:ascii="Arial" w:cs="Arial" w:eastAsia="Arial" w:hAnsi="Arial"/>
          <w:sz w:val="16"/>
          <w:szCs w:val="16"/>
          <w:color w:val="auto"/>
        </w:rPr>
        <w:t>On September 16, 2014, the Company acquired Allegro Diagnostics Corp. ("Allegro") to accelerate its entry into pulmonology, the Company's second planned clinical area. Allegro was a privately-held company based in Maynard, Massachusetts, focused on the development of genomic tests to improve the preoperative diagnosis of lung cancer. See Note 4. The Company intends to enter the lung cancer diagnostics market by mid-2015 with the Percepta™ Bronchial Genomic Classifier ("Percepta"), a test designed to resolve diagnostic ambiguity among the approximately 250,000 patients in the United States who undergo bronchoscopy each year to assess potentially cancerous lung nodules.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On November 4, 2013, the Company completed an initial public offering ("IPO") of its common stock. In connection with its IPO, the Company issued and sold 5,100,351 shares of common stock at a price to the public of $13.00 per share. As a result of the IPO, the Company received $59.2 million in net proceeds, after deducting underwriting discounts and commissions of $4.6 million and offering expenses of $2.5 million payable by the Company. In connection with the IPO, the Company's outstanding shares of convertible preferred stock were automatically converted into 14,997,312 shares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("GAAP"). The consolidated financial statements include the accounts of the Company and its wholly-owned subsidiary. All intercompany accounts and transactions have been eliminated in consolidation.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estimation of the fair value of intangible assets; the determination of fair value of the Company's common stock prior to the Company's IPO;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The Company has incurred net losses since its inception and expects to incur additional losses in 2015 and in future years. As of December 31, 2014, the Company had an accumulated deficit of $115.0 million. The Company may never achieve revenue sufficient to offset its expenses. The Company believes its cash and cash equivalents of $35.0 million as of December 31, 2014 and its revenue from the sale of Afirma in 2015 will be sufficient to meet its anticipated cash requirements for at least the next 12 months.</w:t>
      </w:r>
    </w:p>
    <w:p>
      <w:pPr>
        <w:spacing w:after="0" w:line="197"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If the Company is not able to generate revenue to finance its cash requirements,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505"/>
        <w:spacing w:after="0" w:line="259"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as required by the loan and security agreement discussed in Note 8. Deposits in this institution may exceed the amount of insurance provided on such deposits. The Company has not experienced any losses on its deposits of cash and cash equivalents.</w:t>
      </w:r>
    </w:p>
    <w:p>
      <w:pPr>
        <w:spacing w:after="0" w:line="194"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94"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Through December 31, 2014, all of the Company's revenue have been derived from the sale of Afirma. The Company's solution to date has been delivered primarily to physicians in the United States. The Company's third-party payers in excess of 10% of revenue and their related revenue as a percentage of total revenue were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200" w:type="dxa"/>
            <w:vAlign w:val="bottom"/>
          </w:tcPr>
          <w:p>
            <w:pPr>
              <w:spacing w:after="0"/>
              <w:rPr>
                <w:sz w:val="14"/>
                <w:szCs w:val="14"/>
                <w:color w:val="auto"/>
              </w:rPr>
            </w:pPr>
          </w:p>
        </w:tc>
        <w:tc>
          <w:tcPr>
            <w:tcW w:w="124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Aetna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United Healthcare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6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6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86" w:lineRule="exact"/>
        <w:rPr>
          <w:sz w:val="20"/>
          <w:szCs w:val="20"/>
          <w:color w:val="auto"/>
        </w:rPr>
      </w:pPr>
    </w:p>
    <w:p>
      <w:pPr>
        <w:jc w:val="both"/>
        <w:ind w:firstLine="370"/>
        <w:spacing w:after="0" w:line="268" w:lineRule="auto"/>
        <w:rPr>
          <w:sz w:val="20"/>
          <w:szCs w:val="20"/>
          <w:color w:val="auto"/>
        </w:rPr>
      </w:pPr>
      <w:r>
        <w:rPr>
          <w:rFonts w:ascii="Arial" w:cs="Arial" w:eastAsia="Arial" w:hAnsi="Arial"/>
          <w:sz w:val="18"/>
          <w:szCs w:val="18"/>
          <w:color w:val="auto"/>
        </w:rPr>
        <w:t>The Company's significant third-party payers and their related accounts receivable balance at December 31, 2014 and 2013 as a percentage of total accounts receivable are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Aetna</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United Healthcare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for these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primarily of amounts invested in a money market account primarily consisting of U.S. Treasury reserves.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The Company reserved $70,000 in cash as of December 31, 2014 to cover liabilities associated with the acquisition of Allegro as discussed in Note 4. This restricted cash is included in current assets on the Company's consolidated balance sheet.</w:t>
      </w:r>
    </w:p>
    <w:p>
      <w:pPr>
        <w:spacing w:after="0" w:line="186" w:lineRule="exact"/>
        <w:rPr>
          <w:sz w:val="20"/>
          <w:szCs w:val="20"/>
          <w:color w:val="auto"/>
        </w:rPr>
      </w:pPr>
    </w:p>
    <w:p>
      <w:pPr>
        <w:jc w:val="both"/>
        <w:ind w:firstLine="512"/>
        <w:spacing w:after="0" w:line="306" w:lineRule="auto"/>
        <w:rPr>
          <w:sz w:val="20"/>
          <w:szCs w:val="20"/>
          <w:color w:val="auto"/>
        </w:rPr>
      </w:pPr>
      <w:r>
        <w:rPr>
          <w:rFonts w:ascii="Arial" w:cs="Arial" w:eastAsia="Arial" w:hAnsi="Arial"/>
          <w:sz w:val="16"/>
          <w:szCs w:val="16"/>
          <w:color w:val="auto"/>
        </w:rPr>
        <w:t>The Company had long-term deposits of $118,000 as of December 31, 2014 and 2013, restricted from withdrawal and held by a bank in the form of collateral for letters of credit. The balance for each period consists of a letter of credit totaling $118,000 held as security for the lease of the Company's office space in South San Francisco, California. This restricted cash is included in long-term assets on the Company's consolidated balance sheets.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535"/>
        <w:spacing w:after="0" w:line="256"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w:t>
      </w:r>
    </w:p>
    <w:p>
      <w:pPr>
        <w:spacing w:after="0" w:line="19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The balance of allowance for doubtful accounts as of December 31, 2014 and 2013, including charges to bad debt expense and write-offs, net of recoveries, was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5"/>
          </w:tcPr>
          <w:p>
            <w:pPr>
              <w:jc w:val="right"/>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(In</w:t>
            </w:r>
          </w:p>
        </w:tc>
        <w:tc>
          <w:tcPr>
            <w:tcW w:w="720" w:type="dxa"/>
            <w:vAlign w:val="bottom"/>
            <w:gridSpan w:val="5"/>
          </w:tcPr>
          <w:p>
            <w:pPr>
              <w:jc w:val="right"/>
              <w:ind w:right="96"/>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Charged to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0"/>
        </w:trPr>
        <w:tc>
          <w:tcPr>
            <w:tcW w:w="66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cytopathology and GEC test processing and are valued at the lower of cost or market value. Cost is determined using actual costs on a first-in, first-out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90"/>
        <w:spacing w:after="0" w:line="294"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firstLine="442"/>
        <w:spacing w:after="0" w:line="294" w:lineRule="auto"/>
        <w:rPr>
          <w:sz w:val="20"/>
          <w:szCs w:val="20"/>
          <w:color w:val="auto"/>
        </w:rPr>
      </w:pPr>
      <w:r>
        <w:rPr>
          <w:rFonts w:ascii="Arial" w:cs="Arial" w:eastAsia="Arial" w:hAnsi="Arial"/>
          <w:sz w:val="16"/>
          <w:szCs w:val="16"/>
          <w:color w:val="auto"/>
        </w:rPr>
        <w:t>The Company capitalizes costs incurred in the application development stage to design and implement the software used in the tracking and reporting of laboratory activity. Costs incurred in the development of application software are capitalized and amortized over an estimated useful life of three years on a straight line basis. The total cost, accumulated depreciation and net book value was $927,000, $330,000 and $597,000, respectively, as of December 31, 2014, and was $482,000, $195,000 and $287,000, respectively, as of December 31, 2013, and are included in property and equipment in the Company's consolidated balance sheets. During the years ended December 31, 2014 and 2013,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capitalized $445,000 and $212,000, respectively, of software development costs. Amortization expense totaled $135,000, $108,000 and $47,000 in the years ended December 31, 2014, 2013 and 2012,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the Company's operating results from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94"/>
        <w:spacing w:after="0" w:line="290" w:lineRule="auto"/>
        <w:rPr>
          <w:sz w:val="20"/>
          <w:szCs w:val="20"/>
          <w:color w:val="auto"/>
        </w:rPr>
      </w:pPr>
      <w:r>
        <w:rPr>
          <w:rFonts w:ascii="Arial" w:cs="Arial" w:eastAsia="Arial" w:hAnsi="Arial"/>
          <w:sz w:val="16"/>
          <w:szCs w:val="16"/>
          <w:color w:val="auto"/>
        </w:rPr>
        <w:t>Goodwill, derived from the Company's acquisition of Allegro,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year ended December 31,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411"/>
        <w:spacing w:after="0" w:line="255" w:lineRule="auto"/>
        <w:rPr>
          <w:sz w:val="20"/>
          <w:szCs w:val="20"/>
          <w:color w:val="auto"/>
        </w:rPr>
      </w:pPr>
      <w:r>
        <w:rPr>
          <w:rFonts w:ascii="Arial" w:cs="Arial" w:eastAsia="Arial" w:hAnsi="Arial"/>
          <w:sz w:val="18"/>
          <w:szCs w:val="18"/>
          <w:color w:val="auto"/>
        </w:rPr>
        <w:t>The Company's intangible assets are comprised of acquired in-process research and development, or IPR&amp;D. The fair value of IPR&amp;D acquired through a business combination is capitalized as an indefinite-lived intangible asset until the completion or abandonment of the related research and development activities. IPR&amp;D is tested for impairment annually or when events or circumstances indicate that the fair value may be below the carrying value of the asset. There was no impairment for the year ended December 31, 2014. If and when research and development is complete, the associated assets would then be amortized over their estimated useful lives.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17"/>
        <w:spacing w:after="0" w:line="323" w:lineRule="auto"/>
        <w:rPr>
          <w:sz w:val="20"/>
          <w:szCs w:val="20"/>
          <w:color w:val="auto"/>
        </w:rPr>
      </w:pPr>
      <w:r>
        <w:rPr>
          <w:rFonts w:ascii="Arial" w:cs="Arial" w:eastAsia="Arial" w:hAnsi="Arial"/>
          <w:sz w:val="15"/>
          <w:szCs w:val="15"/>
          <w:color w:val="auto"/>
        </w:rPr>
        <w:t>The Company annually reviews long-lived and indefinite lived assets other than goodwill for impairment or whenever events or changes in circumstances indicate that the carrying amount of the assets may not be recoverable.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2014 and 2013.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jc w:val="both"/>
        <w:ind w:firstLine="352"/>
        <w:spacing w:after="0" w:line="294" w:lineRule="auto"/>
        <w:rPr>
          <w:sz w:val="20"/>
          <w:szCs w:val="20"/>
          <w:color w:val="auto"/>
        </w:rPr>
      </w:pPr>
      <w:r>
        <w:rPr>
          <w:rFonts w:ascii="Arial" w:cs="Arial" w:eastAsia="Arial" w:hAnsi="Arial"/>
          <w:sz w:val="16"/>
          <w:szCs w:val="16"/>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The Company accrued $1.1 million as of December 31, 2014 and 2013 for liabilities associated with these employee and executive bonus plans which are included in accrued liabilities in the Company's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payers on an accrual basis, net of contractual adjustments, when a reasonable estimate of reimbursement can be made. These contractual adjustments represent the difference between the list price (the billing rate) and the reimbursement rate for each payer. Upon ultimate collection, the amount received from Medicare and commercial payers where reimbursement was estimated is compared to previous estimates and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62" w:lineRule="exact"/>
        <w:rPr>
          <w:sz w:val="20"/>
          <w:szCs w:val="20"/>
          <w:color w:val="auto"/>
        </w:rPr>
      </w:pPr>
    </w:p>
    <w:p>
      <w:pPr>
        <w:jc w:val="both"/>
        <w:ind w:right="20" w:firstLine="362"/>
        <w:spacing w:after="0" w:line="268" w:lineRule="auto"/>
        <w:rPr>
          <w:sz w:val="20"/>
          <w:szCs w:val="20"/>
          <w:color w:val="auto"/>
        </w:rPr>
      </w:pPr>
      <w:r>
        <w:rPr>
          <w:rFonts w:ascii="Arial" w:cs="Arial" w:eastAsia="Arial" w:hAnsi="Arial"/>
          <w:sz w:val="18"/>
          <w:szCs w:val="18"/>
          <w:color w:val="auto"/>
        </w:rPr>
        <w:t>For all services performed, the Company considers whether or not the following revenue recognition criteria are met: persuasive evidence of an arrangement exists; delivery has occurred or services have been rendered; and a reasonable estimate of reimbursement can be made.</w:t>
      </w:r>
    </w:p>
    <w:p>
      <w:pPr>
        <w:spacing w:after="0" w:line="186" w:lineRule="exact"/>
        <w:rPr>
          <w:sz w:val="20"/>
          <w:szCs w:val="20"/>
          <w:color w:val="auto"/>
        </w:rPr>
      </w:pPr>
    </w:p>
    <w:p>
      <w:pPr>
        <w:jc w:val="both"/>
        <w:ind w:firstLine="435"/>
        <w:spacing w:after="0" w:line="291"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whether a reasonable estimate of reimbursement can be made requires significant judgment by management. Where management's judgment indicates a reasonable estimate of reimbursement can be made, revenue is recognized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contracted reimbursement coverage or the ability to reasonably estimate reimbursement, the Company recognizes revenue upon receipt of third-party payer notification of payment or when cash is received.</w:t>
      </w:r>
    </w:p>
    <w:p>
      <w:pPr>
        <w:spacing w:after="0" w:line="186" w:lineRule="exact"/>
        <w:rPr>
          <w:sz w:val="20"/>
          <w:szCs w:val="20"/>
          <w:color w:val="auto"/>
        </w:rPr>
      </w:pPr>
    </w:p>
    <w:p>
      <w:pPr>
        <w:jc w:val="both"/>
        <w:ind w:firstLine="487"/>
        <w:spacing w:after="0" w:line="259" w:lineRule="auto"/>
        <w:rPr>
          <w:sz w:val="20"/>
          <w:szCs w:val="20"/>
          <w:color w:val="auto"/>
        </w:rPr>
      </w:pPr>
      <w:r>
        <w:rPr>
          <w:rFonts w:ascii="Arial" w:cs="Arial" w:eastAsia="Arial" w:hAnsi="Arial"/>
          <w:sz w:val="18"/>
          <w:szCs w:val="18"/>
          <w:color w:val="auto"/>
        </w:rPr>
        <w:t>Revenue recognized when cash is received was $25.7 million, $14.6 million and $7.5 million for the years ended December 31, 2014, 2013 and 2012, respectively. Revenue recognized on an accrual basis was $12.5 million, $7.3 million and $4.1 million for the years ended December 31, 2014, 2013 and 2012,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560"/>
        <w:spacing w:after="0" w:line="256"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1"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 based compensation awards that are expected to vest over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6"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80"/>
        <w:spacing w:after="0" w:line="294" w:lineRule="auto"/>
        <w:rPr>
          <w:sz w:val="20"/>
          <w:szCs w:val="20"/>
          <w:color w:val="auto"/>
        </w:rPr>
      </w:pPr>
      <w:r>
        <w:rPr>
          <w:rFonts w:ascii="Arial" w:cs="Arial" w:eastAsia="Arial" w:hAnsi="Arial"/>
          <w:sz w:val="16"/>
          <w:szCs w:val="16"/>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and warrants to purchase common stock are considered to be common stock equivalents and were excluded from the calculation of diluted net loss per common share because their effect would be anti-dilutive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55"/>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requiring an entity to recognize the amount of revenue to which it expects to be entitled for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updated standard will replace most existing revenue recognition guidance in GAAP when it becomes effective and permits the use of either the retrospective or cumulative effect transition method. Early adoption is not permitted. The updated standard becomes effective for the Company in the first quarter of fiscal 2017. The Company has not yet selected a transition method and is currently evaluating the potential effect of the updated standard on its financial statements.</w:t>
      </w:r>
    </w:p>
    <w:p>
      <w:pPr>
        <w:spacing w:after="0" w:line="198" w:lineRule="exact"/>
        <w:rPr>
          <w:sz w:val="20"/>
          <w:szCs w:val="20"/>
          <w:color w:val="auto"/>
        </w:rPr>
      </w:pPr>
    </w:p>
    <w:p>
      <w:pPr>
        <w:jc w:val="both"/>
        <w:ind w:firstLine="675"/>
        <w:spacing w:after="0" w:line="283" w:lineRule="auto"/>
        <w:rPr>
          <w:sz w:val="20"/>
          <w:szCs w:val="20"/>
          <w:color w:val="auto"/>
        </w:rPr>
      </w:pPr>
      <w:r>
        <w:rPr>
          <w:rFonts w:ascii="Arial" w:cs="Arial" w:eastAsia="Arial" w:hAnsi="Arial"/>
          <w:sz w:val="16"/>
          <w:szCs w:val="16"/>
          <w:color w:val="auto"/>
        </w:rPr>
        <w:t xml:space="preserve">In August 2014, FASB issued Accounting Standards Update No. 2014-15, </w:t>
      </w:r>
      <w:r>
        <w:rPr>
          <w:rFonts w:ascii="Arial" w:cs="Arial" w:eastAsia="Arial" w:hAnsi="Arial"/>
          <w:sz w:val="16"/>
          <w:szCs w:val="16"/>
          <w:i w:val="1"/>
          <w:iCs w:val="1"/>
          <w:color w:val="auto"/>
        </w:rPr>
        <w:t>Presentation of Financial Statements Going Concern—Disclosure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The amendments require management to assess an entity's ability to continue as a going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w:t>
      </w:r>
    </w:p>
    <w:p>
      <w:pPr>
        <w:spacing w:after="0" w:line="2" w:lineRule="exact"/>
        <w:rPr>
          <w:sz w:val="20"/>
          <w:szCs w:val="20"/>
          <w:color w:val="auto"/>
        </w:rPr>
      </w:pPr>
    </w:p>
    <w:p>
      <w:pPr>
        <w:jc w:val="both"/>
        <w:ind w:firstLine="8"/>
        <w:spacing w:after="0" w:line="253" w:lineRule="auto"/>
        <w:tabs>
          <w:tab w:leader="none" w:pos="2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the Company beginning with its annual report for fiscal 2016 and interim periods thereafter. The Company has not yet determined the effect of the adoption of this standard on the Company's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231"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years ended December 31, 2014, 2013 and 2012 (in thousands, except share and per share amounts):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(29,373)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w w:val="90"/>
              </w:rPr>
              <w:t>Shares used to compute net loss per common share, basic and</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21,639,374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4,158,664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650,333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5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Net loss per common share, basic and diluted</w:t>
            </w:r>
          </w:p>
        </w:tc>
        <w:tc>
          <w:tcPr>
            <w:tcW w:w="38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line="198" w:lineRule="exact"/>
              <w:rPr>
                <w:sz w:val="20"/>
                <w:szCs w:val="20"/>
                <w:color w:val="auto"/>
              </w:rPr>
            </w:pPr>
            <w:r>
              <w:rPr>
                <w:rFonts w:ascii="Arial" w:cs="Arial" w:eastAsia="Arial" w:hAnsi="Arial"/>
                <w:sz w:val="18"/>
                <w:szCs w:val="18"/>
                <w:color w:val="auto"/>
              </w:rPr>
              <w:t>(1.36)</w:t>
            </w:r>
          </w:p>
        </w:tc>
        <w:tc>
          <w:tcPr>
            <w:tcW w:w="240" w:type="dxa"/>
            <w:vAlign w:val="bottom"/>
            <w:gridSpan w:val="2"/>
            <w:shd w:val="clear" w:color="auto" w:fill="CCEEFF"/>
          </w:tcPr>
          <w:p>
            <w:pPr>
              <w:ind w:left="80"/>
              <w:spacing w:after="0" w:line="198"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198" w:lineRule="exact"/>
              <w:rPr>
                <w:sz w:val="20"/>
                <w:szCs w:val="20"/>
                <w:color w:val="auto"/>
              </w:rPr>
            </w:pPr>
            <w:r>
              <w:rPr>
                <w:rFonts w:ascii="Arial" w:cs="Arial" w:eastAsia="Arial" w:hAnsi="Arial"/>
                <w:sz w:val="18"/>
                <w:szCs w:val="18"/>
                <w:color w:val="auto"/>
              </w:rPr>
              <w:t>(6.15)</w:t>
            </w:r>
          </w:p>
        </w:tc>
        <w:tc>
          <w:tcPr>
            <w:tcW w:w="200" w:type="dxa"/>
            <w:vAlign w:val="bottom"/>
            <w:gridSpan w:val="2"/>
            <w:shd w:val="clear" w:color="auto" w:fill="CCEEFF"/>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198" w:lineRule="exact"/>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6"/>
        <w:spacing w:after="0" w:line="268"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for the years ended December 31, 2014 and 2013 because their inclusion would be anti-dilutive: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5980" w:type="dxa"/>
            <w:vAlign w:val="bottom"/>
          </w:tcPr>
          <w:p>
            <w:pPr>
              <w:spacing w:after="0"/>
              <w:rPr>
                <w:sz w:val="14"/>
                <w:szCs w:val="14"/>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3,249,469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2,359,287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of common stock issuable upon exercise of warrants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24,801</w:t>
            </w:r>
          </w:p>
        </w:tc>
      </w:tr>
      <w:tr>
        <w:trPr>
          <w:trHeight w:val="20"/>
        </w:trPr>
        <w:tc>
          <w:tcPr>
            <w:tcW w:w="5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3,249,469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2,384,088</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w:t>
      </w:r>
    </w:p>
    <w:p>
      <w:pPr>
        <w:spacing w:after="0" w:line="231" w:lineRule="exact"/>
        <w:rPr>
          <w:sz w:val="20"/>
          <w:szCs w:val="20"/>
          <w:color w:val="auto"/>
        </w:rPr>
      </w:pPr>
    </w:p>
    <w:p>
      <w:pPr>
        <w:jc w:val="both"/>
        <w:ind w:firstLine="369"/>
        <w:spacing w:after="0" w:line="288" w:lineRule="auto"/>
        <w:rPr>
          <w:sz w:val="20"/>
          <w:szCs w:val="20"/>
          <w:color w:val="auto"/>
        </w:rPr>
      </w:pPr>
      <w:r>
        <w:rPr>
          <w:rFonts w:ascii="Arial" w:cs="Arial" w:eastAsia="Arial" w:hAnsi="Arial"/>
          <w:sz w:val="16"/>
          <w:szCs w:val="16"/>
          <w:color w:val="auto"/>
        </w:rPr>
        <w:t>On September 16, 2014, the Company acquired Allegro via a merger with Full Moon Acquisition, Inc., a wholly-owned subsidiary of the Company. Allegro was a privately-held company based in Maynard, Massachusetts, focused on the development of genomic tests to improve the preoperative diagnosis of lung cancer. Allegro merged with Full Moon, (the "Merger"), with Allegro surviving the Merger as a wholly-owned subsidiary of the Company. At the effective time of the Merger, each share of the common stock of Full Moon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canceled.</w:t>
      </w:r>
    </w:p>
    <w:p>
      <w:pPr>
        <w:spacing w:after="0" w:line="174"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The acquisition of Allegro is expected to accelerate the Company's molecular diagnostics business into the pulmonology diagnostics market. Allegro's lung cancer test is designed to help physicians determine which patients with lung nodules who have had a non-diagnostic bronchoscopy result are at low risk for cancer and can thus be safely monitored with CT scans rather than undergoing invasive procedures. The Company plans to launch its lung cancer test in the middle of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 (Continued)</w:t>
      </w:r>
    </w:p>
    <w:p>
      <w:pPr>
        <w:spacing w:after="0" w:line="2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allocated based on the estimated fair value of the assets acquired and liabilities assumed at the date of the acquisition.</w:t>
      </w:r>
    </w:p>
    <w:p>
      <w:pPr>
        <w:spacing w:after="0" w:line="186"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6"/>
          <w:szCs w:val="16"/>
          <w:color w:val="auto"/>
        </w:rPr>
        <w:t>The Company incurred approximately $0.5 million in acquisition-related costs related to the Merger, which primarily consisted of legal, accounting and valuation-related expenses. In addition, the Company incurred $1.2 million related to transaction bonuses and severance payments to former Allegro employees associated with the Merger. These expenses were recorded in general and administrative expense in the accompanying consolidated statements of operations and comprehensive loss. Total expenses and net loss associated with the acquired Allegro business in the Company's consolidated statements of operations and comprehensive loss were not separately identifiable due to the integration with the Company's operations.</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10,078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17,093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8"/>
          <w:szCs w:val="18"/>
          <w:color w:val="auto"/>
        </w:rPr>
        <w:t>The stock consideration of $10.1 million was determined based on the closing price of the Company's common stock on September 16, 2014 ($10.45 per share).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assets acquired and liabilities assumed at the closing date of the Merger are summarized below (in thousands):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Prepaid expenses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16,000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Accrued liabilities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0"/>
        </w:trPr>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assets acquired</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17,093</w:t>
            </w:r>
          </w:p>
        </w:tc>
      </w:tr>
      <w:tr>
        <w:trPr>
          <w:trHeight w:val="20"/>
        </w:trPr>
        <w:tc>
          <w:tcPr>
            <w:tcW w:w="5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8"/>
        <w:spacing w:after="0" w:line="288" w:lineRule="auto"/>
        <w:rPr>
          <w:sz w:val="20"/>
          <w:szCs w:val="20"/>
          <w:color w:val="auto"/>
        </w:rPr>
      </w:pPr>
      <w:r>
        <w:rPr>
          <w:rFonts w:ascii="Arial" w:cs="Arial" w:eastAsia="Arial" w:hAnsi="Arial"/>
          <w:sz w:val="16"/>
          <w:szCs w:val="16"/>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is subsequently accounted for as an indefinite-lived intangible asset, tested for impairment at least annually, until completion or abandonment of the associated research and development activities. Once complete, amortization of the acquired IPR&amp;D asset into earnings will commence. The Company estimates that the acquired IPR&amp;D asset will have a useful life of less than 20 years after taking into consideration expected use of the asset, legal or regulatory provisions that may limit or extend the life of the asset, as well as the effects of obsolescence and other economic factors.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 (Continued)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Goodwill, which represents the purchase price in excess of the fair value of net assets acquired, is not expected to be deductible for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goodwill is reflective of the value derived from the expected acceleration of the Company's entry into the pulmonology market.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pro forma financial information is based on the historical financial statements of the Company and presents the Company's results as if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Merger had occurred as of January 1, 2013 (in thousands):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7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8"/>
              </w:rPr>
              <w:t>(29,090</w:t>
            </w:r>
          </w:p>
        </w:tc>
        <w:tc>
          <w:tcPr>
            <w:tcW w:w="160" w:type="dxa"/>
            <w:vAlign w:val="bottom"/>
            <w:gridSpan w:val="2"/>
          </w:tcPr>
          <w:p>
            <w:pPr>
              <w:jc w:val="right"/>
              <w:ind w:right="120"/>
              <w:spacing w:after="0"/>
              <w:rPr>
                <w:sz w:val="20"/>
                <w:szCs w:val="20"/>
                <w:color w:val="auto"/>
              </w:rPr>
            </w:pPr>
            <w:r>
              <w:rPr>
                <w:rFonts w:ascii="Arial" w:cs="Arial" w:eastAsia="Arial" w:hAnsi="Arial"/>
                <w:sz w:val="8"/>
                <w:szCs w:val="8"/>
                <w:color w:val="auto"/>
                <w:w w:val="73"/>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94"/>
              </w:rPr>
              <w:t>(28,605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results present the combined historical results of operations with adjustments to reflect one-time charges including:</w:t>
      </w:r>
    </w:p>
    <w:p>
      <w:pPr>
        <w:spacing w:after="0" w:line="239" w:lineRule="exact"/>
        <w:rPr>
          <w:sz w:val="20"/>
          <w:szCs w:val="20"/>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reversal of costs related to transaction bonuses and other payments to employees and acquisition-related expenses directly related to the Merger of $2.2 million for the year ended December 31, 2014;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elimination of interest expense related to Allegro indebtedness of $2.3 million and $4.5 million for the years ended December 31, 2014 and 2013, respectively.</w:t>
      </w:r>
    </w:p>
    <w:p>
      <w:pPr>
        <w:spacing w:after="0" w:line="186" w:lineRule="exact"/>
        <w:rPr>
          <w:sz w:val="20"/>
          <w:szCs w:val="20"/>
          <w:color w:val="auto"/>
        </w:rPr>
      </w:pPr>
    </w:p>
    <w:p>
      <w:pPr>
        <w:ind w:right="20" w:firstLine="429"/>
        <w:spacing w:after="0" w:line="268" w:lineRule="auto"/>
        <w:rPr>
          <w:sz w:val="20"/>
          <w:szCs w:val="20"/>
          <w:color w:val="auto"/>
        </w:rPr>
      </w:pPr>
      <w:r>
        <w:rPr>
          <w:rFonts w:ascii="Arial" w:cs="Arial" w:eastAsia="Arial" w:hAnsi="Arial"/>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6"/>
          </w:tcPr>
          <w:p>
            <w:pPr>
              <w:jc w:val="center"/>
              <w:ind w:right="20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Software, including software developed for internal use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Construction-in-process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at cost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072"/>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 (Continued)</w:t>
      </w:r>
    </w:p>
    <w:p>
      <w:pPr>
        <w:spacing w:after="0" w:line="231" w:lineRule="exact"/>
        <w:rPr>
          <w:sz w:val="20"/>
          <w:szCs w:val="20"/>
          <w:color w:val="auto"/>
        </w:rPr>
      </w:pPr>
    </w:p>
    <w:p>
      <w:pPr>
        <w:jc w:val="both"/>
        <w:ind w:right="20" w:firstLine="409"/>
        <w:spacing w:after="0" w:line="268" w:lineRule="auto"/>
        <w:rPr>
          <w:sz w:val="20"/>
          <w:szCs w:val="20"/>
          <w:color w:val="auto"/>
        </w:rPr>
      </w:pPr>
      <w:r>
        <w:rPr>
          <w:rFonts w:ascii="Arial" w:cs="Arial" w:eastAsia="Arial" w:hAnsi="Arial"/>
          <w:sz w:val="18"/>
          <w:szCs w:val="18"/>
          <w:color w:val="auto"/>
        </w:rPr>
        <w:t>Depreciation and amortization expense was $1,175,000, $999,000 and $706,000 for the years ended December 31, 2014, 2013 and 2012, respectively, and was recorded in the statements of operations and comprehensive loss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2"/>
          </w:tcPr>
          <w:p>
            <w:pPr>
              <w:ind w:left="340"/>
              <w:spacing w:after="0"/>
              <w:rPr>
                <w:sz w:val="20"/>
                <w:szCs w:val="20"/>
                <w:color w:val="auto"/>
              </w:rPr>
            </w:pPr>
            <w:r>
              <w:rPr>
                <w:rFonts w:ascii="Arial" w:cs="Arial" w:eastAsia="Arial" w:hAnsi="Arial"/>
                <w:sz w:val="18"/>
                <w:szCs w:val="18"/>
                <w:color w:val="auto"/>
              </w:rPr>
              <w:t>Accrued liabilities consisted of the following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9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1,962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4,915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31"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(Continued)</w:t>
      </w:r>
    </w:p>
    <w:p>
      <w:pPr>
        <w:spacing w:after="0" w:line="245"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fair value of the Company's financial assets, which consist only of money market funds, was $33.2 million and $70.0 million as of December 31, 2014 and December 31, 2013, respectively, and are Level I assets as described above.</w:t>
      </w:r>
    </w:p>
    <w:p>
      <w:pPr>
        <w:spacing w:after="0" w:line="186" w:lineRule="exact"/>
        <w:rPr>
          <w:sz w:val="20"/>
          <w:szCs w:val="20"/>
          <w:color w:val="auto"/>
        </w:rPr>
      </w:pPr>
    </w:p>
    <w:p>
      <w:pPr>
        <w:jc w:val="both"/>
        <w:ind w:firstLine="404"/>
        <w:spacing w:after="0" w:line="332" w:lineRule="auto"/>
        <w:rPr>
          <w:sz w:val="20"/>
          <w:szCs w:val="20"/>
          <w:color w:val="auto"/>
        </w:rPr>
      </w:pPr>
      <w:r>
        <w:rPr>
          <w:rFonts w:ascii="Arial" w:cs="Arial" w:eastAsia="Arial" w:hAnsi="Arial"/>
          <w:sz w:val="16"/>
          <w:szCs w:val="16"/>
          <w:color w:val="auto"/>
        </w:rPr>
        <w:t>The Company has no Level III liabilities as of December 31, 2014 and 2013. The following table sets forth the changes in the fair value of the Company's Level III financial liabilities, which consisted of a preferred stock liability during 2013, which were measured on a recurring basis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Change in fair value of preferred stock liability recorded as other expense, net</w:t>
            </w: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2,070</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preferred stock liability</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(2,653)</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Fair value of preferred stock warrant liability</w:t>
            </w:r>
          </w:p>
        </w:tc>
        <w:tc>
          <w:tcPr>
            <w:tcW w:w="16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Change in fair value of preferred stock warrant liability recorded as other expense, net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Conversion of preferred stock warrant liability</w:t>
            </w:r>
          </w:p>
        </w:tc>
        <w:tc>
          <w:tcPr>
            <w:tcW w:w="1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0"/>
        </w:trPr>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held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The Company leases its headquarters and South San Francisco laboratory facilities under a non-cancelable lease agreement that expires March 31, 2016.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consolidated balance sheets as of December 31, 2014 and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231"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The Company also leases laboratory space in Austin, Texas. The lease expires on July 31, 2018. The Company provided a cash security deposit of $75,000, which is included in other assets in the Company's consolidated balance sheets as of December 31, 2014 and 2013.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non-cancelable operating leases as of December 31, 2014 are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5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2016</w:t>
            </w: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$852,000, $840,000 and $711,000 for the years ended December 31, 2014, 2013 and 2012,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jc w:val="both"/>
        <w:ind w:firstLine="429"/>
        <w:spacing w:after="0" w:line="268" w:lineRule="auto"/>
        <w:rPr>
          <w:sz w:val="20"/>
          <w:szCs w:val="20"/>
          <w:color w:val="auto"/>
        </w:rPr>
      </w:pPr>
      <w:r>
        <w:rPr>
          <w:rFonts w:ascii="Arial" w:cs="Arial" w:eastAsia="Arial" w:hAnsi="Arial"/>
          <w:sz w:val="18"/>
          <w:szCs w:val="18"/>
          <w:color w:val="auto"/>
        </w:rPr>
        <w:t>The Company had a non-cancelable purchase commitment with two suppliers to purchase a minimum quantity of supplies for approximately $715,000 at December 31, 2014, all of which is expected to be paid in early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520"/>
        <w:spacing w:after="0" w:line="33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31" w:lineRule="exact"/>
        <w:rPr>
          <w:sz w:val="20"/>
          <w:szCs w:val="20"/>
          <w:color w:val="auto"/>
        </w:rPr>
      </w:pPr>
    </w:p>
    <w:p>
      <w:pPr>
        <w:jc w:val="both"/>
        <w:ind w:firstLine="429"/>
        <w:spacing w:after="0" w:line="318" w:lineRule="auto"/>
        <w:rPr>
          <w:sz w:val="20"/>
          <w:szCs w:val="20"/>
          <w:color w:val="auto"/>
        </w:rPr>
      </w:pPr>
      <w:r>
        <w:rPr>
          <w:rFonts w:ascii="Arial" w:cs="Arial" w:eastAsia="Arial" w:hAnsi="Arial"/>
          <w:sz w:val="15"/>
          <w:szCs w:val="15"/>
          <w:color w:val="auto"/>
        </w:rPr>
        <w:t>In June 2013, the Company entered into a loan and security agreement ("Original Loan") with a financial institution to fund its working capital and other general corporate needs.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was due in full in June 2017. The Original Loan had an interest rate of 6.06% per annum, carried prepayment penalties of 2.25% and 1.50% for prepayment within one and two years, respectively, and 0.75% thereafter.</w:t>
      </w:r>
    </w:p>
    <w:p>
      <w:pPr>
        <w:spacing w:after="0" w:line="154"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color w:val="auto"/>
        </w:rPr>
        <w:t>In December 2014, the Company amended certain terms and conditions of the Original Loan ("Amended Loan"). The Amended Loan provides for term loans of up to $15.0 million in aggregate,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 The second $5.0 million tranche under the Amended Loan is available through December 31, 2015 and the Company may borrow the third $5.0 million tranche any time through June 30, 2016 after achieving the third tranche revenue milestone as defined in the Amended Loan.</w:t>
      </w:r>
    </w:p>
    <w:p>
      <w:pPr>
        <w:spacing w:after="0" w:line="174"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auto"/>
        </w:rPr>
        <w:t>The carrying value of the debt approximates its fair value because the interest rate approximates market rates that the Company could obtain for debt with similar terms. Under the Amended Loan borrowing, the Company is required to repay the outstanding principal in 24 equal installments beginning 24 months after the date of the borrowing and is due in full in December 2018. The first tranche of the Amended Loan bears interest at a rate of 5.00% per annum. The Amended Loan carries prepayment penalties of 2.00% and 1.00% for prepayment within one and two years, respectively, and no prepayment penalty thereafter. In connection with the Amended Loan, the Company paid approximately $45,000 in third-party fees.</w:t>
      </w:r>
    </w:p>
    <w:p>
      <w:pPr>
        <w:spacing w:after="0" w:line="170" w:lineRule="exact"/>
        <w:rPr>
          <w:sz w:val="20"/>
          <w:szCs w:val="20"/>
          <w:color w:val="auto"/>
        </w:rPr>
      </w:pPr>
    </w:p>
    <w:p>
      <w:pPr>
        <w:jc w:val="both"/>
        <w:ind w:right="20" w:firstLine="411"/>
        <w:spacing w:after="0" w:line="268" w:lineRule="auto"/>
        <w:rPr>
          <w:sz w:val="20"/>
          <w:szCs w:val="20"/>
          <w:color w:val="auto"/>
        </w:rPr>
      </w:pPr>
      <w:r>
        <w:rPr>
          <w:rFonts w:ascii="Arial" w:cs="Arial" w:eastAsia="Arial" w:hAnsi="Arial"/>
          <w:sz w:val="18"/>
          <w:szCs w:val="18"/>
          <w:color w:val="auto"/>
        </w:rPr>
        <w:t xml:space="preserve">The Amended Loan results in a debt modification under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as the change in present value of the remaining cash flows associated with the Original Loan and Amended Loan are not substantial.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and 2013, the net debt obligation was as follows (in thousands):</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and unpaid accrued end-of term payment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Unamorized note discount</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color w:val="auto"/>
              </w:rPr>
              <w:t>Future principal payments under the Amended Loan are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780" w:type="dxa"/>
            <w:vAlign w:val="bottom"/>
            <w:gridSpan w:val="3"/>
          </w:tcPr>
          <w:p>
            <w:pPr>
              <w:ind w:left="136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2016</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2018</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The obligation at December 31, 2014 includes an end-of-term payment of $237,500, representing 4.75% of the total outstanding principal balance, which accretes over the life of the loan as interest expense. As a result of the debt discount and the end-of-term payment, the effective interest rate for the loan differs from the contractual 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debt was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End-of-term payment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0"/>
        </w:trPr>
        <w:tc>
          <w:tcPr>
            <w:tcW w:w="666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Upon execution of the Original Loan, the Company issued the financial institution a warrant to purchase shares of Series C convertible preferred stock at $7.56 per share. At the time of issuance, the aggregate fair value of the warrant for the 24,801 shares exercisable under the warrant was $175,000. The fair value of the warrant was deducted from total proceeds, resulting in a debt discount to be amortized to interest expense over 48 months, through the maturity date of the Original Loan, using the effective interest rate method, and was recorded as a preferred stock warrant liability. The warrant was converted to a warrant to purchase the Company's common stock upon the completion of the Company's IPO. See Note 9.</w:t>
      </w:r>
    </w:p>
    <w:p>
      <w:pPr>
        <w:spacing w:after="0" w:line="170"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auto"/>
        </w:rPr>
        <w:t>The Company's obligations under the Amended Loan are secured by a security interest in substantially all of its assets, excluding its intellectual property and certain other assets. The Amended Loan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Amended Loan also allows the lender to call the debt in the event there is a material adverse change in the Company's business or financial condition. The Company is required to be in compliance with a minimum liquidity or minimum revenue covenant. As of December 31, 2014, the Company was in compliance with the financial covenants.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231"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auto"/>
        </w:rPr>
        <w:t>In June 2013, in conjunction with the execution of the Original Loan, as discussed in Note 8, the Company issued to the lender a warrant to purchase up to 49,602 shares of Series C convertible preferred stock with an exercise price of $7.56 per share. Upon the draw-down of the $5.0 million term loan, the related warrant became exercisable for 24,801 shares. In November 2013, in connection with the Company's IPO, the warrant automatically became exercisable for 24,801 shares at an exercise price of $7.56 per share. The lender exercised the warrant with respect to 24,801 shares through a cashless exercise in March 2014, resulting in the issuance of 13,739 shares of the Company's common stock.</w:t>
      </w:r>
    </w:p>
    <w:p>
      <w:pPr>
        <w:spacing w:after="0" w:line="170" w:lineRule="exact"/>
        <w:rPr>
          <w:sz w:val="20"/>
          <w:szCs w:val="20"/>
          <w:color w:val="auto"/>
        </w:rPr>
      </w:pPr>
    </w:p>
    <w:p>
      <w:pPr>
        <w:jc w:val="both"/>
        <w:ind w:firstLine="430"/>
        <w:spacing w:after="0" w:line="298" w:lineRule="auto"/>
        <w:rPr>
          <w:sz w:val="20"/>
          <w:szCs w:val="20"/>
          <w:color w:val="auto"/>
        </w:rPr>
      </w:pPr>
      <w:r>
        <w:rPr>
          <w:rFonts w:ascii="Arial" w:cs="Arial" w:eastAsia="Arial" w:hAnsi="Arial"/>
          <w:sz w:val="16"/>
          <w:szCs w:val="16"/>
          <w:color w:val="auto"/>
        </w:rPr>
        <w:t>The fair value of the then currently exercisable portion of the warrant in the amount of $175,000 was recorded as a preferred stock warrant liability upon issuance and was subject to re-measurement at each reporting period up to the closing date of the IPO when the Series C preferred stock converted into common stock. The fair value of the warrant upon issuance was calculated using the Black-Scholes option-pricing model with the following assumptions: Series C preferred stock value of $2.40 per share, contractual term of 7.3 years, risk-free interest rate of 2.1%, expected volatility of 73.7%, and expected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 Warrant (Continued)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 yield of 0%. Just prior to the closing of the IPO, the fair value of the warrant was approximately $261,000, and was calculated using the Black-Scholes option-pricing model with the following assumptions: Series C preferred stock value of $13.14 per share, contractual term of 7.0 years, risk-free interest rate of 2.0%, expected volatility of 81.4%, and expected dividend yield of 0%. The change in the fair value of approximately $86,000 was reported as an expense for the year ended December 31, 2013 and was included in other income (expense), net, in the statements of operations and comprehensive loss. The warrant was converted into a warrant to purchase common stock upon the completion of the IPO in 2013, and was reclassified to additional paid- in-capital in the Company's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2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November 2012, the Company recorded a preferred stock liability as the investors received the right to purchase from the Company, on the same terms, additional shares of Series C convertible preferred stock, in a second tranche. As the investors held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the $0.3 million valuation decrease to other income (expense), net, in the Company's statements of operations and comprehensive loss. In June 2013, the Company revalued the preferred stock liability to $2.7 million and recorded the $2.1 million valuation increase to other income (expense), net, in the Company's consolidated statements of operations and comprehensive loss. In June 2013, the $2.7 million liability was settled upon the issuance of the second tranche of Series C convertible preferred stock and was reclassified to additional paid-in-capital in the Company's consolidated balance sheets.</w:t>
      </w:r>
    </w:p>
    <w:p>
      <w:pPr>
        <w:spacing w:after="0" w:line="177"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8"/>
          <w:szCs w:val="18"/>
          <w:color w:val="auto"/>
        </w:rPr>
        <w:t>On November 4, 2013, the Company completed its IPO. In connection with the IPO, the Company's 59,989,268 outstanding shares of convertible preferred stock were automatically converted into 14,997,312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and 2013, the Company had reserved shares of common stock for issuance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74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3,249,469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2,359,287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1,341,252</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1,787,802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issued and outstanding</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24,801</w:t>
            </w: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4,590,721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4,171,890</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December 31, 2014 or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ind w:firstLine="368"/>
        <w:spacing w:after="0" w:line="286" w:lineRule="auto"/>
        <w:rPr>
          <w:sz w:val="20"/>
          <w:szCs w:val="20"/>
          <w:color w:val="auto"/>
        </w:rPr>
      </w:pPr>
      <w:r>
        <w:rPr>
          <w:rFonts w:ascii="Arial" w:cs="Arial" w:eastAsia="Arial" w:hAnsi="Arial"/>
          <w:sz w:val="16"/>
          <w:szCs w:val="16"/>
          <w:color w:val="auto"/>
        </w:rPr>
        <w:t>In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 Options granted to newly hired employees generally vest over four years (generally 25% after one year and monthly thereafter). Options granted to employees as part of annual bonus compensation are generally fully vested at the grant date.</w:t>
      </w:r>
    </w:p>
    <w:p>
      <w:pPr>
        <w:spacing w:after="0" w:line="181"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auto"/>
        </w:rPr>
        <w:t>On October 2, 2013, the Company adopted the 2013 Stock Incentive Plan (the "2013 Plan"). The 2013 Plan was subsequently approved by the Company's stockholders and became effective on November 4, 2013, immediately before the closing of the Company's IPO. Following the effectiveness of the 2013 Plan, no additional options will be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2014, 1,341,252 shares were available for future issuance under the 2013 Plan.</w:t>
      </w:r>
    </w:p>
    <w:p>
      <w:pPr>
        <w:spacing w:after="0" w:line="194" w:lineRule="exact"/>
        <w:rPr>
          <w:sz w:val="20"/>
          <w:szCs w:val="20"/>
          <w:color w:val="auto"/>
        </w:rPr>
      </w:pPr>
    </w:p>
    <w:p>
      <w:pPr>
        <w:jc w:val="both"/>
        <w:ind w:firstLine="495"/>
        <w:spacing w:after="0" w:line="268" w:lineRule="auto"/>
        <w:rPr>
          <w:sz w:val="20"/>
          <w:szCs w:val="20"/>
          <w:color w:val="auto"/>
        </w:rPr>
      </w:pPr>
      <w:r>
        <w:rPr>
          <w:rFonts w:ascii="Arial" w:cs="Arial" w:eastAsia="Arial" w:hAnsi="Arial"/>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86"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97"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Twenty-five percent of the shares subject to the initial option will vest and become exercisable on the first anniversary of the date of grant. The balance (</w:t>
      </w:r>
      <w:r>
        <w:rPr>
          <w:rFonts w:ascii="Arial" w:cs="Arial" w:eastAsia="Arial" w:hAnsi="Arial"/>
          <w:sz w:val="16"/>
          <w:szCs w:val="16"/>
          <w:i w:val="1"/>
          <w:iCs w:val="1"/>
          <w:color w:val="auto"/>
        </w:rPr>
        <w:t>i.e.</w:t>
      </w:r>
      <w:r>
        <w:rPr>
          <w:rFonts w:ascii="Arial" w:cs="Arial" w:eastAsia="Arial" w:hAnsi="Arial"/>
          <w:sz w:val="16"/>
          <w:szCs w:val="16"/>
          <w:color w:val="auto"/>
        </w:rPr>
        <w:t xml:space="preserve"> the remaining 75%) will vest and become exercisable over three years in equal monthly installments.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Available</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1,429,737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Additional options 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743,100</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(931,944)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900" w:type="dxa"/>
            <w:vAlign w:val="bottom"/>
          </w:tcPr>
          <w:p>
            <w:pPr>
              <w:jc w:val="right"/>
              <w:spacing w:after="0"/>
              <w:rPr>
                <w:sz w:val="20"/>
                <w:szCs w:val="20"/>
                <w:color w:val="auto"/>
              </w:rPr>
            </w:pPr>
            <w:r>
              <w:rPr>
                <w:rFonts w:ascii="Arial" w:cs="Arial" w:eastAsia="Arial" w:hAnsi="Arial"/>
                <w:sz w:val="18"/>
                <w:szCs w:val="18"/>
                <w:color w:val="auto"/>
              </w:rPr>
              <w:t>61,269</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(61,269)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Balance—December 31, 2012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347,386</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2,227,669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options authorized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(695,029)</w:t>
            </w:r>
          </w:p>
        </w:tc>
        <w:tc>
          <w:tcPr>
            <w:tcW w:w="1000" w:type="dxa"/>
            <w:vAlign w:val="bottom"/>
          </w:tcPr>
          <w:p>
            <w:pPr>
              <w:jc w:val="right"/>
              <w:spacing w:after="0"/>
              <w:rPr>
                <w:sz w:val="20"/>
                <w:szCs w:val="20"/>
                <w:color w:val="auto"/>
              </w:rPr>
            </w:pPr>
            <w:r>
              <w:rPr>
                <w:rFonts w:ascii="Arial" w:cs="Arial" w:eastAsia="Arial" w:hAnsi="Arial"/>
                <w:sz w:val="18"/>
                <w:szCs w:val="18"/>
                <w:color w:val="auto"/>
              </w:rPr>
              <w:t>695,029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(185,445)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(377,966)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1,787,802</w:t>
            </w: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Additional options 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845,732</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(1,488,492)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Canceled</w:t>
            </w:r>
          </w:p>
        </w:tc>
        <w:tc>
          <w:tcPr>
            <w:tcW w:w="900" w:type="dxa"/>
            <w:vAlign w:val="bottom"/>
          </w:tcPr>
          <w:p>
            <w:pPr>
              <w:jc w:val="right"/>
              <w:spacing w:after="0"/>
              <w:rPr>
                <w:sz w:val="20"/>
                <w:szCs w:val="20"/>
                <w:color w:val="auto"/>
              </w:rPr>
            </w:pPr>
            <w:r>
              <w:rPr>
                <w:rFonts w:ascii="Arial" w:cs="Arial" w:eastAsia="Arial" w:hAnsi="Arial"/>
                <w:sz w:val="18"/>
                <w:szCs w:val="18"/>
                <w:color w:val="auto"/>
              </w:rPr>
              <w:t>196,210</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(196,210)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(402,100)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Balance—December 31, 2014</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1,341,252</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3,249,469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Options vested and exercisable—December 31,</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1,370,944</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December 31, 2014</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3,092,476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12,295</w:t>
            </w:r>
          </w:p>
        </w:tc>
        <w:tc>
          <w:tcPr>
            <w:tcW w:w="160" w:type="dxa"/>
            <w:vAlign w:val="bottom"/>
          </w:tcPr>
          <w:p>
            <w:pPr>
              <w:spacing w:after="0"/>
              <w:rPr>
                <w:sz w:val="19"/>
                <w:szCs w:val="19"/>
                <w:color w:val="auto"/>
              </w:rPr>
            </w:pPr>
          </w:p>
        </w:tc>
      </w:tr>
    </w:tbl>
    <w:p>
      <w:pPr>
        <w:spacing w:after="0" w:line="210" w:lineRule="exact"/>
        <w:rPr>
          <w:sz w:val="20"/>
          <w:szCs w:val="20"/>
          <w:color w:val="auto"/>
        </w:rPr>
      </w:pPr>
    </w:p>
    <w:p>
      <w:pPr>
        <w:jc w:val="both"/>
        <w:ind w:right="20" w:firstLine="375"/>
        <w:spacing w:after="0" w:line="332" w:lineRule="auto"/>
        <w:rPr>
          <w:sz w:val="20"/>
          <w:szCs w:val="20"/>
          <w:color w:val="auto"/>
        </w:rPr>
      </w:pPr>
      <w:r>
        <w:rPr>
          <w:rFonts w:ascii="Arial" w:cs="Arial" w:eastAsia="Arial" w:hAnsi="Arial"/>
          <w:sz w:val="16"/>
          <w:szCs w:val="16"/>
          <w:color w:val="auto"/>
        </w:rPr>
        <w:t>The aggregate intrinsic value was calculated as the difference between the exercise price of the options to purchase common stock and the fair market value of the Company's common stock, which was $9.66 per share as of December 31, 2014 and $14.50 per share as of December 31, 2013.</w:t>
      </w:r>
    </w:p>
    <w:p>
      <w:pPr>
        <w:spacing w:after="0" w:line="139"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The weighted average fair value of options to purchase common stock granted was $9.08, $4.19 and $1.95 for the years ended December 31, 2014, 2013 and 2012, respectively.</w:t>
      </w:r>
    </w:p>
    <w:p>
      <w:pPr>
        <w:spacing w:after="0" w:line="186"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The weighted average fair value of stock options vested was $3.07, $2.12 and $1.40 per share for the years ended December 31, 2014, 2013 and 2012, respectively. The aggregate estimated grant date fair value of employee options to purchase common stock vested during the years ended December 31, 2014 and 2013 was $1.6 million and $1.3 million, respectively.</w:t>
      </w:r>
    </w:p>
    <w:p>
      <w:pPr>
        <w:spacing w:after="0" w:line="194"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The weighted-average fair value of stock options exercised was $1.18 and $0.97 for the years ended December 31, 2014 and 2013, respectively. The intrinsic value of stock options exercised was $3.2 million, $4.9 million and $0.2 million for the years ended December 31, 2014, 2013 and 2012,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366"/>
        <w:spacing w:after="0" w:line="268" w:lineRule="auto"/>
        <w:rPr>
          <w:sz w:val="20"/>
          <w:szCs w:val="20"/>
          <w:color w:val="auto"/>
        </w:rPr>
      </w:pPr>
      <w:r>
        <w:rPr>
          <w:rFonts w:ascii="Arial" w:cs="Arial" w:eastAsia="Arial" w:hAnsi="Arial"/>
          <w:sz w:val="18"/>
          <w:szCs w:val="18"/>
          <w:color w:val="auto"/>
        </w:rPr>
        <w:t>The following table summarizes stock-based compensation expense related to stock options for the years ended December 31, 2014, 2013 and 2012, and are included in the consolidated statements of operations and comprehensive loss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4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r>
      <w:tr>
        <w:trPr>
          <w:trHeight w:val="20"/>
        </w:trPr>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r>
      <w:tr>
        <w:trPr>
          <w:trHeight w:val="20"/>
        </w:trPr>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76"/>
        <w:spacing w:after="0" w:line="268" w:lineRule="auto"/>
        <w:rPr>
          <w:sz w:val="20"/>
          <w:szCs w:val="20"/>
          <w:color w:val="auto"/>
        </w:rPr>
      </w:pPr>
      <w:r>
        <w:rPr>
          <w:rFonts w:ascii="Arial" w:cs="Arial" w:eastAsia="Arial" w:hAnsi="Arial"/>
          <w:sz w:val="18"/>
          <w:szCs w:val="18"/>
          <w:color w:val="auto"/>
        </w:rPr>
        <w:t>As of December 31, 2014, the Company had $9.9 million of unrecognized compensation expense related to unvested stock options, which is expected to be recognized over an estimated weighted-average period of 3.0 years.</w:t>
      </w:r>
    </w:p>
    <w:p>
      <w:pPr>
        <w:spacing w:after="0" w:line="186" w:lineRule="exact"/>
        <w:rPr>
          <w:sz w:val="20"/>
          <w:szCs w:val="20"/>
          <w:color w:val="auto"/>
        </w:rPr>
      </w:pPr>
    </w:p>
    <w:p>
      <w:pPr>
        <w:ind w:firstLine="548"/>
        <w:spacing w:after="0" w:line="268"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7"/>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70.19</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- 78.54%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- 81.41%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82.07</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- 84.33%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5.50 - 6.08</w:t>
            </w:r>
          </w:p>
        </w:tc>
        <w:tc>
          <w:tcPr>
            <w:tcW w:w="1340" w:type="dxa"/>
            <w:vAlign w:val="bottom"/>
            <w:gridSpan w:val="4"/>
          </w:tcPr>
          <w:p>
            <w:pPr>
              <w:jc w:val="center"/>
              <w:ind w:left="97"/>
              <w:spacing w:after="0"/>
              <w:rPr>
                <w:sz w:val="20"/>
                <w:szCs w:val="20"/>
                <w:color w:val="auto"/>
              </w:rPr>
            </w:pPr>
            <w:r>
              <w:rPr>
                <w:rFonts w:ascii="Arial" w:cs="Arial" w:eastAsia="Arial" w:hAnsi="Arial"/>
                <w:sz w:val="18"/>
                <w:szCs w:val="18"/>
                <w:color w:val="auto"/>
                <w:w w:val="88"/>
              </w:rPr>
              <w:t>5.00 - 6.08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5.00 - 6.08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- 1.19%</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700" w:type="dxa"/>
            <w:vAlign w:val="bottom"/>
          </w:tcPr>
          <w:p>
            <w:pPr>
              <w:jc w:val="center"/>
              <w:ind w:right="35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center"/>
              <w:ind w:right="62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ind w:firstLine="452"/>
        <w:spacing w:after="0" w:line="268" w:lineRule="auto"/>
        <w:rPr>
          <w:sz w:val="20"/>
          <w:szCs w:val="20"/>
          <w:color w:val="auto"/>
        </w:rPr>
      </w:pPr>
      <w:r>
        <w:rPr>
          <w:rFonts w:ascii="Arial" w:cs="Arial" w:eastAsia="Arial" w:hAnsi="Arial"/>
          <w:sz w:val="18"/>
          <w:szCs w:val="18"/>
          <w:color w:val="auto"/>
        </w:rPr>
        <w:t>The estimated grant-date fair value of non-employee stock options was calculated using the Black-Scholes option-pricing model, based on the following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7"/>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2012</w:t>
            </w: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73.20</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- 74.48%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- 78.14%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81.14</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- 82.11%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8.75 - 10.00</w:t>
            </w:r>
          </w:p>
        </w:tc>
        <w:tc>
          <w:tcPr>
            <w:tcW w:w="1340" w:type="dxa"/>
            <w:vAlign w:val="bottom"/>
            <w:gridSpan w:val="4"/>
          </w:tcPr>
          <w:p>
            <w:pPr>
              <w:jc w:val="center"/>
              <w:ind w:left="97"/>
              <w:spacing w:after="0"/>
              <w:rPr>
                <w:sz w:val="20"/>
                <w:szCs w:val="20"/>
                <w:color w:val="auto"/>
              </w:rPr>
            </w:pPr>
            <w:r>
              <w:rPr>
                <w:rFonts w:ascii="Arial" w:cs="Arial" w:eastAsia="Arial" w:hAnsi="Arial"/>
                <w:sz w:val="18"/>
                <w:szCs w:val="18"/>
                <w:color w:val="auto"/>
                <w:w w:val="88"/>
              </w:rPr>
              <w:t>7.72 - 9.75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8.23 - 9.93</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- 2.20%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- 1.77%</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700" w:type="dxa"/>
            <w:vAlign w:val="bottom"/>
          </w:tcPr>
          <w:p>
            <w:pPr>
              <w:jc w:val="center"/>
              <w:ind w:right="35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3"/>
          </w:tcPr>
          <w:p>
            <w:pPr>
              <w:jc w:val="center"/>
              <w:ind w:right="62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firstLine="364"/>
        <w:spacing w:after="0" w:line="332" w:lineRule="auto"/>
        <w:rPr>
          <w:sz w:val="20"/>
          <w:szCs w:val="20"/>
          <w:color w:val="auto"/>
        </w:rPr>
      </w:pPr>
      <w:r>
        <w:rPr>
          <w:rFonts w:ascii="Arial" w:cs="Arial" w:eastAsia="Arial" w:hAnsi="Arial"/>
          <w:sz w:val="16"/>
          <w:szCs w:val="16"/>
          <w:color w:val="auto"/>
        </w:rPr>
        <w:t>In February 2013, the Company's Board of Directors authorized the grant of 100,498 fully vested stock options at a fair value of $2.59, determined using the Black-Scholes option-pricing valuation model, resulting in a $259,000 expense in the year ended December 31, 2012. Upon issuance of the options,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accrued liability was reclassified into additional paid-in capital. For the years ended December 31, 2014 and 2013, the Company paid executive bonuses only in the form of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Genzyme Co-Promotion Agreement</w:t>
      </w:r>
    </w:p>
    <w:p>
      <w:pPr>
        <w:spacing w:after="0" w:line="231"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 Genzyme's obligation to also spend up to $500,000 for qualifying clinical development activities in countries that require additional testing for approval expired in July 2014.</w:t>
      </w:r>
    </w:p>
    <w:p>
      <w:pPr>
        <w:spacing w:after="0" w:line="174" w:lineRule="exact"/>
        <w:rPr>
          <w:sz w:val="20"/>
          <w:szCs w:val="20"/>
          <w:color w:val="auto"/>
        </w:rPr>
      </w:pPr>
    </w:p>
    <w:p>
      <w:pPr>
        <w:jc w:val="both"/>
        <w:ind w:firstLine="414"/>
        <w:spacing w:after="0" w:line="289" w:lineRule="auto"/>
        <w:rPr>
          <w:sz w:val="20"/>
          <w:szCs w:val="20"/>
          <w:color w:val="auto"/>
        </w:rPr>
      </w:pPr>
      <w:r>
        <w:rPr>
          <w:rFonts w:ascii="Arial" w:cs="Arial" w:eastAsia="Arial" w:hAnsi="Arial"/>
          <w:sz w:val="16"/>
          <w:szCs w:val="16"/>
          <w:color w:val="auto"/>
        </w:rPr>
        <w:t>On August 12, 2014, the Company signed a binding Letter of Agreement with Genzyme to amend terms of the co-promotion agreement. On November 7, 2014, the Company signed an Amended and Restated U.S. Co-Promotion Agreement ("Amended Agreement") with Genzyme. Under the Amended Agreement, the co-promotion fees Genzyme will receive as a percentage of U.S. cash receipts were reduced from 32% to 15% beginning January 1, 2015. Through August 11, 2014, the Company amortized the $10.0 million upfront co-promotion fee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w:t>
      </w:r>
    </w:p>
    <w:p>
      <w:pPr>
        <w:spacing w:after="0" w:line="172"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auto"/>
        </w:rPr>
        <w:t>On November 7, 2014, the Company signed a binding Letter of Agreement (the "LOA") with Genzyme to negotiate a potential co-promotion agreement to promote Afirma GEC in countries other than the United States. The LOA provided an exclusive negotiation period to attempt to negotiate in good faith until December 12, 2014 a mutually agreeable co-promotion agreement ("Ex-U.S. Co-Promotion Agreement") pursuant to which the companies could co-promote the test in six initial countries. During such exclusive negotiation period, both parties were prohibited from negotiating with any third party with respect to those six countries. On December 12, 2014 the parties amended the LOA to extend the exclusive negotiation period from December 12, 2014 to January 31, 2015. During the extended period, the terms of the original co-promotion agreement with respect to countries outside the U.S. would remain in effect, including the payment to Genzyme of 32% of net revenues received by the Company on the test in countries outside the U.S. On January 30, 2015 the parties further amended the LOA to extend the exclusive negotiation period to February 14, 2015.</w:t>
      </w:r>
    </w:p>
    <w:p>
      <w:pPr>
        <w:spacing w:after="0" w:line="172" w:lineRule="exact"/>
        <w:rPr>
          <w:sz w:val="20"/>
          <w:szCs w:val="20"/>
          <w:color w:val="auto"/>
        </w:rPr>
      </w:pPr>
    </w:p>
    <w:p>
      <w:pPr>
        <w:jc w:val="both"/>
        <w:ind w:right="20" w:firstLine="369"/>
        <w:spacing w:after="0" w:line="332" w:lineRule="auto"/>
        <w:rPr>
          <w:sz w:val="20"/>
          <w:szCs w:val="20"/>
          <w:color w:val="auto"/>
        </w:rPr>
      </w:pPr>
      <w:r>
        <w:rPr>
          <w:rFonts w:ascii="Arial" w:cs="Arial" w:eastAsia="Arial" w:hAnsi="Arial"/>
          <w:sz w:val="16"/>
          <w:szCs w:val="16"/>
          <w:color w:val="auto"/>
        </w:rPr>
        <w:t>On February 13, 2015, the Company signed an Ex-U.S. Co-Promotion Agreement with Genzyme for the promotion of the Afirma GEC test with exclusivity in five countries outside the United States initially and in other countries agreed to from time to time. See Note 18, Subsequent Event.</w:t>
      </w:r>
    </w:p>
    <w:p>
      <w:pPr>
        <w:spacing w:after="0" w:line="139"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The Company incurred $12.0 million, $8.6 million and $5.5 million in co-promotion expense in the years ended December 31, 2014, 2013 and 2012, respectively, which is included in selling and marketing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Genzyme Co-Promotion Agreement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expenses in the consolidated statements of operations and comprehensive loss. The Company's outstanding obligation to Genzyme totaled $6.0 million and $6.7 million at December 31, 2014 and December 31, 2013, respectively. Of the $6.0 million obligation at December 31, 2014, $2.7 million is included in accounts payable and $3.3 million is included in accrued liabilities in the Company's consolidated balance sheets. Of the $6.7 million obligation at December 31, 2013, $1.8 million is included in accounts payable and $4.9 million is included in accrued liabilities in the Company's consolidated balance sheets.</w:t>
      </w:r>
    </w:p>
    <w:p>
      <w:pPr>
        <w:spacing w:after="0" w:line="16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The Company amortized $2.3 million, $2.5 million and $2.4 million of the $10.0 million up-front co-promotion fee in the years ended December 31, 2014, 2013 and 2012, respectively, which is reflected as a reduction to selling and marketing expenses in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Thyroid Cytopathology Partners</w:t>
      </w:r>
    </w:p>
    <w:p>
      <w:pPr>
        <w:spacing w:after="0" w:line="231" w:lineRule="exact"/>
        <w:rPr>
          <w:sz w:val="20"/>
          <w:szCs w:val="20"/>
          <w:color w:val="auto"/>
        </w:rPr>
      </w:pPr>
    </w:p>
    <w:p>
      <w:pPr>
        <w:jc w:val="both"/>
        <w:ind w:firstLine="504"/>
        <w:spacing w:after="0" w:line="290"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pacing w:after="0" w:line="172" w:lineRule="exact"/>
        <w:rPr>
          <w:sz w:val="20"/>
          <w:szCs w:val="20"/>
          <w:color w:val="auto"/>
        </w:rPr>
      </w:pPr>
    </w:p>
    <w:p>
      <w:pPr>
        <w:jc w:val="both"/>
        <w:ind w:firstLine="361"/>
        <w:spacing w:after="0" w:line="291" w:lineRule="auto"/>
        <w:rPr>
          <w:sz w:val="20"/>
          <w:szCs w:val="20"/>
          <w:color w:val="auto"/>
        </w:rPr>
      </w:pPr>
      <w:r>
        <w:rPr>
          <w:rFonts w:ascii="Arial" w:cs="Arial" w:eastAsia="Arial" w:hAnsi="Arial"/>
          <w:sz w:val="16"/>
          <w:szCs w:val="16"/>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consolidated statements of operations and comprehensive loss. The Company incurred $4.0 million, $3.2 million and $1.8 million in the years ended December 31, 2014, 2013 and 2012, respectively, in cytopathology testing and evaluation services expenses with TCP. The Company's outstanding obligations to TCP for cytopathology testing services were $1.1 million and $0.6 million as of December 31, 2014 and 2013, respectively, and are included in accounts payable in the Company's consolidated balance sheets.</w:t>
      </w:r>
    </w:p>
    <w:p>
      <w:pPr>
        <w:spacing w:after="0" w:line="174"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TCP reimburses the Company for a proportionate share of the Company's rent and related operating expense costs for the leased facility. TCP's portion of rent and related operating expense costs for the shared space at the Austin, Texas facility was $86,000 and $49,000 for the years ended December 31, 2014 and 2013. TCP reimbursed the Company $59,000 in 2013 and the resulting excess payment of $10,000 was included in accounts payable in the Company's consolidated balance sheets at December 31,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The Company generated a pretax loss of $29.4 million, $25.6 million and $18.6 million in the United States for the years ended December 31, 2014, 2013 and 2012, respectively. Since inception, the Company has not generated any pretax income or loss outside of the United States. The Company did not record a provision or benefit for income taxes during the years ended December 31, 2014, 2013 and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firstLine="521"/>
        <w:spacing w:after="0" w:line="332" w:lineRule="auto"/>
        <w:rPr>
          <w:sz w:val="20"/>
          <w:szCs w:val="20"/>
          <w:color w:val="auto"/>
        </w:rPr>
      </w:pPr>
      <w:r>
        <w:rPr>
          <w:rFonts w:ascii="Arial" w:cs="Arial" w:eastAsia="Arial" w:hAnsi="Arial"/>
          <w:sz w:val="16"/>
          <w:szCs w:val="16"/>
          <w:color w:val="auto"/>
        </w:rPr>
        <w:t xml:space="preserve">The Company follows FASB ASC No. 740, </w:t>
      </w:r>
      <w:r>
        <w:rPr>
          <w:rFonts w:ascii="Arial" w:cs="Arial" w:eastAsia="Arial" w:hAnsi="Arial"/>
          <w:sz w:val="16"/>
          <w:szCs w:val="16"/>
          <w:i w:val="1"/>
          <w:iCs w:val="1"/>
          <w:color w:val="auto"/>
        </w:rPr>
        <w:t>Income Taxes for the Computation and Presentation of its Tax Provision.</w:t>
      </w:r>
      <w:r>
        <w:rPr>
          <w:rFonts w:ascii="Arial" w:cs="Arial" w:eastAsia="Arial" w:hAnsi="Arial"/>
          <w:sz w:val="16"/>
          <w:szCs w:val="16"/>
          <w:color w:val="auto"/>
        </w:rPr>
        <w:t xml:space="preserve"> The following table presents a reconciliation of the tax expense computed at the statutory federal rate and the Company's tax expense for the period presented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Incentive stock options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7,267</w:t>
            </w: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96"/>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purposes. Significant components of the Company's deferred tax assets and liabilities are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Genzyme co-promotion agreement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deferred rent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408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1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0"/>
        </w:trPr>
        <w:tc>
          <w:tcPr>
            <w:tcW w:w="408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20,536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Genzyme co-promotion agreement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Accruals, deferred rent and other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23,701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(41,127)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(31,216)</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(23,622)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In-process research and development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Net non-current deferred tax liabilities</w:t>
            </w: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auto"/>
        </w:rPr>
        <w:t>The Company has established a full valuation allowance against its net deferred tax assets due to the uncertainty surrounding realization of such assets. The valuation allowance increased $10.6 million and $8.1 million during the years ended December 31, 2014 and 2013, respectively.</w:t>
      </w:r>
    </w:p>
    <w:p>
      <w:pPr>
        <w:spacing w:after="0" w:line="139"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As of December 31, 2014, the Company had net operating loss carryforwards of approximately $113.6 million and $60.6 million available to reduce future taxable income, if any, for federal and state income tax purposes, respectively. Of these amounts, $0.2 million represent federal and state deductions from stock-based compensation, which will be recorded as an adjustment to additional paid-in capital when they reduce tax payable. The U.S. federal net operating loss carryforwards will begin to expire in 2026 while for state purposes, the net operating losses will begin to expire in 2018.</w:t>
      </w:r>
    </w:p>
    <w:p>
      <w:pPr>
        <w:spacing w:after="0" w:line="1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As of December 31, 2014, the Company had net credit carryforwards of approximately $2.2 million and $1.6 million available to reduce future taxable income, if any, for federal and state income tax purposes, respectively. The federal credit carryforwards begin to expire in 2028. California credits have no expiration date.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auto"/>
        </w:rPr>
        <w:t>As of December 31, 2014, the Company had unrecognized tax benefits of $1.6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2014 will significantly increase or decrease within the next 12 months.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2"/>
                <w:szCs w:val="12"/>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Gross increases—tax position in prior period</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increases—current period tax positions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Unrecognized tax benefits,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2014.</w:t>
      </w:r>
    </w:p>
    <w:p>
      <w:pPr>
        <w:spacing w:after="0" w:line="139"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401(k) Plan</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Company sponsors a 401(k) defined contribution plan covering all employees. There were no employer contributions to the plan in the years ended December 31, 2014 and 2013.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31"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The following table presents selected unaudited consolidated financial data for each of the eight quarters in the two-year period ended December 31, 2014. The Company believes this information reflects all recurring adjustments necessary to fairly present this information when read in conjunction with the Company's financial statements and the related notes. Net loss per common share, basic and diluted, for the four quarters of each fiscal year may not sum to the total for the fiscal year because of the different number of shares outstanding during each period. The results of operations for any quarter are not necessarily indicative of the results to be expected for any future period.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December 31</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gridSpan w:val="12"/>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w w:val="82"/>
              </w:rPr>
              <w:t>2014:</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8,677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9,838</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12,199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(8,142)</w:t>
            </w: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r>
      <w:tr>
        <w:trPr>
          <w:trHeight w:val="208"/>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Shares used to compute net loss per common share, basic</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21,148,342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21,237,196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21,648,660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22,508,250</w:t>
            </w:r>
          </w:p>
        </w:tc>
        <w:tc>
          <w:tcPr>
            <w:tcW w:w="160" w:type="dxa"/>
            <w:vAlign w:val="bottom"/>
            <w:shd w:val="clear" w:color="auto" w:fill="CCEEFF"/>
          </w:tcPr>
          <w:p>
            <w:pPr>
              <w:spacing w:after="0"/>
              <w:rPr>
                <w:sz w:val="19"/>
                <w:szCs w:val="19"/>
                <w:color w:val="auto"/>
              </w:rPr>
            </w:pPr>
          </w:p>
        </w:tc>
      </w:tr>
      <w:tr>
        <w:trPr>
          <w:trHeight w:val="430"/>
        </w:trPr>
        <w:tc>
          <w:tcPr>
            <w:tcW w:w="960" w:type="dxa"/>
            <w:vAlign w:val="bottom"/>
            <w:gridSpan w:val="2"/>
          </w:tcPr>
          <w:p>
            <w:pPr>
              <w:jc w:val="right"/>
              <w:ind w:right="452"/>
              <w:spacing w:after="0"/>
              <w:rPr>
                <w:sz w:val="20"/>
                <w:szCs w:val="20"/>
                <w:color w:val="auto"/>
              </w:rPr>
            </w:pPr>
            <w:r>
              <w:rPr>
                <w:rFonts w:ascii="Arial" w:cs="Arial" w:eastAsia="Arial" w:hAnsi="Arial"/>
                <w:sz w:val="18"/>
                <w:szCs w:val="18"/>
                <w:b w:val="1"/>
                <w:bCs w:val="1"/>
                <w:color w:val="auto"/>
                <w:w w:val="86"/>
              </w:rPr>
              <w:t>2013:</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(5,892)</w:t>
            </w: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08"/>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89"/>
              </w:rPr>
              <w:t>Shares used to compute net loss per common share, basic</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and diluted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861,839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955,890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13,944,239</w:t>
            </w:r>
          </w:p>
        </w:tc>
        <w:tc>
          <w:tcPr>
            <w:tcW w:w="16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 (Unaudited)</w:t>
      </w:r>
    </w:p>
    <w:p>
      <w:pPr>
        <w:spacing w:after="0" w:line="231" w:lineRule="exact"/>
        <w:rPr>
          <w:sz w:val="20"/>
          <w:szCs w:val="20"/>
          <w:color w:val="auto"/>
        </w:rPr>
      </w:pPr>
    </w:p>
    <w:p>
      <w:pPr>
        <w:jc w:val="both"/>
        <w:ind w:firstLine="369"/>
        <w:spacing w:after="0" w:line="253" w:lineRule="auto"/>
        <w:rPr>
          <w:sz w:val="20"/>
          <w:szCs w:val="20"/>
          <w:color w:val="auto"/>
        </w:rPr>
      </w:pPr>
      <w:r>
        <w:rPr>
          <w:rFonts w:ascii="Arial" w:cs="Arial" w:eastAsia="Arial" w:hAnsi="Arial"/>
          <w:sz w:val="18"/>
          <w:szCs w:val="18"/>
          <w:color w:val="auto"/>
        </w:rPr>
        <w:t>On February 13, 2015, the Company signed an Ex-U.S. Co-Promotion Agreement with Genzyme for the promotion of the Afirma GEC test with exclusivity in five countries outside the United States initially and in other countries agreed to from time to time. The term of the agreement is January 1, 2015 and continuing until December 31, 2019 with extension of the agreement possible upon agreement of the parties. Country specific terms have been established under this agreement for Brazil and Singapore and a right of first negotiation has been established for Canada, the Netherlands and Italy. The Company will pay Genzyme 25% of net revenue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On June 4, 2014, our Audit Committee of the Board of Directors approved the dismissal of PricewaterhouseCoopers LLP, or PwC, as our independent registered public accounting firm.</w:t>
      </w:r>
    </w:p>
    <w:p>
      <w:pPr>
        <w:spacing w:after="0" w:line="186"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6"/>
          <w:szCs w:val="16"/>
          <w:color w:val="auto"/>
        </w:rPr>
        <w:t>The reports of PwC on the financial statements for the fiscal years ended December 31, 2013 and 2012 did not contain an adverse opinion or a disclaimer of opinion, nor were such reports qualified or modified as to uncertainty, audit scope, or accounting principles, except that the PwC report on our financial statements as of December 31, 2011 and 2012 and for each of the two years in the period ended December 31, 2012, included in our registration statement on Form S-1 (File No. 333-191282) and related prospectus dated October 29, 2013, contained an emphasis of matter paragraph relating to our experience of recurring operating losses and negative cash flows from operations as described in Note 2 to such financial statements.</w:t>
      </w:r>
    </w:p>
    <w:p>
      <w:pPr>
        <w:spacing w:after="0" w:line="170"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6"/>
          <w:szCs w:val="16"/>
          <w:color w:val="auto"/>
        </w:rPr>
        <w:t>During the fiscal years ended December 31, 2013 and 2012, and through June 4, 2014, we did not have any disagreements with PwC on any matter of accounting principles or practices, financial statement disclosure or auditing scope, or procedure, which disagreements, if not resolved to the satisfaction of PwC, would have caused it to make reference to the subject matter of the disagreements in connection with its reports on the financial statements for such periods.</w:t>
      </w:r>
    </w:p>
    <w:p>
      <w:pPr>
        <w:spacing w:after="0" w:line="16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During the fiscal years ended December 31, 2013 and 2012, and through June 4, 2014, there were no "reportable events" as defined in Item 304(a)(1)(v) of Regulation S-K.</w:t>
      </w:r>
    </w:p>
    <w:p>
      <w:pPr>
        <w:spacing w:after="0" w:line="186"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On June 4, 2014, the Audit Committee approved the appointment of Ernst &amp; Young LLP, or EY, as our independent registered public accounting firm for the fiscal year ending December 31, 2014. During the fiscal years ended December 31, 2013 and 2012 and in the subsequent interim period through June 4, 2014, neither we nor anyone acting on our behalf has consulted with EY on any of the matters or events set forth in Item 304(a)(2) of Regulation S-K.</w:t>
      </w:r>
    </w:p>
    <w:p>
      <w:pPr>
        <w:spacing w:after="0" w:line="15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jc w:val="both"/>
        <w:ind w:firstLine="380"/>
        <w:spacing w:after="0" w:line="332" w:lineRule="auto"/>
        <w:rPr>
          <w:sz w:val="20"/>
          <w:szCs w:val="20"/>
          <w:color w:val="auto"/>
        </w:rPr>
      </w:pPr>
      <w:r>
        <w:rPr>
          <w:rFonts w:ascii="Arial" w:cs="Arial" w:eastAsia="Arial" w:hAnsi="Arial"/>
          <w:sz w:val="16"/>
          <w:szCs w:val="16"/>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1"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2014 using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Framework") issued by the Committee of Sponsoring Organizations of the Treadway Commission ("COSO").</w:t>
      </w:r>
    </w:p>
    <w:p>
      <w:pPr>
        <w:spacing w:after="0" w:line="172"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Based on our evaluation using those criteria, our management has concluded that, as of December 31, 2014,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94"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2014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The information required by this item with respect to directors is incorporated by reference from the information under the caption "Election of Directors," contained in our Proxy Statement to be filed with the Securities and Exchange Commission no later than 120 days from the end of the Company's last fiscal year ended December 31, 2014 in connection with the solicitation of proxies for our 2015 Annual Meeting of Stockholders to be held on May 18, 2015, or Proxy Statement. Certain information required by this item concerning executive officers is set forth in Part I of this Report under the caption "Executive Officers of the Registrant" and is incorporated herein by reference.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w:t>
      </w:r>
    </w:p>
    <w:p>
      <w:pPr>
        <w:spacing w:after="0" w:line="225"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This disclosure is contained in the section entitled "Section 16(a) Beneficial Ownership Reporting Compliance" in the Proxy Statement and is incorporated herein by reference.</w:t>
      </w:r>
    </w:p>
    <w:p>
      <w:pPr>
        <w:spacing w:after="0" w:line="194"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President and Chief Executive Officer, our Chief Financial Officer, and key management employees. Stockholders may request a free copy of our Code of Business Conduct and Ethics and our Senior Financial Officers' Code of Ethics by contacting Veracyte, Inc., Attention: Chief Financial Officer, 7000 Shoreline Court, Suite 250, South San Francisco, California 94080.</w:t>
      </w:r>
    </w:p>
    <w:p>
      <w:pPr>
        <w:spacing w:after="0" w:line="198"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w:t>
      </w:r>
      <w:r>
        <w:rPr>
          <w:rFonts w:ascii="Arial" w:cs="Arial" w:eastAsia="Arial" w:hAnsi="Arial"/>
          <w:sz w:val="16"/>
          <w:szCs w:val="16"/>
          <w:i w:val="1"/>
          <w:iCs w:val="1"/>
          <w:color w:val="auto"/>
        </w:rPr>
        <w:t>http://www.veracyte.com</w:t>
      </w:r>
      <w:r>
        <w:rPr>
          <w:rFonts w:ascii="Arial" w:cs="Arial" w:eastAsia="Arial" w:hAnsi="Arial"/>
          <w:sz w:val="16"/>
          <w:szCs w:val="16"/>
          <w:color w:val="auto"/>
        </w:rPr>
        <w:t xml:space="preserve"> within four business days following the date of such amendment or waiver.</w:t>
      </w:r>
    </w:p>
    <w:p>
      <w:pPr>
        <w:spacing w:after="0" w:line="1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"Election of Directors—Director Compensation" and "Executive Compensation" contained in the Proxy Statement for the 2015 Annual Meeting of Stockholders to be filed with the SEC within 120 days of the fiscal year ended December 31, 2014.</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disclosure appearing under the headings "Security Ownership of Certain Beneficial Owners and Management" and "Executive Compensation—Equity Compensation Plan Information" contained in the Proxy Statement for the 2015 Annual Meeting of Stockholders to be filed with the SEC within 120 days of the fiscal year ended December 31,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"Election of Directors—Certain Relationships and Related Transactions" and "—Director Independence" contained in the Proxy Statement for the 2015 Annual Meeting of Stockholders to be filed with the SEC within 120 days of the fiscal year ended December 31, 2014.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the Appointment of Independent Registered Public Accounting Firm—Principal Accountant Fees and Services" contained in the Proxy Statement for the 2015 Annual Meeting of Stockholders to be filed with the SEC within 120 days of the fiscal year ended December 31,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720" w:hanging="361"/>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422"/>
        <w:spacing w:after="0" w:line="268"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86" w:lineRule="exact"/>
        <w:rPr>
          <w:sz w:val="20"/>
          <w:szCs w:val="20"/>
          <w:color w:val="auto"/>
        </w:rPr>
      </w:pPr>
    </w:p>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5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4"/>
                <w:szCs w:val="14"/>
                <w:color w:val="auto"/>
              </w:rPr>
            </w:pPr>
          </w:p>
        </w:tc>
        <w:tc>
          <w:tcPr>
            <w:tcW w:w="9120" w:type="dxa"/>
            <w:vAlign w:val="bottom"/>
            <w:gridSpan w:val="2"/>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800" w:type="dxa"/>
            <w:vAlign w:val="bottom"/>
            <w:tcBorders>
              <w:top w:val="single" w:sz="8" w:color="auto"/>
            </w:tcBorders>
          </w:tcPr>
          <w:p>
            <w:pPr>
              <w:jc w:val="center"/>
              <w:ind w:left="506"/>
              <w:spacing w:after="0" w:line="201" w:lineRule="exact"/>
              <w:rPr>
                <w:sz w:val="20"/>
                <w:szCs w:val="20"/>
                <w:color w:val="auto"/>
              </w:rPr>
            </w:pPr>
            <w:r>
              <w:rPr>
                <w:rFonts w:ascii="Arial" w:cs="Arial" w:eastAsia="Arial" w:hAnsi="Arial"/>
                <w:sz w:val="18"/>
                <w:szCs w:val="18"/>
                <w:color w:val="auto"/>
                <w:w w:val="87"/>
              </w:rPr>
              <w:t>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Agreement  and  Plan  of  Merger,  dated  September  4,  2014,  by  and  among  Veracyte,  Inc.,  Full  Moon</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Acquisition, Inc., Allegro Diagnostics Corp., Andrey Zarur, as the Stockholders' Agent, Kodiak Venture Partners</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III, L.P., Kodiak III Entrepreneurs Fund, L.P. and Catalyst Health Ventures L.P. (incorporated by reference to</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Exhibit 2.1 to the Registrant's Form 10-Q for the quarterly period ended September 30, 2014 filed November 13,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2014).</w:t>
            </w:r>
          </w:p>
        </w:tc>
        <w:tc>
          <w:tcPr>
            <w:tcW w:w="1140" w:type="dxa"/>
            <w:vAlign w:val="bottom"/>
          </w:tcPr>
          <w:p>
            <w:pPr>
              <w:spacing w:after="0"/>
              <w:rPr>
                <w:sz w:val="19"/>
                <w:szCs w:val="19"/>
                <w:color w:val="auto"/>
              </w:rPr>
            </w:pP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Restated Certificate of Incorporation of the Registrant (incorporated by reference to Exhibit 3.1 to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Current Report on Form 8-K filed November 8,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and Restated Bylaws of the Registrant (incorporated by reference to Exhibit 3.2 to the Registrant's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filed November 8,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of Common Stock Certificate (incorporated by reference to Exhibit 4.1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Second Amended and Restated Investors Rights Agreement, dated November 6, 2012, between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certain investors (incorporated by reference to Exhibit 4.2 to the Registrant's Registration Statement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9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Second Amended and Restated Investors Rights Agreement, dated June 14, 2013, between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and certain investors (incorporated by reference to Exhibit 4.3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2160" w:type="dxa"/>
            <w:vAlign w:val="bottom"/>
            <w:gridSpan w:val="3"/>
          </w:tcPr>
          <w:p>
            <w:pPr>
              <w:jc w:val="center"/>
              <w:ind w:left="1452"/>
              <w:spacing w:after="0"/>
              <w:rPr>
                <w:sz w:val="20"/>
                <w:szCs w:val="20"/>
                <w:color w:val="auto"/>
              </w:rPr>
            </w:pPr>
            <w:r>
              <w:rPr>
                <w:rFonts w:ascii="Arial" w:cs="Arial" w:eastAsia="Arial" w:hAnsi="Arial"/>
                <w:sz w:val="18"/>
                <w:szCs w:val="18"/>
                <w:color w:val="auto"/>
                <w:w w:val="84"/>
              </w:rPr>
              <w:t>10.1#</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of Indemnification Agreement between the Registrant and its officers and directors (incorporated by</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 to the Registrant's Registration Statement on Form S-1 (File No. 333-191282), as</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amended, declared effective on October 29, 2013).</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123</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000" w:type="dxa"/>
            <w:vAlign w:val="bottom"/>
            <w:gridSpan w:val="2"/>
          </w:tcPr>
          <w:p>
            <w:pPr>
              <w:ind w:left="500"/>
              <w:spacing w:after="0" w:line="201"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7"/>
              </w:rPr>
              <w:t>2008 Stock Plan and forms of agreements thereunder (incorporated by reference to Exhibit 10.2 to the</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2160" w:type="dxa"/>
            <w:vAlign w:val="bottom"/>
            <w:gridSpan w:val="3"/>
          </w:tcPr>
          <w:p>
            <w:pPr>
              <w:ind w:left="1660"/>
              <w:spacing w:after="0"/>
              <w:rPr>
                <w:sz w:val="20"/>
                <w:szCs w:val="20"/>
                <w:color w:val="auto"/>
              </w:rPr>
            </w:pPr>
            <w:r>
              <w:rPr>
                <w:rFonts w:ascii="Arial" w:cs="Arial" w:eastAsia="Arial" w:hAnsi="Arial"/>
                <w:sz w:val="18"/>
                <w:szCs w:val="18"/>
                <w:color w:val="auto"/>
              </w:rPr>
              <w:t>10.3#</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2013 Stock Incentive Plan and forms of agreements thereunder (incorporated by reference to Exhibit 10.3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10.4</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Lease Agreement dated as of February 10, 2010 between ARE-San Francisco No 17, LLC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10.4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10.5</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Lease Agreement entered into as of July 11, 2012 between ARE-San Francisco No 17, LLC</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the Registrant (incorporated by reference to Exhibit 10.5 to the Registrant's Registration Statement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S-1 (File No. 333-191282),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10.6</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Lease Agreement between Riata Holdings, L.P., as landlord, and the Registrant, as tenant, dated November 28,</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2012 (incorporated by reference to Exhibit 10.6 to the Registrant's Registration Statement on Form S-1 (File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10.7</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Lease Agreement dated as of January 7, 2014 by and between Riata Holdings, L.P.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10.7 to the Registrant's Annual Report on Form 10-K for the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year ended December 31, 2013 filed March 20, 2014).</w:t>
            </w:r>
          </w:p>
        </w:tc>
      </w:tr>
      <w:tr>
        <w:trPr>
          <w:trHeight w:val="426"/>
        </w:trPr>
        <w:tc>
          <w:tcPr>
            <w:tcW w:w="116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10.8†</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Co-promotion Agreement dated as of January 18, 2012 between Genzyme Corporation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10.7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1960" w:type="dxa"/>
            <w:vAlign w:val="bottom"/>
            <w:gridSpan w:val="2"/>
          </w:tcPr>
          <w:p>
            <w:pPr>
              <w:ind w:left="1660"/>
              <w:spacing w:after="0"/>
              <w:rPr>
                <w:sz w:val="20"/>
                <w:szCs w:val="20"/>
                <w:color w:val="auto"/>
              </w:rPr>
            </w:pPr>
            <w:r>
              <w:rPr>
                <w:rFonts w:ascii="Arial" w:cs="Arial" w:eastAsia="Arial" w:hAnsi="Arial"/>
                <w:sz w:val="18"/>
                <w:szCs w:val="18"/>
                <w:color w:val="auto"/>
                <w:w w:val="79"/>
              </w:rPr>
              <w:t>10.9</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Co-promotion Agreement, effective April 9, 2013, between Genzyme Corporation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10.8 to the Registrant's Registration Statement on Form S-1 (File</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No. 333-191282), as amended, declared effective on October 29,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10.10</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Loan and Security Agreement dated as of June 26, 2013 between Silicon Valley Bank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10.9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2160" w:type="dxa"/>
            <w:vAlign w:val="bottom"/>
            <w:gridSpan w:val="3"/>
          </w:tcPr>
          <w:p>
            <w:pPr>
              <w:ind w:left="1580"/>
              <w:spacing w:after="0"/>
              <w:rPr>
                <w:sz w:val="20"/>
                <w:szCs w:val="20"/>
                <w:color w:val="auto"/>
              </w:rPr>
            </w:pPr>
            <w:r>
              <w:rPr>
                <w:rFonts w:ascii="Arial" w:cs="Arial" w:eastAsia="Arial" w:hAnsi="Arial"/>
                <w:sz w:val="18"/>
                <w:szCs w:val="18"/>
                <w:color w:val="auto"/>
              </w:rPr>
              <w:t>10.11#</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Employment Agreement, dated as of February 15, 2008, between Bonnie Anderson and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10.10 to the Registrant's Registration Statement on Form S-1 (File No. 333-</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191282), as amended, declared effective on 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10.12#</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Amendment to Bonnie Anderson Employment Agreement, dated as of December 22, 2008, between Bonnie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Anderson and the Registrant (incorporated by reference to Exhibit 10.11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0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88"/>
              </w:rPr>
              <w:t>Amendment No. 2 to Bonnie Anderson Employment Agreement, effective as of March 11, 2009, between Bonnie</w:t>
            </w: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Anderson and the Registrant (incorporated by reference to Exhibit 10.12 to the Registrant's Registration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10.14#</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Change of Control and Severance Agreement, effective as of August 24, 2012, between Bonnie Anderson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10.13 to the Registrant's Registration Statement on Form S-1</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10.15#</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Change of Control and Severance Agreement, effective as of August 24, 2012, between Christopher Hall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10.14 to the Registrant's Registration Statement on Form S-1</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10.16#</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Change of Control and Severance Agreement, effective as of April 8, 2013, between Shelly Guyer and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 (incorporated by reference to Exhibit 10.15 to the Registrant's Registration Statement on Form S-1</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r>
      <w:tr>
        <w:trPr>
          <w:trHeight w:val="432"/>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10.17</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Reserved.</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10.18#</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Offer Letter dated as of April 8, 2013 with Shelly D. Guyer (incorporated by reference to Exhibit 10.17 to the</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2160" w:type="dxa"/>
            <w:vAlign w:val="bottom"/>
            <w:gridSpan w:val="3"/>
          </w:tcPr>
          <w:p>
            <w:pPr>
              <w:ind w:left="1560"/>
              <w:spacing w:after="0"/>
              <w:rPr>
                <w:sz w:val="20"/>
                <w:szCs w:val="20"/>
                <w:color w:val="auto"/>
              </w:rPr>
            </w:pPr>
            <w:r>
              <w:rPr>
                <w:rFonts w:ascii="Arial" w:cs="Arial" w:eastAsia="Arial" w:hAnsi="Arial"/>
                <w:sz w:val="18"/>
                <w:szCs w:val="18"/>
                <w:color w:val="auto"/>
              </w:rPr>
              <w:t>10.19#</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Offer Letter dated as of January 28, 2010 with Christopher M. Hall (incorporated by reference to Exhibit 10.18 to</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the Registrant's Registration Statement on Form S-1 (File No. 333-191282), as amended, declared effective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26"/>
        </w:trPr>
        <w:tc>
          <w:tcPr>
            <w:tcW w:w="1160" w:type="dxa"/>
            <w:vAlign w:val="bottom"/>
          </w:tcPr>
          <w:p>
            <w:pPr>
              <w:spacing w:after="0"/>
              <w:rPr>
                <w:sz w:val="24"/>
                <w:szCs w:val="24"/>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10.20†</w:t>
            </w: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Pathology Services Agreement dated as of November 12, 2010 between Brazos Valley Pathology, P.A. D/B/A</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Reitpath and the Registrant (incorporated by reference to Exhibit 10.19 to the Registrant's Registration Statement</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10.21</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Approval of the Registrant to the Assignment of the Pathology Services Agreement with Brazos Valley</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Pathology to Thyroid Cytopathology Partners, P.A. as of May 18, 2011 (incorporated by reference to</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Exhibit 10.20 to the Registrant's Registration Statement on Form S-1 (File No. 333-191282), as amended,</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10.22</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First  Amendment  to  Pathology  Services  Agreement  dated  as  of  December  19,  2012  between  Thyroid</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Cytopathology Partners, P.A. and the Registrant (incorporated by reference to Exhibit 10.21 to the Registrant's</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S-1 (File No. 333-191282), as amended, declared effective on October 29,</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Arial" w:cs="Arial" w:eastAsia="Arial" w:hAnsi="Arial"/>
                <w:sz w:val="18"/>
                <w:szCs w:val="18"/>
                <w:color w:val="auto"/>
              </w:rPr>
              <w:t>2013).</w:t>
            </w:r>
          </w:p>
        </w:tc>
        <w:tc>
          <w:tcPr>
            <w:tcW w:w="1140" w:type="dxa"/>
            <w:vAlign w:val="bottom"/>
          </w:tcPr>
          <w:p>
            <w:pPr>
              <w:spacing w:after="0"/>
              <w:rPr>
                <w:sz w:val="19"/>
                <w:szCs w:val="19"/>
                <w:color w:val="auto"/>
              </w:rPr>
            </w:pP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10.23</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w w:val="99"/>
              </w:rPr>
              <w:t>Second Amendment to Pathology Services Agreement dated as of January 1, 2014 by and between the Registrant</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and Thyroid Cytopathology Partners, P.A. (incorporated by reference to Exhibit 10.23 to the Registrant's Annual</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Report on Form 10-K for the year ended December 31, 2013 filed March 20, 2014).</w:t>
            </w:r>
          </w:p>
        </w:tc>
      </w:tr>
      <w:tr>
        <w:trPr>
          <w:trHeight w:val="426"/>
        </w:trPr>
        <w:tc>
          <w:tcPr>
            <w:tcW w:w="1960" w:type="dxa"/>
            <w:vAlign w:val="bottom"/>
            <w:gridSpan w:val="2"/>
          </w:tcPr>
          <w:p>
            <w:pPr>
              <w:ind w:left="1560"/>
              <w:spacing w:after="0"/>
              <w:rPr>
                <w:sz w:val="20"/>
                <w:szCs w:val="20"/>
                <w:color w:val="auto"/>
              </w:rPr>
            </w:pPr>
            <w:r>
              <w:rPr>
                <w:rFonts w:ascii="Arial" w:cs="Arial" w:eastAsia="Arial" w:hAnsi="Arial"/>
                <w:sz w:val="18"/>
                <w:szCs w:val="18"/>
                <w:color w:val="auto"/>
                <w:w w:val="84"/>
              </w:rPr>
              <w:t>10.24</w:t>
            </w:r>
          </w:p>
        </w:tc>
        <w:tc>
          <w:tcPr>
            <w:tcW w:w="200" w:type="dxa"/>
            <w:vAlign w:val="bottom"/>
          </w:tcPr>
          <w:p>
            <w:pPr>
              <w:spacing w:after="0"/>
              <w:rPr>
                <w:sz w:val="24"/>
                <w:szCs w:val="24"/>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Consent and First Amendment to Loan and Security Agreement dated as of December 18, 2014 between Silicon</w:t>
            </w:r>
          </w:p>
        </w:tc>
      </w:tr>
      <w:tr>
        <w:trPr>
          <w:trHeight w:val="216"/>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Valley Bank and the Registrant (incorporated by reference to Exhibit 10.1 to the Registrant's Current Report on</w:t>
            </w:r>
          </w:p>
        </w:tc>
      </w:tr>
      <w:tr>
        <w:trPr>
          <w:trHeight w:val="222"/>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60" w:type="dxa"/>
            <w:vAlign w:val="bottom"/>
            <w:gridSpan w:val="3"/>
          </w:tcPr>
          <w:p>
            <w:pPr>
              <w:ind w:left="120"/>
              <w:spacing w:after="0"/>
              <w:rPr>
                <w:sz w:val="20"/>
                <w:szCs w:val="20"/>
                <w:color w:val="auto"/>
              </w:rPr>
            </w:pPr>
            <w:r>
              <w:rPr>
                <w:rFonts w:ascii="Arial" w:cs="Arial" w:eastAsia="Arial" w:hAnsi="Arial"/>
                <w:sz w:val="18"/>
                <w:szCs w:val="18"/>
                <w:color w:val="auto"/>
              </w:rPr>
              <w:t>Form 8-K filed December 18, 2014).</w:t>
            </w:r>
          </w:p>
        </w:tc>
      </w:tr>
      <w:tr>
        <w:trPr>
          <w:trHeight w:val="675"/>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2"/>
          </w:tcPr>
          <w:p>
            <w:pPr>
              <w:ind w:left="3420"/>
              <w:spacing w:after="0"/>
              <w:rPr>
                <w:sz w:val="20"/>
                <w:szCs w:val="20"/>
                <w:color w:val="auto"/>
              </w:rPr>
            </w:pPr>
            <w:r>
              <w:rPr>
                <w:rFonts w:ascii="Arial" w:cs="Arial" w:eastAsia="Arial" w:hAnsi="Arial"/>
                <w:sz w:val="18"/>
                <w:szCs w:val="18"/>
                <w:color w:val="auto"/>
              </w:rPr>
              <w:t>125</w:t>
            </w: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9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143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-2317115</wp:posOffset>
            </wp:positionH>
            <wp:positionV relativeFrom="paragraph">
              <wp:posOffset>14605</wp:posOffset>
            </wp:positionV>
            <wp:extent cx="50768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20" w:space="720"/>
            <w:col w:w="5480"/>
          </w:cols>
          <w:pgMar w:left="240" w:top="131" w:right="239" w:bottom="1440" w:gutter="0" w:footer="0" w:header="0"/>
          <w:type w:val="continuous"/>
        </w:sectPr>
      </w:pPr>
    </w:p>
    <w:p>
      <w:pPr>
        <w:jc w:val="both"/>
        <w:ind w:left="2280" w:right="1140" w:hanging="718"/>
        <w:spacing w:after="0" w:line="249" w:lineRule="auto"/>
        <w:tabs>
          <w:tab w:leader="none" w:pos="2260" w:val="left"/>
        </w:tabs>
        <w:rPr>
          <w:sz w:val="20"/>
          <w:szCs w:val="20"/>
          <w:color w:val="auto"/>
        </w:rPr>
      </w:pPr>
      <w:r>
        <w:rPr>
          <w:rFonts w:ascii="Arial" w:cs="Arial" w:eastAsia="Arial" w:hAnsi="Arial"/>
          <w:sz w:val="18"/>
          <w:szCs w:val="18"/>
          <w:color w:val="auto"/>
        </w:rPr>
        <w:t>10.25†</w:t>
        <w:tab/>
        <w:t>Amended and Restated U.S. Co-Promotion Agreement between Veracyte, Inc. and Genzyme Corporation (incorporated by reference to Exhibit 10.1 to the Registrant's Form 10-Q for the quarterly period ended September 30, 2014 filed November 13, 2014).</w:t>
      </w:r>
    </w:p>
    <w:p>
      <w:pPr>
        <w:spacing w:after="0" w:line="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10.26*†† Ex-U.S. Co-Promotion Agreement between Veracyte, Inc. and Genzyme Corporation.</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1040" w:type="dxa"/>
            <w:vAlign w:val="bottom"/>
          </w:tcPr>
          <w:p>
            <w:pPr>
              <w:ind w:left="500"/>
              <w:spacing w:after="0"/>
              <w:rPr>
                <w:sz w:val="20"/>
                <w:szCs w:val="20"/>
                <w:color w:val="auto"/>
              </w:rPr>
            </w:pPr>
            <w:r>
              <w:rPr>
                <w:rFonts w:ascii="Arial" w:cs="Arial" w:eastAsia="Arial" w:hAnsi="Arial"/>
                <w:sz w:val="18"/>
                <w:szCs w:val="18"/>
                <w:color w:val="auto"/>
              </w:rPr>
              <w:t>23.1*</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1040" w:type="dxa"/>
            <w:vAlign w:val="bottom"/>
          </w:tcPr>
          <w:p>
            <w:pPr>
              <w:ind w:left="500"/>
              <w:spacing w:after="0"/>
              <w:rPr>
                <w:sz w:val="20"/>
                <w:szCs w:val="20"/>
                <w:color w:val="auto"/>
              </w:rPr>
            </w:pPr>
            <w:r>
              <w:rPr>
                <w:rFonts w:ascii="Arial" w:cs="Arial" w:eastAsia="Arial" w:hAnsi="Arial"/>
                <w:sz w:val="18"/>
                <w:szCs w:val="18"/>
                <w:color w:val="auto"/>
              </w:rPr>
              <w:t>23.2*</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w w:val="99"/>
              </w:rPr>
              <w:t>Consent of PricewaterhouseCoopers LLP, Independent Registered Public Accounting Firm.</w:t>
            </w:r>
          </w:p>
        </w:tc>
      </w:tr>
      <w:tr>
        <w:trPr>
          <w:trHeight w:val="432"/>
        </w:trPr>
        <w:tc>
          <w:tcPr>
            <w:tcW w:w="1040" w:type="dxa"/>
            <w:vAlign w:val="bottom"/>
          </w:tcPr>
          <w:p>
            <w:pPr>
              <w:ind w:left="500"/>
              <w:spacing w:after="0"/>
              <w:rPr>
                <w:sz w:val="20"/>
                <w:szCs w:val="20"/>
                <w:color w:val="auto"/>
              </w:rPr>
            </w:pPr>
            <w:r>
              <w:rPr>
                <w:rFonts w:ascii="Arial" w:cs="Arial" w:eastAsia="Arial" w:hAnsi="Arial"/>
                <w:sz w:val="18"/>
                <w:szCs w:val="18"/>
                <w:color w:val="auto"/>
              </w:rPr>
              <w:t>24.1*</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Power of Attorney (see the signature page of this Annual Report on Form 10-K).</w:t>
            </w:r>
          </w:p>
        </w:tc>
      </w:tr>
      <w:tr>
        <w:trPr>
          <w:trHeight w:val="432"/>
        </w:trPr>
        <w:tc>
          <w:tcPr>
            <w:tcW w:w="1040" w:type="dxa"/>
            <w:vAlign w:val="bottom"/>
          </w:tcPr>
          <w:p>
            <w:pPr>
              <w:ind w:left="500"/>
              <w:spacing w:after="0"/>
              <w:rPr>
                <w:sz w:val="20"/>
                <w:szCs w:val="20"/>
                <w:color w:val="auto"/>
              </w:rPr>
            </w:pPr>
            <w:r>
              <w:rPr>
                <w:rFonts w:ascii="Arial" w:cs="Arial" w:eastAsia="Arial" w:hAnsi="Arial"/>
                <w:sz w:val="18"/>
                <w:szCs w:val="18"/>
                <w:color w:val="auto"/>
              </w:rPr>
              <w:t>31.1*</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w w:val="89"/>
              </w:rPr>
              <w:t>Principal Executive Officer's Certifications Pursuant to Section 302 of the Sarbanes-Oxley Act of 2002.</w:t>
            </w:r>
          </w:p>
        </w:tc>
      </w:tr>
      <w:tr>
        <w:trPr>
          <w:trHeight w:val="432"/>
        </w:trPr>
        <w:tc>
          <w:tcPr>
            <w:tcW w:w="1040" w:type="dxa"/>
            <w:vAlign w:val="bottom"/>
          </w:tcPr>
          <w:p>
            <w:pPr>
              <w:ind w:left="500"/>
              <w:spacing w:after="0"/>
              <w:rPr>
                <w:sz w:val="20"/>
                <w:szCs w:val="20"/>
                <w:color w:val="auto"/>
              </w:rPr>
            </w:pPr>
            <w:r>
              <w:rPr>
                <w:rFonts w:ascii="Arial" w:cs="Arial" w:eastAsia="Arial" w:hAnsi="Arial"/>
                <w:sz w:val="18"/>
                <w:szCs w:val="18"/>
                <w:color w:val="auto"/>
              </w:rPr>
              <w:t>31.2*</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w w:val="89"/>
              </w:rPr>
              <w:t>Principal Financial Officer's Certifications Pursuant to Section 302 of the Sarbanes-Oxley Act of 2002.</w:t>
            </w:r>
          </w:p>
        </w:tc>
      </w:tr>
      <w:tr>
        <w:trPr>
          <w:trHeight w:val="432"/>
        </w:trPr>
        <w:tc>
          <w:tcPr>
            <w:tcW w:w="1040" w:type="dxa"/>
            <w:vAlign w:val="bottom"/>
          </w:tcPr>
          <w:p>
            <w:pPr>
              <w:ind w:left="500"/>
              <w:spacing w:after="0"/>
              <w:rPr>
                <w:sz w:val="20"/>
                <w:szCs w:val="20"/>
                <w:color w:val="auto"/>
              </w:rPr>
            </w:pPr>
            <w:r>
              <w:rPr>
                <w:rFonts w:ascii="Arial" w:cs="Arial" w:eastAsia="Arial" w:hAnsi="Arial"/>
                <w:sz w:val="18"/>
                <w:szCs w:val="18"/>
                <w:color w:val="auto"/>
              </w:rPr>
              <w:t>32.1**</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432"/>
        </w:trPr>
        <w:tc>
          <w:tcPr>
            <w:tcW w:w="1040" w:type="dxa"/>
            <w:vAlign w:val="bottom"/>
          </w:tcPr>
          <w:p>
            <w:pPr>
              <w:ind w:left="500"/>
              <w:spacing w:after="0"/>
              <w:rPr>
                <w:sz w:val="20"/>
                <w:szCs w:val="20"/>
                <w:color w:val="auto"/>
              </w:rPr>
            </w:pPr>
            <w:r>
              <w:rPr>
                <w:rFonts w:ascii="Arial" w:cs="Arial" w:eastAsia="Arial" w:hAnsi="Arial"/>
                <w:sz w:val="18"/>
                <w:szCs w:val="18"/>
                <w:color w:val="auto"/>
              </w:rPr>
              <w:t>32.2**</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432"/>
        </w:trPr>
        <w:tc>
          <w:tcPr>
            <w:tcW w:w="1040" w:type="dxa"/>
            <w:vAlign w:val="bottom"/>
          </w:tcPr>
          <w:p>
            <w:pPr>
              <w:jc w:val="right"/>
              <w:ind w:right="152"/>
              <w:spacing w:after="0"/>
              <w:rPr>
                <w:sz w:val="20"/>
                <w:szCs w:val="20"/>
                <w:color w:val="auto"/>
              </w:rPr>
            </w:pPr>
            <w:r>
              <w:rPr>
                <w:rFonts w:ascii="Arial" w:cs="Arial" w:eastAsia="Arial" w:hAnsi="Arial"/>
                <w:sz w:val="18"/>
                <w:szCs w:val="18"/>
                <w:color w:val="auto"/>
              </w:rPr>
              <w:t>101.INS</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jc w:val="right"/>
              <w:ind w:right="152"/>
              <w:spacing w:after="0"/>
              <w:rPr>
                <w:sz w:val="20"/>
                <w:szCs w:val="20"/>
                <w:color w:val="auto"/>
              </w:rPr>
            </w:pPr>
            <w:r>
              <w:rPr>
                <w:rFonts w:ascii="Arial" w:cs="Arial" w:eastAsia="Arial" w:hAnsi="Arial"/>
                <w:sz w:val="18"/>
                <w:szCs w:val="18"/>
                <w:color w:val="auto"/>
              </w:rPr>
              <w:t>101.SCH</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tcPr>
          <w:p>
            <w:pPr>
              <w:jc w:val="right"/>
              <w:ind w:right="152"/>
              <w:spacing w:after="0"/>
              <w:rPr>
                <w:sz w:val="20"/>
                <w:szCs w:val="20"/>
                <w:color w:val="auto"/>
              </w:rPr>
            </w:pPr>
            <w:r>
              <w:rPr>
                <w:rFonts w:ascii="Arial" w:cs="Arial" w:eastAsia="Arial" w:hAnsi="Arial"/>
                <w:sz w:val="18"/>
                <w:szCs w:val="18"/>
                <w:color w:val="auto"/>
              </w:rPr>
              <w:t>101.CAL</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jc w:val="right"/>
              <w:ind w:right="152"/>
              <w:spacing w:after="0"/>
              <w:rPr>
                <w:sz w:val="20"/>
                <w:szCs w:val="20"/>
                <w:color w:val="auto"/>
              </w:rPr>
            </w:pPr>
            <w:r>
              <w:rPr>
                <w:rFonts w:ascii="Arial" w:cs="Arial" w:eastAsia="Arial" w:hAnsi="Arial"/>
                <w:sz w:val="18"/>
                <w:szCs w:val="18"/>
                <w:color w:val="auto"/>
              </w:rPr>
              <w:t>101.DEF</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tcPr>
          <w:p>
            <w:pPr>
              <w:jc w:val="right"/>
              <w:ind w:right="152"/>
              <w:spacing w:after="0"/>
              <w:rPr>
                <w:sz w:val="20"/>
                <w:szCs w:val="20"/>
                <w:color w:val="auto"/>
              </w:rPr>
            </w:pPr>
            <w:r>
              <w:rPr>
                <w:rFonts w:ascii="Arial" w:cs="Arial" w:eastAsia="Arial" w:hAnsi="Arial"/>
                <w:sz w:val="18"/>
                <w:szCs w:val="18"/>
                <w:color w:val="auto"/>
              </w:rPr>
              <w:t>101.LAB</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tcPr>
          <w:p>
            <w:pPr>
              <w:jc w:val="right"/>
              <w:ind w:right="152"/>
              <w:spacing w:after="0"/>
              <w:rPr>
                <w:sz w:val="20"/>
                <w:szCs w:val="20"/>
                <w:color w:val="auto"/>
              </w:rPr>
            </w:pPr>
            <w:r>
              <w:rPr>
                <w:rFonts w:ascii="Arial" w:cs="Arial" w:eastAsia="Arial" w:hAnsi="Arial"/>
                <w:sz w:val="18"/>
                <w:szCs w:val="18"/>
                <w:color w:val="auto"/>
              </w:rPr>
              <w:t>101.PRE</w:t>
            </w:r>
          </w:p>
        </w:tc>
        <w:tc>
          <w:tcPr>
            <w:tcW w:w="736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0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60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252"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 or arrangement.</w:t>
      </w:r>
    </w:p>
    <w:p>
      <w:pPr>
        <w:spacing w:after="0" w:line="23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66" w:lineRule="exact"/>
        <w:rPr>
          <w:sz w:val="20"/>
          <w:szCs w:val="20"/>
          <w:color w:val="auto"/>
        </w:rPr>
      </w:pPr>
    </w:p>
    <w:p>
      <w:pPr>
        <w:jc w:val="both"/>
        <w:ind w:left="1680" w:hanging="531"/>
        <w:spacing w:after="0" w:line="298" w:lineRule="auto"/>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Copies of the above exhibits not contained herein are available to any stockholder, upon payment of a reasonable per page fee, upon written request to: Chief Financial Officer, Veracyte, Inc., 7000 Shoreline Court, Suite 250, South San Francisco, California 94080.</w:t>
      </w:r>
    </w:p>
    <w:p>
      <w:pPr>
        <w:spacing w:after="0" w:line="199" w:lineRule="exact"/>
        <w:rPr>
          <w:sz w:val="20"/>
          <w:szCs w:val="20"/>
          <w:color w:val="auto"/>
        </w:rPr>
      </w:pPr>
    </w:p>
    <w:p>
      <w:pPr>
        <w:ind w:left="360" w:right="8160" w:hanging="352"/>
        <w:spacing w:after="0" w:line="601" w:lineRule="auto"/>
        <w:tabs>
          <w:tab w:leader="none" w:pos="549" w:val="left"/>
        </w:tabs>
        <w:numPr>
          <w:ilvl w:val="0"/>
          <w:numId w:val="41"/>
        </w:numPr>
        <w:rPr>
          <w:rFonts w:ascii="Arial" w:cs="Arial" w:eastAsia="Arial" w:hAnsi="Arial"/>
          <w:sz w:val="15"/>
          <w:szCs w:val="15"/>
          <w:color w:val="auto"/>
        </w:rPr>
      </w:pPr>
      <w:r>
        <w:rPr>
          <w:rFonts w:ascii="Arial" w:cs="Arial" w:eastAsia="Arial" w:hAnsi="Arial"/>
          <w:sz w:val="15"/>
          <w:szCs w:val="15"/>
          <w:color w:val="auto"/>
        </w:rPr>
        <w:t>Financial Statement Schedules Reference is made to Item 15(a) 2 above.</w:t>
      </w: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20"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VERACYTE, INC.</w:t>
      </w:r>
    </w:p>
    <w:p>
      <w:pPr>
        <w:spacing w:after="0" w:line="252" w:lineRule="exact"/>
        <w:rPr>
          <w:sz w:val="20"/>
          <w:szCs w:val="20"/>
          <w:color w:val="auto"/>
        </w:rPr>
      </w:pPr>
    </w:p>
    <w:p>
      <w:pPr>
        <w:ind w:left="570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496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jc w:val="center"/>
        <w:ind w:left="4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2015</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auto"/>
        </w:rPr>
        <w:t>KNOW ALL PERSONS BY THESE PRESENT, that each person whose signature appears below constitutes and appoints Bonnie H. Anderson and Shelly D. Guyer,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97" w:lineRule="exact"/>
        <w:rPr>
          <w:sz w:val="20"/>
          <w:szCs w:val="20"/>
          <w:color w:val="auto"/>
        </w:rPr>
      </w:pPr>
    </w:p>
    <w:p>
      <w:pPr>
        <w:jc w:val="both"/>
        <w:ind w:firstLine="38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182"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/s/ BONNIE H. ANDERSON</w:t>
            </w:r>
          </w:p>
        </w:tc>
        <w:tc>
          <w:tcPr>
            <w:tcW w:w="3760" w:type="dxa"/>
            <w:vAlign w:val="bottom"/>
          </w:tcPr>
          <w:p>
            <w:pPr>
              <w:ind w:left="160"/>
              <w:spacing w:after="0"/>
              <w:rPr>
                <w:sz w:val="20"/>
                <w:szCs w:val="20"/>
                <w:color w:val="auto"/>
              </w:rPr>
            </w:pPr>
            <w:r>
              <w:rPr>
                <w:rFonts w:ascii="Arial" w:cs="Arial" w:eastAsia="Arial" w:hAnsi="Arial"/>
                <w:sz w:val="18"/>
                <w:szCs w:val="18"/>
                <w:color w:val="auto"/>
              </w:rPr>
              <w:t>President, Chief Executive Officer (Principal</w:t>
            </w:r>
          </w:p>
        </w:tc>
        <w:tc>
          <w:tcPr>
            <w:tcW w:w="2920" w:type="dxa"/>
            <w:vAlign w:val="bottom"/>
          </w:tcPr>
          <w:p>
            <w:pPr>
              <w:ind w:left="420"/>
              <w:spacing w:after="0"/>
              <w:rPr>
                <w:sz w:val="20"/>
                <w:szCs w:val="20"/>
                <w:color w:val="auto"/>
              </w:rPr>
            </w:pPr>
            <w:r>
              <w:rPr>
                <w:rFonts w:ascii="Arial" w:cs="Arial" w:eastAsia="Arial" w:hAnsi="Arial"/>
                <w:sz w:val="18"/>
                <w:szCs w:val="18"/>
                <w:color w:val="auto"/>
              </w:rPr>
              <w:t>March 24,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Executive Officer) and Director</w:t>
            </w: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Bonnie H. Anderson</w:t>
            </w:r>
          </w:p>
        </w:tc>
        <w:tc>
          <w:tcPr>
            <w:tcW w:w="376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SHELLY D. GUYER</w:t>
            </w:r>
          </w:p>
        </w:tc>
        <w:tc>
          <w:tcPr>
            <w:tcW w:w="376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w:t>
            </w:r>
          </w:p>
        </w:tc>
        <w:tc>
          <w:tcPr>
            <w:tcW w:w="2920" w:type="dxa"/>
            <w:vAlign w:val="bottom"/>
          </w:tcPr>
          <w:p>
            <w:pPr>
              <w:ind w:left="420"/>
              <w:spacing w:after="0"/>
              <w:rPr>
                <w:sz w:val="20"/>
                <w:szCs w:val="20"/>
                <w:color w:val="auto"/>
              </w:rPr>
            </w:pPr>
            <w:r>
              <w:rPr>
                <w:rFonts w:ascii="Arial" w:cs="Arial" w:eastAsia="Arial" w:hAnsi="Arial"/>
                <w:sz w:val="18"/>
                <w:szCs w:val="18"/>
                <w:color w:val="auto"/>
              </w:rPr>
              <w:t>March 24,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Officer)</w:t>
            </w: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Shelly D. Guyer</w:t>
            </w:r>
          </w:p>
        </w:tc>
        <w:tc>
          <w:tcPr>
            <w:tcW w:w="376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DUNCAN T. POWELL</w:t>
            </w:r>
          </w:p>
        </w:tc>
        <w:tc>
          <w:tcPr>
            <w:tcW w:w="3760" w:type="dxa"/>
            <w:vAlign w:val="bottom"/>
          </w:tcPr>
          <w:p>
            <w:pPr>
              <w:ind w:left="160"/>
              <w:spacing w:after="0"/>
              <w:rPr>
                <w:sz w:val="20"/>
                <w:szCs w:val="20"/>
                <w:color w:val="auto"/>
              </w:rPr>
            </w:pPr>
            <w:r>
              <w:rPr>
                <w:rFonts w:ascii="Arial" w:cs="Arial" w:eastAsia="Arial" w:hAnsi="Arial"/>
                <w:sz w:val="18"/>
                <w:szCs w:val="18"/>
                <w:color w:val="auto"/>
              </w:rPr>
              <w:t>Senior Vice President (Principal Accounting</w:t>
            </w:r>
          </w:p>
        </w:tc>
        <w:tc>
          <w:tcPr>
            <w:tcW w:w="2920" w:type="dxa"/>
            <w:vAlign w:val="bottom"/>
          </w:tcPr>
          <w:p>
            <w:pPr>
              <w:ind w:left="420"/>
              <w:spacing w:after="0"/>
              <w:rPr>
                <w:sz w:val="20"/>
                <w:szCs w:val="20"/>
                <w:color w:val="auto"/>
              </w:rPr>
            </w:pPr>
            <w:r>
              <w:rPr>
                <w:rFonts w:ascii="Arial" w:cs="Arial" w:eastAsia="Arial" w:hAnsi="Arial"/>
                <w:sz w:val="18"/>
                <w:szCs w:val="18"/>
                <w:color w:val="auto"/>
              </w:rPr>
              <w:t>March 24,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Officer)</w:t>
            </w: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Duncan T. Powell</w:t>
            </w:r>
          </w:p>
        </w:tc>
        <w:tc>
          <w:tcPr>
            <w:tcW w:w="376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58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4"/>
              </w:rPr>
              <w:t>/s/ BRIAN G. ATWOOD</w:t>
            </w:r>
          </w:p>
        </w:tc>
        <w:tc>
          <w:tcPr>
            <w:tcW w:w="3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Brian G. Atwood</w:t>
            </w:r>
          </w:p>
        </w:tc>
        <w:tc>
          <w:tcPr>
            <w:tcW w:w="3760" w:type="dxa"/>
            <w:vAlign w:val="bottom"/>
          </w:tcPr>
          <w:p>
            <w:pPr>
              <w:ind w:left="160"/>
              <w:spacing w:after="0"/>
              <w:rPr>
                <w:sz w:val="20"/>
                <w:szCs w:val="20"/>
                <w:color w:val="auto"/>
              </w:rPr>
            </w:pPr>
            <w:r>
              <w:rPr>
                <w:rFonts w:ascii="Arial" w:cs="Arial" w:eastAsia="Arial" w:hAnsi="Arial"/>
                <w:sz w:val="18"/>
                <w:szCs w:val="18"/>
                <w:color w:val="auto"/>
              </w:rPr>
              <w:t>Chairman of Board of Directors</w:t>
            </w:r>
          </w:p>
        </w:tc>
        <w:tc>
          <w:tcPr>
            <w:tcW w:w="2920" w:type="dxa"/>
            <w:vAlign w:val="bottom"/>
          </w:tcPr>
          <w:p>
            <w:pPr>
              <w:ind w:left="420"/>
              <w:spacing w:after="0"/>
              <w:rPr>
                <w:sz w:val="20"/>
                <w:szCs w:val="20"/>
                <w:color w:val="auto"/>
              </w:rPr>
            </w:pPr>
            <w:r>
              <w:rPr>
                <w:rFonts w:ascii="Arial" w:cs="Arial" w:eastAsia="Arial" w:hAnsi="Arial"/>
                <w:sz w:val="18"/>
                <w:szCs w:val="18"/>
                <w:color w:val="auto"/>
              </w:rPr>
              <w:t>March 24,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/s/ JOHN L. BISHOP</w:t>
            </w:r>
          </w:p>
        </w:tc>
        <w:tc>
          <w:tcPr>
            <w:tcW w:w="3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John L. Bishop</w:t>
            </w:r>
          </w:p>
        </w:tc>
        <w:tc>
          <w:tcPr>
            <w:tcW w:w="3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420"/>
              <w:spacing w:after="0"/>
              <w:rPr>
                <w:sz w:val="20"/>
                <w:szCs w:val="20"/>
                <w:color w:val="auto"/>
              </w:rPr>
            </w:pPr>
            <w:r>
              <w:rPr>
                <w:rFonts w:ascii="Arial" w:cs="Arial" w:eastAsia="Arial" w:hAnsi="Arial"/>
                <w:sz w:val="18"/>
                <w:szCs w:val="18"/>
                <w:color w:val="auto"/>
              </w:rPr>
              <w:t>March 24,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Arial" w:cs="Arial" w:eastAsia="Arial" w:hAnsi="Arial"/>
                <w:sz w:val="18"/>
                <w:szCs w:val="18"/>
                <w:color w:val="auto"/>
              </w:rPr>
              <w:t>127</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BROOK H. BYERS</w:t>
            </w:r>
          </w:p>
        </w:tc>
        <w:tc>
          <w:tcPr>
            <w:tcW w:w="80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Brook H. Byers</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24, 2015</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/s/ FRED E. COHEN, M.D., D.PHIL.</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Fred E. Cohen, M.D., D.Phil.</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24, 2015</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7"/>
              </w:rPr>
              <w:t>/s/ KARIN EASTHAM</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8"/>
              </w:rPr>
              <w:t>Karin Eastham</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24, 2015</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ROBERT S. EPSTEIN</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Robert S. Epstein</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24, 2015</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EVAN JONES</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Evan Jones</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24, 2015</w:t>
            </w:r>
          </w:p>
        </w:tc>
      </w:tr>
      <w:tr>
        <w:trPr>
          <w:trHeight w:val="45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/s/ JESSE I. TREU, PH.D.</w:t>
            </w:r>
          </w:p>
        </w:tc>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588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5"/>
              </w:rPr>
              <w:t>Jesse I. Treu, Ph.D.</w:t>
            </w:r>
          </w:p>
        </w:tc>
        <w:tc>
          <w:tcPr>
            <w:tcW w:w="800" w:type="dxa"/>
            <w:vAlign w:val="bottom"/>
          </w:tcPr>
          <w:p>
            <w:pPr>
              <w:ind w:left="160"/>
              <w:spacing w:after="0"/>
              <w:rPr>
                <w:sz w:val="20"/>
                <w:szCs w:val="20"/>
                <w:color w:val="auto"/>
              </w:rPr>
            </w:pPr>
            <w:r>
              <w:rPr>
                <w:rFonts w:ascii="Arial" w:cs="Arial" w:eastAsia="Arial" w:hAnsi="Arial"/>
                <w:sz w:val="18"/>
                <w:szCs w:val="18"/>
                <w:color w:val="auto"/>
                <w:w w:val="98"/>
              </w:rPr>
              <w:t>Director</w:t>
            </w:r>
          </w:p>
        </w:tc>
        <w:tc>
          <w:tcPr>
            <w:tcW w:w="5880" w:type="dxa"/>
            <w:vAlign w:val="bottom"/>
          </w:tcPr>
          <w:p>
            <w:pPr>
              <w:ind w:left="3380"/>
              <w:spacing w:after="0"/>
              <w:rPr>
                <w:sz w:val="20"/>
                <w:szCs w:val="20"/>
                <w:color w:val="auto"/>
              </w:rPr>
            </w:pPr>
            <w:r>
              <w:rPr>
                <w:rFonts w:ascii="Arial" w:cs="Arial" w:eastAsia="Arial" w:hAnsi="Arial"/>
                <w:sz w:val="18"/>
                <w:szCs w:val="18"/>
                <w:color w:val="auto"/>
              </w:rPr>
              <w:t>March 24, 2015</w:t>
            </w:r>
          </w:p>
        </w:tc>
      </w:tr>
      <w:tr>
        <w:trPr>
          <w:trHeight w:val="43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80" w:type="dxa"/>
            <w:vAlign w:val="bottom"/>
          </w:tcPr>
          <w:p>
            <w:pPr>
              <w:ind w:left="40"/>
              <w:spacing w:after="0"/>
              <w:rPr>
                <w:sz w:val="20"/>
                <w:szCs w:val="20"/>
                <w:color w:val="auto"/>
              </w:rPr>
            </w:pPr>
            <w:r>
              <w:rPr>
                <w:rFonts w:ascii="Arial" w:cs="Arial" w:eastAsia="Arial" w:hAnsi="Arial"/>
                <w:sz w:val="18"/>
                <w:szCs w:val="18"/>
                <w:color w:val="auto"/>
              </w:rPr>
              <w:t>128</w:t>
            </w: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portions of this document have been redacted and have been filed separately with the Commission</w:t>
      </w:r>
    </w:p>
    <w:p>
      <w:pPr>
        <w:spacing w:after="0" w:line="211" w:lineRule="exact"/>
        <w:rPr>
          <w:sz w:val="20"/>
          <w:szCs w:val="20"/>
          <w:color w:val="auto"/>
        </w:rPr>
      </w:pPr>
    </w:p>
    <w:p>
      <w:pPr>
        <w:ind w:left="10280"/>
        <w:spacing w:after="0"/>
        <w:rPr>
          <w:sz w:val="20"/>
          <w:szCs w:val="20"/>
          <w:color w:val="auto"/>
        </w:rPr>
      </w:pPr>
      <w:r>
        <w:rPr>
          <w:rFonts w:ascii="Arial" w:cs="Arial" w:eastAsia="Arial" w:hAnsi="Arial"/>
          <w:sz w:val="16"/>
          <w:szCs w:val="16"/>
          <w:i w:val="1"/>
          <w:iCs w:val="1"/>
          <w:color w:val="auto"/>
        </w:rPr>
        <w:t>Execution Copy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EX-U.S. CO-PROMOTION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Genzyme Corporation</w:t>
      </w:r>
      <w:r>
        <w:rPr>
          <w:rFonts w:ascii="Arial" w:cs="Arial" w:eastAsia="Arial" w:hAnsi="Arial"/>
          <w:sz w:val="18"/>
          <w:szCs w:val="18"/>
          <w:color w:val="auto"/>
        </w:rPr>
        <w:t>, with offices located at 500 Kendall Street, Cambridge, Massachusetts 02142 (hereinafter referred to as “</w:t>
      </w:r>
      <w:r>
        <w:rPr>
          <w:rFonts w:ascii="Arial" w:cs="Arial" w:eastAsia="Arial" w:hAnsi="Arial"/>
          <w:sz w:val="18"/>
          <w:szCs w:val="18"/>
          <w:u w:val="single" w:color="auto"/>
          <w:color w:val="auto"/>
        </w:rPr>
        <w:t>Genzyme</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Veracyte, Inc.</w:t>
      </w:r>
      <w:r>
        <w:rPr>
          <w:rFonts w:ascii="Arial" w:cs="Arial" w:eastAsia="Arial" w:hAnsi="Arial"/>
          <w:sz w:val="18"/>
          <w:szCs w:val="18"/>
          <w:color w:val="auto"/>
        </w:rPr>
        <w:t>, with offices located at 7000 Shoreline Ct., Ste. 250, South San Francisco, CA 94080 (hereinafter also referred to as “</w:t>
      </w:r>
      <w:r>
        <w:rPr>
          <w:rFonts w:ascii="Arial" w:cs="Arial" w:eastAsia="Arial" w:hAnsi="Arial"/>
          <w:sz w:val="18"/>
          <w:szCs w:val="18"/>
          <w:u w:val="single" w:color="auto"/>
          <w:color w:val="auto"/>
        </w:rPr>
        <w:t>Veracyte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80" w:right="580" w:hanging="672"/>
        <w:spacing w:after="0" w:line="22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Veracyte has developed the Afirma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Thyroid FNA Analysis, which includes centralized cytopathology and molecular testing services for the assessment of thyroid nodules;</w:t>
      </w:r>
    </w:p>
    <w:p>
      <w:pPr>
        <w:spacing w:after="0" w:line="202" w:lineRule="exact"/>
        <w:rPr>
          <w:rFonts w:ascii="Arial" w:cs="Arial" w:eastAsia="Arial" w:hAnsi="Arial"/>
          <w:sz w:val="18"/>
          <w:szCs w:val="18"/>
          <w:color w:val="auto"/>
        </w:rPr>
      </w:pPr>
    </w:p>
    <w:p>
      <w:pPr>
        <w:ind w:left="680" w:right="680" w:hanging="672"/>
        <w:spacing w:after="0" w:line="227"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Genzyme is engaged in the business of and has expertise in, among other things, the sales and marketing of Thyrogen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(thyrotropin alfa for injection), a product for patients with thyroid cancer;</w:t>
      </w:r>
    </w:p>
    <w:p>
      <w:pPr>
        <w:spacing w:after="0" w:line="202" w:lineRule="exact"/>
        <w:rPr>
          <w:rFonts w:ascii="Arial" w:cs="Arial" w:eastAsia="Arial" w:hAnsi="Arial"/>
          <w:sz w:val="18"/>
          <w:szCs w:val="18"/>
          <w:color w:val="auto"/>
        </w:rPr>
      </w:pPr>
    </w:p>
    <w:p>
      <w:pPr>
        <w:ind w:left="680" w:right="500" w:hanging="672"/>
        <w:spacing w:after="0" w:line="264"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Veracyte and Genzyme are currently promoting the Afirma Thyroid FNA Analysis in the United States (“</w:t>
      </w:r>
      <w:r>
        <w:rPr>
          <w:rFonts w:ascii="Arial" w:cs="Arial" w:eastAsia="Arial" w:hAnsi="Arial"/>
          <w:sz w:val="18"/>
          <w:szCs w:val="18"/>
          <w:u w:val="single" w:color="auto"/>
          <w:color w:val="auto"/>
        </w:rPr>
        <w:t>U.S.</w:t>
      </w:r>
      <w:r>
        <w:rPr>
          <w:rFonts w:ascii="Arial" w:cs="Arial" w:eastAsia="Arial" w:hAnsi="Arial"/>
          <w:sz w:val="18"/>
          <w:szCs w:val="18"/>
          <w:color w:val="auto"/>
        </w:rPr>
        <w:t>”) pursuant to the Amended and Restated U.S. Co-Promotion Agreement, by and between Genzyme and Veracyte, dated as of November 7, 2014 (the “</w:t>
      </w:r>
      <w:r>
        <w:rPr>
          <w:rFonts w:ascii="Arial" w:cs="Arial" w:eastAsia="Arial" w:hAnsi="Arial"/>
          <w:sz w:val="18"/>
          <w:szCs w:val="18"/>
          <w:u w:val="single" w:color="auto"/>
          <w:color w:val="auto"/>
        </w:rPr>
        <w:t>U.S. Co-Promotion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00" w:hanging="69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Genzyme has professional endocrinology sales organizations outside the U.S.; and</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Veracyte and Genzyme desire to co-promote the Afirma Thyroid FNA Analysis in the Territories upon the terms and conditions set forth herein.</w:t>
      </w:r>
    </w:p>
    <w:p>
      <w:pPr>
        <w:spacing w:after="0" w:line="23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in this Agreement,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is hereby acknowledged, the parties hereto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DEFINITIONS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 terms defined herein, the singular shall include the plural and vice versa.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Ad/Prom Materials</w:t>
      </w:r>
      <w:r>
        <w:rPr>
          <w:rFonts w:ascii="Arial" w:cs="Arial" w:eastAsia="Arial" w:hAnsi="Arial"/>
          <w:sz w:val="18"/>
          <w:szCs w:val="18"/>
          <w:color w:val="auto"/>
        </w:rPr>
        <w:t>” shall mean advertising and promotional materials for the Test.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Country</w:t>
      </w:r>
      <w:r>
        <w:rPr>
          <w:rFonts w:ascii="Arial" w:cs="Arial" w:eastAsia="Arial" w:hAnsi="Arial"/>
          <w:sz w:val="18"/>
          <w:szCs w:val="18"/>
          <w:color w:val="auto"/>
        </w:rPr>
        <w:t>” shall have meaning set forth in Section 2.6.</w:t>
      </w:r>
    </w:p>
    <w:p>
      <w:pPr>
        <w:spacing w:after="0" w:line="22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entity that directly or indirectly controls, is controlled by or is under common control with another entity. The term “control”, including the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“controlled by” or “under common control with” means the possession of, directly or indirectly, the capability to control the direction of the management and policies of any entity, whether through the ownership of shares,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Afirma</w:t>
      </w:r>
      <w:r>
        <w:rPr>
          <w:rFonts w:ascii="Arial" w:cs="Arial" w:eastAsia="Arial" w:hAnsi="Arial"/>
          <w:sz w:val="18"/>
          <w:szCs w:val="18"/>
          <w:color w:val="auto"/>
        </w:rPr>
        <w:t>” shall mean Afirma Thyroid FNA Analysis.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Ex-U.S. Co-Promotion Agreement and its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Commercial Plan</w:t>
      </w:r>
      <w:r>
        <w:rPr>
          <w:rFonts w:ascii="Arial" w:cs="Arial" w:eastAsia="Arial" w:hAnsi="Arial"/>
          <w:sz w:val="18"/>
          <w:szCs w:val="18"/>
          <w:color w:val="auto"/>
        </w:rPr>
        <w:t>” shall have the meaning set forth in Section 3.2.1.</w:t>
      </w:r>
    </w:p>
    <w:p>
      <w:pPr>
        <w:spacing w:after="0" w:line="225" w:lineRule="exact"/>
        <w:rPr>
          <w:sz w:val="20"/>
          <w:szCs w:val="20"/>
          <w:color w:val="auto"/>
        </w:rPr>
      </w:pPr>
    </w:p>
    <w:p>
      <w:pPr>
        <w:jc w:val="both"/>
        <w:ind w:left="660" w:right="5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w:t>
      </w:r>
      <w:r>
        <w:rPr>
          <w:rFonts w:ascii="Arial" w:cs="Arial" w:eastAsia="Arial" w:hAnsi="Arial"/>
          <w:sz w:val="18"/>
          <w:szCs w:val="18"/>
          <w:color w:val="auto"/>
        </w:rPr>
        <w:t>” shall mean a face-to-face visit by a direct professional sales representative of Genzyme or its Affiliates or Veracyte or its Affiliates to a Healthcare Professional for the purposes of promoting the Test. For the avoidance of doubt, visits primarily related to complaints or otherwise primarily related to customer service shall not be deemed “Calls”.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Obligations</w:t>
      </w:r>
      <w:r>
        <w:rPr>
          <w:rFonts w:ascii="Arial" w:cs="Arial" w:eastAsia="Arial" w:hAnsi="Arial"/>
          <w:sz w:val="18"/>
          <w:szCs w:val="18"/>
          <w:color w:val="auto"/>
        </w:rPr>
        <w:t>” shall have the meaning set forth in Section 3.1.2.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CAPAs</w:t>
      </w:r>
      <w:r>
        <w:rPr>
          <w:rFonts w:ascii="Arial" w:cs="Arial" w:eastAsia="Arial" w:hAnsi="Arial"/>
          <w:sz w:val="18"/>
          <w:szCs w:val="18"/>
          <w:color w:val="auto"/>
        </w:rPr>
        <w:t>” shall have the meaning set forth in Section 4.8.2.</w:t>
      </w:r>
    </w:p>
    <w:p>
      <w:pPr>
        <w:spacing w:after="0" w:line="225"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shall mean that (i) any person/entity controlling a party ceases to control that party; (ii) any person/entity not controlling a party obtains control of that party; (iii) the acquisition, directly or indirectly, by any Person or group of related Persons (other than any Person that controls, is controlled by or is under common control with a party) of beneficial ownership (as such term is defined in Rule 13d-3 promulgated under the Securities Exchange Act of 1934, as amended) of securities possessing more than fifty percent (50%) of the total combined voting power of a party’s outstanding securities; (iv) a merger or consolidation in which securities possessing more than fifty percent (50%) of the total combined voting power of such party’s outstanding securities are transferred to a Person or Persons different from the Persons holding those securities immediately prior to such transaction; or (v) the sale, transfer or other disposition of all or substantially all of such party’s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Genzyme, if any of the foregoing occurs in connection with or as a result of reorganization or a transaction with Sanofi and/or</w:t>
      </w:r>
    </w:p>
    <w:p>
      <w:pPr>
        <w:sectPr>
          <w:pgSz w:w="11900" w:h="16892" w:orient="portrait"/>
          <w:cols w:equalWidth="0" w:num="1">
            <w:col w:w="11420"/>
          </w:cols>
          <w:pgMar w:left="240" w:top="364" w:right="239" w:bottom="0" w:gutter="0" w:footer="0" w:header="0"/>
        </w:sectPr>
      </w:pPr>
    </w:p>
    <w:bookmarkStart w:id="133" w:name="page134"/>
    <w:bookmarkEnd w:id="133"/>
    <w:p>
      <w:pPr>
        <w:ind w:right="200"/>
        <w:spacing w:after="0" w:line="276" w:lineRule="auto"/>
        <w:rPr>
          <w:sz w:val="20"/>
          <w:szCs w:val="20"/>
          <w:color w:val="auto"/>
        </w:rPr>
      </w:pPr>
      <w:r>
        <w:rPr>
          <w:rFonts w:ascii="Arial" w:cs="Arial" w:eastAsia="Arial" w:hAnsi="Arial"/>
          <w:sz w:val="17"/>
          <w:szCs w:val="17"/>
          <w:color w:val="auto"/>
        </w:rPr>
        <w:t>another Affiliate, then it shall not be deemed a Change of Control for purposes of this Agreement. The term “control”, including the term “controlling” means the possession of, directly or indirectly, the capability to control the direction of the management and policies of a party, whether through the ownership of shares, by contract or otherwise. The term “Person”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CLIA</w:t>
      </w:r>
      <w:r>
        <w:rPr>
          <w:rFonts w:ascii="Arial" w:cs="Arial" w:eastAsia="Arial" w:hAnsi="Arial"/>
          <w:sz w:val="18"/>
          <w:szCs w:val="18"/>
          <w:color w:val="auto"/>
        </w:rPr>
        <w:t>” shall have the meaning set forth in Section 4.1.1(d).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Kits</w:t>
      </w:r>
      <w:r>
        <w:rPr>
          <w:rFonts w:ascii="Arial" w:cs="Arial" w:eastAsia="Arial" w:hAnsi="Arial"/>
          <w:sz w:val="18"/>
          <w:szCs w:val="18"/>
          <w:color w:val="auto"/>
        </w:rPr>
        <w:t>” shall mean the sample collection and sample transport supplies intended for the collection and transport of human thyroid FNA samples for the Test, which may include, without limitation, collection tubes with preservation solution, slide holders, and sample shipment materials, as may be determined by Veracyte from time to time in a manner consistent with applicable laws and Marketing Authorizations. For the avoidance of doubt, Collection Kits do not include syringes, needles or other devices for sample aspiration from patients or any other materials intended to come in physical contact with patients.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that level of effort which would be devoted by an independent entity seeking to expeditiously and diligently pursue its own business efforts in light of relevant circumstances, but in no case less than that level of efforts and resources, in such a manner, and with such expedition as a party itself would adopt in launching, promoting and detailing its own services or products with similar market value or potential as the Test, taking into consideration all relevant considerations, including without limitation patent protection or trade secret protection. For the avoidance of doubt, the aforementioned examples of relevant considerations are not intended to be exhaustive and no one such consideration (such as the absence of patents or trade secret protection in a particular Country alone) is intended to be determinative in and of itself of whether a party exercised the requisite level of diligence.</w:t>
      </w:r>
    </w:p>
    <w:p>
      <w:pPr>
        <w:spacing w:after="0" w:line="17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Complaint</w:t>
      </w:r>
      <w:r>
        <w:rPr>
          <w:rFonts w:ascii="Arial" w:cs="Arial" w:eastAsia="Arial" w:hAnsi="Arial"/>
          <w:sz w:val="17"/>
          <w:szCs w:val="17"/>
          <w:color w:val="auto"/>
        </w:rPr>
        <w:t>” shall mean a written, electronic or oral communication or expression of dissatisfaction that alleges deficiencies related to the Test (including Improvements), including, without limitation, identity, quality, labelling, safety, accuracy or performance of the Test.</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Comprehensive Services Territory</w:t>
      </w:r>
      <w:r>
        <w:rPr>
          <w:rFonts w:ascii="Arial" w:cs="Arial" w:eastAsia="Arial" w:hAnsi="Arial"/>
          <w:sz w:val="18"/>
          <w:szCs w:val="18"/>
          <w:color w:val="auto"/>
        </w:rPr>
        <w:t>” shall mean any Additional Country designated as part of the Comprehensive Services Territory pursuant to Section 2.6.</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all information not known to the general public or of a confidential nature disclosed (in writing, verbally, electronically, or by any other means directly or indirectly) by or on behalf of one party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to the other party (the “</w:t>
      </w:r>
      <w:r>
        <w:rPr>
          <w:rFonts w:ascii="Arial" w:cs="Arial" w:eastAsia="Arial" w:hAnsi="Arial"/>
          <w:sz w:val="18"/>
          <w:szCs w:val="18"/>
          <w:u w:val="single" w:color="auto"/>
          <w:color w:val="auto"/>
        </w:rPr>
        <w:t>Receiving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under this Agreement, including, without limitation, any information relating to (i) the manufacture, testing, price, Complaints about (except as are required to be disclosed to Regulatory Authorities), Marketing Authorizations for, customers of, or defects in, the Test, (ii) a party’s inventions, discoveries, improvements, methods, products, finances, operations, processes, plans, product information (including new or prototype products), know-how, design rights, trade secrets, market opportunities, regulatory information, customer and supplier information and business affairs, and (iii) the provision of the Test.</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Year</w:t>
      </w:r>
      <w:r>
        <w:rPr>
          <w:rFonts w:ascii="Arial" w:cs="Arial" w:eastAsia="Arial" w:hAnsi="Arial"/>
          <w:sz w:val="18"/>
          <w:szCs w:val="18"/>
          <w:color w:val="auto"/>
        </w:rPr>
        <w:t>” shall mean a twelve (12)-month period commencing as of January 1 and ending as of December 31. For the purposes of this Agreement, the first contract year shall commence on the Effective Date and end on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w:t>
      </w:r>
      <w:r>
        <w:rPr>
          <w:rFonts w:ascii="Arial" w:cs="Arial" w:eastAsia="Arial" w:hAnsi="Arial"/>
          <w:sz w:val="18"/>
          <w:szCs w:val="18"/>
          <w:color w:val="auto"/>
        </w:rPr>
        <w:t>” shall mean any of the countries in the Territories.</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Country Commitment Date</w:t>
      </w:r>
      <w:r>
        <w:rPr>
          <w:rFonts w:ascii="Arial" w:cs="Arial" w:eastAsia="Arial" w:hAnsi="Arial"/>
          <w:sz w:val="17"/>
          <w:szCs w:val="17"/>
          <w:color w:val="auto"/>
        </w:rPr>
        <w:t xml:space="preserve">” shall mean, with respect to a Country, the “Country Commitment Date”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such Country.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Payment Rate</w:t>
      </w:r>
      <w:r>
        <w:rPr>
          <w:rFonts w:ascii="Arial" w:cs="Arial" w:eastAsia="Arial" w:hAnsi="Arial"/>
          <w:sz w:val="18"/>
          <w:szCs w:val="18"/>
          <w:color w:val="auto"/>
        </w:rPr>
        <w:t xml:space="preserve">” shall mean, with respect to a Country, the “Country Payment Rate”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such Country.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Regulatory Event</w:t>
      </w:r>
      <w:r>
        <w:rPr>
          <w:rFonts w:ascii="Arial" w:cs="Arial" w:eastAsia="Arial" w:hAnsi="Arial"/>
          <w:sz w:val="18"/>
          <w:szCs w:val="18"/>
          <w:color w:val="auto"/>
        </w:rPr>
        <w:t>” shall have the meaning set forth in Section 11.6.5(a).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Regulatory Termination</w:t>
      </w:r>
      <w:r>
        <w:rPr>
          <w:rFonts w:ascii="Arial" w:cs="Arial" w:eastAsia="Arial" w:hAnsi="Arial"/>
          <w:sz w:val="18"/>
          <w:szCs w:val="18"/>
          <w:color w:val="auto"/>
        </w:rPr>
        <w:t>” shall have the meaning set forth in Section 11.6.1.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Removal Notice</w:t>
      </w:r>
      <w:r>
        <w:rPr>
          <w:rFonts w:ascii="Arial" w:cs="Arial" w:eastAsia="Arial" w:hAnsi="Arial"/>
          <w:sz w:val="18"/>
          <w:szCs w:val="18"/>
          <w:color w:val="auto"/>
        </w:rPr>
        <w:t>” shall have the meaning set forth in Section 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 Notice</w:t>
      </w:r>
      <w:r>
        <w:rPr>
          <w:rFonts w:ascii="Arial" w:cs="Arial" w:eastAsia="Arial" w:hAnsi="Arial"/>
          <w:sz w:val="18"/>
          <w:szCs w:val="18"/>
          <w:color w:val="auto"/>
        </w:rPr>
        <w:t>” shall have the meaning set forth in Section 11.6.1.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 Collection Activities</w:t>
      </w:r>
      <w:r>
        <w:rPr>
          <w:rFonts w:ascii="Arial" w:cs="Arial" w:eastAsia="Arial" w:hAnsi="Arial"/>
          <w:sz w:val="18"/>
          <w:szCs w:val="18"/>
          <w:color w:val="auto"/>
        </w:rPr>
        <w:t>” shall have the meaning set forth in Section 4.11.1.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 Royalty</w:t>
      </w:r>
      <w:r>
        <w:rPr>
          <w:rFonts w:ascii="Arial" w:cs="Arial" w:eastAsia="Arial" w:hAnsi="Arial"/>
          <w:sz w:val="18"/>
          <w:szCs w:val="18"/>
          <w:color w:val="auto"/>
        </w:rPr>
        <w:t>” shall have the meaning set forth in Section 6.1.1.</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Dedicated Promotion Only Territory</w:t>
      </w:r>
      <w:r>
        <w:rPr>
          <w:rFonts w:ascii="Arial" w:cs="Arial" w:eastAsia="Arial" w:hAnsi="Arial"/>
          <w:sz w:val="18"/>
          <w:szCs w:val="18"/>
          <w:color w:val="auto"/>
        </w:rPr>
        <w:t>” shall mean Brazil, Singapore, and any Additional Country designated as part of the Dedicated Promotion Only Territory pursuant to Section 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DPO Collection Activities</w:t>
      </w:r>
      <w:r>
        <w:rPr>
          <w:rFonts w:ascii="Arial" w:cs="Arial" w:eastAsia="Arial" w:hAnsi="Arial"/>
          <w:sz w:val="18"/>
          <w:szCs w:val="18"/>
          <w:color w:val="auto"/>
        </w:rPr>
        <w:t>” shall have the meaning set forth in Section 4.11.2.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DPO Promotion Fees</w:t>
      </w:r>
      <w:r>
        <w:rPr>
          <w:rFonts w:ascii="Arial" w:cs="Arial" w:eastAsia="Arial" w:hAnsi="Arial"/>
          <w:sz w:val="18"/>
          <w:szCs w:val="18"/>
          <w:color w:val="auto"/>
        </w:rPr>
        <w:t>” shall have the meaning set forth in Section 6.1.2.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January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w:t>
      </w:r>
      <w:r>
        <w:rPr>
          <w:rFonts w:ascii="Arial" w:cs="Arial" w:eastAsia="Arial" w:hAnsi="Arial"/>
          <w:sz w:val="18"/>
          <w:szCs w:val="18"/>
          <w:color w:val="auto"/>
        </w:rPr>
        <w:t>” shall have the meaning set forth in Section 11.1.</w:t>
      </w:r>
    </w:p>
    <w:p>
      <w:pPr>
        <w:sectPr>
          <w:pgSz w:w="11900" w:h="16838" w:orient="portrait"/>
          <w:cols w:equalWidth="0" w:num="1">
            <w:col w:w="10680"/>
          </w:cols>
          <w:pgMar w:left="900" w:top="125" w:right="319" w:bottom="0" w:gutter="0" w:footer="0" w:header="0"/>
        </w:sectPr>
      </w:pPr>
    </w:p>
    <w:bookmarkStart w:id="134" w:name="page135"/>
    <w:bookmarkEnd w:id="134"/>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shall have the meaning set forth in Section 9.5.1(a).</w:t>
      </w:r>
    </w:p>
    <w:p>
      <w:pPr>
        <w:spacing w:after="0" w:line="225" w:lineRule="exact"/>
        <w:rPr>
          <w:sz w:val="20"/>
          <w:szCs w:val="20"/>
          <w:color w:val="auto"/>
        </w:rPr>
      </w:pPr>
    </w:p>
    <w:p>
      <w:pPr>
        <w:ind w:left="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FNA</w:t>
      </w:r>
      <w:r>
        <w:rPr>
          <w:rFonts w:ascii="Arial" w:cs="Arial" w:eastAsia="Arial" w:hAnsi="Arial"/>
          <w:sz w:val="18"/>
          <w:szCs w:val="18"/>
          <w:color w:val="auto"/>
        </w:rPr>
        <w:t>” shall mean fine needle aspiration biopsy(ies).</w:t>
      </w:r>
    </w:p>
    <w:p>
      <w:pPr>
        <w:spacing w:after="0" w:line="225" w:lineRule="exact"/>
        <w:rPr>
          <w:sz w:val="20"/>
          <w:szCs w:val="20"/>
          <w:color w:val="auto"/>
        </w:rPr>
      </w:pPr>
    </w:p>
    <w:p>
      <w:pPr>
        <w:ind w:left="24" w:firstLine="1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Future Test</w:t>
      </w:r>
      <w:r>
        <w:rPr>
          <w:rFonts w:ascii="Arial" w:cs="Arial" w:eastAsia="Arial" w:hAnsi="Arial"/>
          <w:sz w:val="17"/>
          <w:szCs w:val="17"/>
          <w:color w:val="auto"/>
        </w:rPr>
        <w:t>” shall mean any product or service, other than the Test, and all improvements to such product or service, that Veracyte owns, controls or has rights to at any time during the Term, that (i) is/are for additional thyroid cancer diagnosis or treatment applications including, without limitation, tests developed on cytopathology diagnoses other than Indeterminate, and (ii) require(s) one or more additional clinical study(s) in order to obtain Marketing Authorization or, if Marketing Authorization is not required, to effectively compete in the market. For purposes of clarity, Future Test does not include any product or service used outside of the field of thyroid cancer diagnosis and treatment, including, without limitation, the diagnosis or treatment of any other tissues, organs, or systems or any other diseases or conditions.</w:t>
      </w:r>
    </w:p>
    <w:p>
      <w:pPr>
        <w:spacing w:after="0" w:line="17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then-current international generally accepted accounting principles, consistently applied.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Genzyme Detail Report</w:t>
      </w:r>
      <w:r>
        <w:rPr>
          <w:rFonts w:ascii="Arial" w:cs="Arial" w:eastAsia="Arial" w:hAnsi="Arial"/>
          <w:sz w:val="18"/>
          <w:szCs w:val="18"/>
          <w:color w:val="auto"/>
        </w:rPr>
        <w:t>” shall have the meaning set forth in Section 3.4.1.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Genzyme Quarterly Net Revenue Report</w:t>
      </w:r>
      <w:r>
        <w:rPr>
          <w:rFonts w:ascii="Arial" w:cs="Arial" w:eastAsia="Arial" w:hAnsi="Arial"/>
          <w:sz w:val="18"/>
          <w:szCs w:val="18"/>
          <w:color w:val="auto"/>
        </w:rPr>
        <w:t>” shall have the meaning set forth in Section 6.2.1.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Genzyme Trademarks</w:t>
      </w:r>
      <w:r>
        <w:rPr>
          <w:rFonts w:ascii="Arial" w:cs="Arial" w:eastAsia="Arial" w:hAnsi="Arial"/>
          <w:sz w:val="18"/>
          <w:szCs w:val="18"/>
          <w:color w:val="auto"/>
        </w:rPr>
        <w:t>” shall mean Trademarks of Genzyme.</w:t>
      </w:r>
    </w:p>
    <w:p>
      <w:pPr>
        <w:spacing w:after="0" w:line="225"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Professionals</w:t>
      </w:r>
      <w:r>
        <w:rPr>
          <w:rFonts w:ascii="Arial" w:cs="Arial" w:eastAsia="Arial" w:hAnsi="Arial"/>
          <w:sz w:val="18"/>
          <w:szCs w:val="18"/>
          <w:color w:val="auto"/>
        </w:rPr>
        <w:t>” shall mean (i) health care providers qualified to prescribe, recommend, or perform diagnostic testing for thyroid cancer, in each case who are authorized by applicable law to authorize, utilize, or prescribe the Test and (ii) any associated staff who need to be educated about the Test (including without limitation logistics related to the Test), including but not limited to nurses, laboratory technicians, physician assistants, and administrative staff.</w:t>
      </w:r>
    </w:p>
    <w:p>
      <w:pPr>
        <w:spacing w:after="0" w:line="187" w:lineRule="exact"/>
        <w:rPr>
          <w:sz w:val="20"/>
          <w:szCs w:val="20"/>
          <w:color w:val="auto"/>
        </w:rPr>
      </w:pPr>
    </w:p>
    <w:p>
      <w:pPr>
        <w:ind w:left="4" w:right="10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Improvement(s)</w:t>
      </w:r>
      <w:r>
        <w:rPr>
          <w:rFonts w:ascii="Arial" w:cs="Arial" w:eastAsia="Arial" w:hAnsi="Arial"/>
          <w:sz w:val="17"/>
          <w:szCs w:val="17"/>
          <w:color w:val="auto"/>
        </w:rPr>
        <w:t>” shall mean any and all modifications, variations, revisions or other improvements to the Test that: (i) are not otherwise described in the Veracyte Intellectual Property as of the Effective Date; (ii) are made during the Term of this Agreement, by or on behalf of Veracyte, its Affiliates or any employees, consultants or other persons under Veracyte’s direction or control; and (iii) are commercialized or offered for sale by Veracyte or its Affiliates including, without limitation, any product or service sold under the name “Afirma”, during the Term of this Agreement in the Territory. For purposes of clarity, Improvements shall not include Future Tests.</w:t>
      </w:r>
    </w:p>
    <w:p>
      <w:pPr>
        <w:spacing w:after="0" w:line="173" w:lineRule="exact"/>
        <w:rPr>
          <w:sz w:val="20"/>
          <w:szCs w:val="20"/>
          <w:color w:val="auto"/>
        </w:rPr>
      </w:pPr>
    </w:p>
    <w:p>
      <w:pPr>
        <w:ind w:left="24" w:right="40" w:firstLine="1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Indeterminate</w:t>
      </w:r>
      <w:r>
        <w:rPr>
          <w:rFonts w:ascii="Arial" w:cs="Arial" w:eastAsia="Arial" w:hAnsi="Arial"/>
          <w:sz w:val="18"/>
          <w:szCs w:val="18"/>
          <w:color w:val="auto"/>
        </w:rPr>
        <w:t>” shall mean, as of the Effective Date, the following: follicular lesion of undetermined significance (FLUS)/atypia, follicular/Hürthle cell neoplasm or suspicious for follicular/Hürthle cell neoplasm, and suspicious for malignancy. The definition of Indeterminate may be updated and amended in writing as reasonably determined by Veracyte in good faith, including based on applicable regulatory or clinical practice guidelines or market needs.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shall have the meaning set forth in Section 11.1.</w:t>
      </w:r>
    </w:p>
    <w:p>
      <w:pPr>
        <w:spacing w:after="0" w:line="225"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rights, privileges and priorities provided under federal, state, foreign and multinational law relating to intellectual property, including without limitation all (i) (A) U.S. and foreign patents and patent applications, inventions, discoveries, machines, manufactures, compositions of matter, processes, formulae, designs, methods, techniques, procedures, concepts, developments, technology, new and useful improvements thereof and know-how relating thereto, whether or not patented or patentable; (B) copyrights and works of authorship, including computer applications, programs, software, hardware, files, mask works, compilations, databases, documentation and related items;</w:t>
      </w:r>
    </w:p>
    <w:p>
      <w:pPr>
        <w:spacing w:after="0" w:line="2" w:lineRule="exact"/>
        <w:rPr>
          <w:sz w:val="20"/>
          <w:szCs w:val="20"/>
          <w:color w:val="auto"/>
        </w:rPr>
      </w:pPr>
    </w:p>
    <w:p>
      <w:pPr>
        <w:ind w:left="4" w:right="260" w:hanging="4"/>
        <w:spacing w:after="0" w:line="261" w:lineRule="auto"/>
        <w:tabs>
          <w:tab w:leader="none" w:pos="2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trademarks, service marks, trade names, domain names, URLs, email addresses, brand names, corporate names, logos and trade dress and the goodwill of any business symbolized thereby; (D) trade secrets, drawings, lists and all</w:t>
      </w:r>
    </w:p>
    <w:p>
      <w:pPr>
        <w:spacing w:after="0" w:line="18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other proprietary, nonpublic or confidential information, documents or materials in any media; and (ii) all registrations, applications, recordings and other legal protections or rights related to the foregoing.</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Labeled Uses</w:t>
      </w:r>
      <w:r>
        <w:rPr>
          <w:rFonts w:ascii="Arial" w:cs="Arial" w:eastAsia="Arial" w:hAnsi="Arial"/>
          <w:sz w:val="18"/>
          <w:szCs w:val="18"/>
          <w:color w:val="auto"/>
        </w:rPr>
        <w:t>” shall mean the diagnostic indications covered by the Marketing Authorization for the Test or, in the absence of any such Marketing Authorization in any Country, the supporting clinical documentation approved by Veracyte.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have the meaning set forth in Section 10.1.1.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Authorization</w:t>
      </w:r>
      <w:r>
        <w:rPr>
          <w:rFonts w:ascii="Arial" w:cs="Arial" w:eastAsia="Arial" w:hAnsi="Arial"/>
          <w:sz w:val="18"/>
          <w:szCs w:val="18"/>
          <w:color w:val="auto"/>
        </w:rPr>
        <w:t>” shall mean the regulatory authorization required to market and sell the Test in a Country, if any.</w:t>
      </w:r>
    </w:p>
    <w:p>
      <w:pPr>
        <w:spacing w:after="0" w:line="225"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Revenues</w:t>
      </w:r>
      <w:r>
        <w:rPr>
          <w:rFonts w:ascii="Arial" w:cs="Arial" w:eastAsia="Arial" w:hAnsi="Arial"/>
          <w:sz w:val="18"/>
          <w:szCs w:val="18"/>
          <w:color w:val="auto"/>
        </w:rPr>
        <w:t>” shall mean actual cash received (i) by Veracyte and its Affiliates from the sale of Tests in the Dedicated Promotion Only Territories and (ii) by Genzyme and its Affiliates from the sale of Tests in the Comprehensive Services Territory, including in each case ((i) and (ii)), but not limited to, cash paid on payor claims and out-of-pocket payments by patients. For clarity, (a) Veracyte’s Test Processing Costs for the Test shall not be deducted in the calculation of Net Revenues, (b) any royalties, licensing fees, damages, or settlement costs paid in order to obtain or maintain rights to a third party’s Intellectual Property Rights, which rights are necessary or useful for using, processing, making or commercializing the Test, shall not be deducted in the calculation of Net Revenues, and (c) any costs or royalties (owed to a third party) associated with a third party’s performance of any part(s) of Veracyte’s or Genzyme’s responsibilities under this Agreement shall not be deducted in the calculation of Net Revenues.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Genzyme Product</w:t>
      </w:r>
      <w:r>
        <w:rPr>
          <w:rFonts w:ascii="Arial" w:cs="Arial" w:eastAsia="Arial" w:hAnsi="Arial"/>
          <w:sz w:val="18"/>
          <w:szCs w:val="18"/>
          <w:color w:val="auto"/>
        </w:rPr>
        <w:t>” shall have the meaning set forth in Section 3.1.3.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Country Regulatory Event</w:t>
      </w:r>
      <w:r>
        <w:rPr>
          <w:rFonts w:ascii="Arial" w:cs="Arial" w:eastAsia="Arial" w:hAnsi="Arial"/>
          <w:sz w:val="18"/>
          <w:szCs w:val="18"/>
          <w:color w:val="auto"/>
        </w:rPr>
        <w:t>” shall have the meaning set forth in Section 11.6.5(b).</w:t>
      </w:r>
    </w:p>
    <w:p>
      <w:pPr>
        <w:sectPr>
          <w:pgSz w:w="11900" w:h="16838" w:orient="portrait"/>
          <w:cols w:equalWidth="0" w:num="1">
            <w:col w:w="10724"/>
          </w:cols>
          <w:pgMar w:left="896" w:top="125" w:right="279" w:bottom="0" w:gutter="0" w:footer="0" w:header="0"/>
        </w:sectPr>
      </w:pPr>
    </w:p>
    <w:bookmarkStart w:id="135" w:name="page136"/>
    <w:bookmarkEnd w:id="135"/>
    <w:p>
      <w:pPr>
        <w:ind w:left="4"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shall mean the authority or agency responsible for granting a Marketing Authorization or approving the provision and provider of the Test.</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Removed Country</w:t>
      </w:r>
      <w:r>
        <w:rPr>
          <w:rFonts w:ascii="Arial" w:cs="Arial" w:eastAsia="Arial" w:hAnsi="Arial"/>
          <w:sz w:val="18"/>
          <w:szCs w:val="18"/>
          <w:color w:val="auto"/>
        </w:rPr>
        <w:t>” shall mean a Country removed from the definition of Comprehensive Services Territory or Dedicated Promotion Only Territory in accordance with Section 11.6 or Section 11.7 hereof.</w:t>
      </w:r>
    </w:p>
    <w:p>
      <w:pPr>
        <w:spacing w:after="0" w:line="170" w:lineRule="exact"/>
        <w:rPr>
          <w:sz w:val="20"/>
          <w:szCs w:val="20"/>
          <w:color w:val="auto"/>
        </w:rPr>
      </w:pPr>
    </w:p>
    <w:p>
      <w:pPr>
        <w:ind w:left="4"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ROFN Term</w:t>
      </w:r>
      <w:r>
        <w:rPr>
          <w:rFonts w:ascii="Arial" w:cs="Arial" w:eastAsia="Arial" w:hAnsi="Arial"/>
          <w:sz w:val="18"/>
          <w:szCs w:val="18"/>
          <w:color w:val="auto"/>
        </w:rPr>
        <w:t>” means, with respect to an ROFN Country, the period of time commencing on January 1, 2015 and extending until the earlier of December 31, 2017 or sixty (60) days after Veracyte informs Genzyme that it has successfully secured reimbursement from payors covering at least fifty (50%) of such country’s population.</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ROFN Agreement</w:t>
      </w:r>
      <w:r>
        <w:rPr>
          <w:rFonts w:ascii="Arial" w:cs="Arial" w:eastAsia="Arial" w:hAnsi="Arial"/>
          <w:sz w:val="18"/>
          <w:szCs w:val="18"/>
          <w:color w:val="auto"/>
        </w:rPr>
        <w:t>” shall have the meaning set forth in Section 2.5.</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ROFN Countries</w:t>
      </w:r>
      <w:r>
        <w:rPr>
          <w:rFonts w:ascii="Arial" w:cs="Arial" w:eastAsia="Arial" w:hAnsi="Arial"/>
          <w:sz w:val="18"/>
          <w:szCs w:val="18"/>
          <w:color w:val="auto"/>
        </w:rPr>
        <w:t>” means Canada, the Netherlands, and Italy.</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Steering Committee</w:t>
      </w:r>
      <w:r>
        <w:rPr>
          <w:rFonts w:ascii="Arial" w:cs="Arial" w:eastAsia="Arial" w:hAnsi="Arial"/>
          <w:sz w:val="18"/>
          <w:szCs w:val="18"/>
          <w:color w:val="auto"/>
        </w:rPr>
        <w:t>” shall have the meaning set forth in Section 5.1.</w:t>
      </w:r>
    </w:p>
    <w:p>
      <w:pPr>
        <w:spacing w:after="0" w:line="225" w:lineRule="exact"/>
        <w:rPr>
          <w:sz w:val="20"/>
          <w:szCs w:val="20"/>
          <w:color w:val="auto"/>
        </w:rPr>
      </w:pPr>
    </w:p>
    <w:p>
      <w:pPr>
        <w:ind w:left="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Products</w:t>
      </w:r>
      <w:r>
        <w:rPr>
          <w:rFonts w:ascii="Arial" w:cs="Arial" w:eastAsia="Arial" w:hAnsi="Arial"/>
          <w:sz w:val="18"/>
          <w:szCs w:val="18"/>
          <w:color w:val="auto"/>
        </w:rPr>
        <w:t>” shall mean Thyrogen and any New Genzyme Product, but excludes any Third Genzyme Product.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mean the Initial Term and the Extended Term, if 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Territories</w:t>
      </w:r>
      <w:r>
        <w:rPr>
          <w:rFonts w:ascii="Arial" w:cs="Arial" w:eastAsia="Arial" w:hAnsi="Arial"/>
          <w:sz w:val="18"/>
          <w:szCs w:val="18"/>
          <w:color w:val="auto"/>
        </w:rPr>
        <w:t>” shall mean the Comprehensive Services Territory and the Dedicated Promotion Only Territory together.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either the Comprehensive Services Territory or the Dedicated Promotion Only Territory.</w:t>
      </w:r>
    </w:p>
    <w:p>
      <w:pPr>
        <w:spacing w:after="0" w:line="22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w:t>
      </w:r>
      <w:r>
        <w:rPr>
          <w:rFonts w:ascii="Arial" w:cs="Arial" w:eastAsia="Arial" w:hAnsi="Arial"/>
          <w:sz w:val="18"/>
          <w:szCs w:val="18"/>
          <w:color w:val="auto"/>
        </w:rPr>
        <w:t>” shall mean the Afirma service that includes the assessment of thyroid nodule FNAs by cytopathology and/or the assessment of cytopathology Indeterminate FNAs by the Afirma Gene Expression Classifier to reclassify the nodule as benign or suspicious for malignancy, including any Improvements thereto. The term “Test” includes the utilization of the Collection Kits, preparation, analysis and reporting of patient results and for the avoidance of doubt does not include any devices used for sample aspiration from the patient. Any second or subsequent generation of the Afirma service will be included in the definition of “Test”.</w:t>
      </w:r>
    </w:p>
    <w:p>
      <w:pPr>
        <w:spacing w:after="0" w:line="188"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Processing Costs</w:t>
      </w:r>
      <w:r>
        <w:rPr>
          <w:rFonts w:ascii="Arial" w:cs="Arial" w:eastAsia="Arial" w:hAnsi="Arial"/>
          <w:sz w:val="17"/>
          <w:szCs w:val="17"/>
          <w:color w:val="auto"/>
        </w:rPr>
        <w:t>” shall mean all direct and indirect costs incurred by Veracyte for activities associated with the collection of FNAs and processing (including, without limitation, direct costs associated with finishing processes such as packaging, labelling and other preparation, quality assurance, quality control, testing, storage and shipping) of the Test including, without limitation, costs of labor (including, but not limited to, salaries, bonuses, benefits and stock-based compensation), raw materials, supplies, services, license and royalty fees, costs associated with third party cytopathology laboratory services, and other resources directly consumed or used in the conduct of the applicable activity and any fees payable to any third party to the extent attributable to the collection of FNAs and processing of the Test, and all indirect costs including without limitation costs of indirect labor (including but not limited to salaries, bonuses, benefits and stock-based compensation), facilities, utilities, insurance, administrative costs, and facility and equipment depreciation and amortization, where applicable to the extent directly related to the applicable activity, allocated consistent with GAAP and as historically applied by Veracyte prior to the Effective Date of this Agreement. All such cost determinations shall be made in accordance with GAAP and shall be supported by appropriate documentation.</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Genzyme Product</w:t>
      </w:r>
      <w:r>
        <w:rPr>
          <w:rFonts w:ascii="Arial" w:cs="Arial" w:eastAsia="Arial" w:hAnsi="Arial"/>
          <w:sz w:val="18"/>
          <w:szCs w:val="18"/>
          <w:color w:val="auto"/>
        </w:rPr>
        <w:t>” shall have the meaning set forth in Section 3.1.3.</w:t>
      </w:r>
    </w:p>
    <w:p>
      <w:pPr>
        <w:spacing w:after="0" w:line="225" w:lineRule="exact"/>
        <w:rPr>
          <w:sz w:val="20"/>
          <w:szCs w:val="20"/>
          <w:color w:val="auto"/>
        </w:rPr>
      </w:pPr>
    </w:p>
    <w:p>
      <w:pPr>
        <w:ind w:left="4" w:right="240"/>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Thyrogen</w:t>
      </w:r>
      <w:r>
        <w:rPr>
          <w:rFonts w:ascii="Arial" w:cs="Arial" w:eastAsia="Arial" w:hAnsi="Arial"/>
          <w:sz w:val="18"/>
          <w:szCs w:val="18"/>
          <w:color w:val="auto"/>
        </w:rPr>
        <w:t>” shall mean Thyrogen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(thyrotropin alfa for injection) and any and all modifications, variations, revisions, uses or other improvements thereto.</w:t>
      </w:r>
    </w:p>
    <w:p>
      <w:pPr>
        <w:spacing w:after="0" w:line="20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xml:space="preserve">” shall mean all registered trademarks, trademarks or trade names (whether or not appearing in large print or with the trademark symbol) of Genzyme and Veracyte and their respective Affiliates, licensors or joint venture partners, as applicable,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use of these Trademarks or any other materials, except as permitted by this Agreement, is expressly prohibited and may be in violation of copyright law, trademark law or other proprietary rights of Genzyme or Veracyte.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be updated and amended by the parties in writing in the event that</w:t>
      </w:r>
    </w:p>
    <w:p>
      <w:pPr>
        <w:spacing w:after="0" w:line="2" w:lineRule="exact"/>
        <w:rPr>
          <w:sz w:val="20"/>
          <w:szCs w:val="20"/>
          <w:color w:val="auto"/>
        </w:rPr>
      </w:pPr>
    </w:p>
    <w:p>
      <w:pPr>
        <w:ind w:left="4" w:right="420" w:hanging="4"/>
        <w:spacing w:after="0" w:line="255"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Veracyte adopts a new Trademark for use in connection with Improvements or any Future Tests that is added to this Agreement pursuant to Section 2.4, (b) Genzyme adds an additional product to the portfolio pursuant to Section 3.1.3 and (c) either party uses a new Trademark for the portion of its business operations related to the co-promotion of the Test.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Co-Promotion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Veracyte Intellectual Property</w:t>
      </w:r>
      <w:r>
        <w:rPr>
          <w:rFonts w:ascii="Arial" w:cs="Arial" w:eastAsia="Arial" w:hAnsi="Arial"/>
          <w:sz w:val="16"/>
          <w:szCs w:val="16"/>
          <w:color w:val="auto"/>
        </w:rPr>
        <w:t xml:space="preserve">” shall mean any and all Intellectual Property Rights exclusively or non-exclusively (with the right to grant sublicenses) owned or controlled by Veracyte or its Affiliates during the Term that are required for Genzyme to carry out its obligations to promote, market and detail the Test under this Agreement. For the avoidance of doubt, Veracyte Intellectual Property includes any Intellectual Property Rights related to Improvements required to promote, market and detail any such Improvements to the Test. The Veracyte Intellectual Property includes the patents and patent applications identified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as well as any patent or patent application that claims priority to any such patent or patent application and any foreign counterparts of any of the foregoing. Veracyte shall promptly update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from time to time as appropriate to list any additional patents and patent applications that existed as of the Effective Date but were not included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(if any) or are conceived, developed or acquired by or on behalf of Veracyte or its Affiliates after the Effective Date that constitute Veracyte Intellectual Property.</w:t>
      </w:r>
    </w:p>
    <w:p>
      <w:pPr>
        <w:sectPr>
          <w:pgSz w:w="11900" w:h="16838" w:orient="portrait"/>
          <w:cols w:equalWidth="0" w:num="1">
            <w:col w:w="10764"/>
          </w:cols>
          <w:pgMar w:left="896" w:top="125" w:right="239" w:bottom="0" w:gutter="0" w:footer="0" w:header="0"/>
        </w:sectPr>
      </w:pPr>
    </w:p>
    <w:bookmarkStart w:id="136" w:name="page137"/>
    <w:bookmarkEnd w:id="136"/>
    <w:p>
      <w:pPr>
        <w:jc w:val="both"/>
        <w:ind w:left="6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Veracyte Owned Intellectual Property</w:t>
      </w:r>
      <w:r>
        <w:rPr>
          <w:rFonts w:ascii="Arial" w:cs="Arial" w:eastAsia="Arial" w:hAnsi="Arial"/>
          <w:sz w:val="18"/>
          <w:szCs w:val="18"/>
          <w:color w:val="auto"/>
        </w:rPr>
        <w:t xml:space="preserve">” shall mean any and all Veracyte Intellectual Property exclusively owned or controlled by Veracyte including the patents and patent applications indicated on </w:t>
      </w:r>
      <w:r>
        <w:rPr>
          <w:rFonts w:ascii="Arial" w:cs="Arial" w:eastAsia="Arial" w:hAnsi="Arial"/>
          <w:sz w:val="18"/>
          <w:szCs w:val="18"/>
          <w:u w:val="single" w:color="auto"/>
          <w:color w:val="auto"/>
        </w:rPr>
        <w:t>Exhibit C</w:t>
      </w:r>
      <w:r>
        <w:rPr>
          <w:rFonts w:ascii="Arial" w:cs="Arial" w:eastAsia="Arial" w:hAnsi="Arial"/>
          <w:sz w:val="18"/>
          <w:szCs w:val="18"/>
          <w:color w:val="auto"/>
        </w:rPr>
        <w:t>, as well as any patent or patent application that claims priority to any such patent or patent application and any foreign counterparts of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Veracyte Quarterly Net Revenue Report</w:t>
      </w:r>
      <w:r>
        <w:rPr>
          <w:rFonts w:ascii="Arial" w:cs="Arial" w:eastAsia="Arial" w:hAnsi="Arial"/>
          <w:sz w:val="18"/>
          <w:szCs w:val="18"/>
          <w:color w:val="auto"/>
        </w:rPr>
        <w:t>” shall have the meaning set forth in Section 6.2.2.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Veracyte Trademarks</w:t>
      </w:r>
      <w:r>
        <w:rPr>
          <w:rFonts w:ascii="Arial" w:cs="Arial" w:eastAsia="Arial" w:hAnsi="Arial"/>
          <w:sz w:val="18"/>
          <w:szCs w:val="18"/>
          <w:color w:val="auto"/>
        </w:rPr>
        <w:t>” shall mean Trademarks of Veracyte.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GENERAL ARRANGEMENTS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Grant of Rights</w:t>
      </w:r>
      <w:r>
        <w:rPr>
          <w:rFonts w:ascii="Arial" w:cs="Arial" w:eastAsia="Arial" w:hAnsi="Arial"/>
          <w:sz w:val="16"/>
          <w:szCs w:val="16"/>
          <w:color w:val="auto"/>
        </w:rPr>
        <w:t>.</w:t>
      </w:r>
    </w:p>
    <w:p>
      <w:pPr>
        <w:spacing w:after="0" w:line="225" w:lineRule="exact"/>
        <w:rPr>
          <w:sz w:val="20"/>
          <w:szCs w:val="20"/>
          <w:color w:val="auto"/>
        </w:rPr>
      </w:pPr>
    </w:p>
    <w:p>
      <w:pPr>
        <w:ind w:left="1300" w:right="180" w:hanging="647"/>
        <w:spacing w:after="0" w:line="255" w:lineRule="auto"/>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u w:val="single" w:color="auto"/>
          <w:color w:val="auto"/>
        </w:rPr>
        <w:t>Comprehensive Services</w:t>
      </w:r>
      <w:r>
        <w:rPr>
          <w:rFonts w:ascii="Arial" w:cs="Arial" w:eastAsia="Arial" w:hAnsi="Arial"/>
          <w:sz w:val="18"/>
          <w:szCs w:val="18"/>
          <w:color w:val="auto"/>
        </w:rPr>
        <w:t>. Subject to the terms of this Agreement and subject to Veracyte’s retained rights under Section 2.1.3, Veracyte</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hereby grants to Genzyme and its Affiliates (to the extent such Affiliates are promoting, marketing, detailing and selling the Test hereunder), on an exclusive (even as to Veracyte) basis in the Comprehensive Services Territory, the right and license under the Veracyte Intellectual Property to promote, market, detail, sell, offer for sale the Test and to sell, offer for sale and import the Collection Kits in the Comprehensive Services Territory during the Term and to conduct its obligations under this Agreement as permitted under and subject to the terms and conditions set forth in this Agreement.</w:t>
      </w:r>
    </w:p>
    <w:p>
      <w:pPr>
        <w:spacing w:after="0" w:line="193" w:lineRule="exact"/>
        <w:rPr>
          <w:sz w:val="20"/>
          <w:szCs w:val="20"/>
          <w:color w:val="auto"/>
        </w:rPr>
      </w:pPr>
    </w:p>
    <w:p>
      <w:pPr>
        <w:ind w:left="1300" w:right="20" w:hanging="647"/>
        <w:spacing w:after="0" w:line="297" w:lineRule="auto"/>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Dedicated Promotion Only</w:t>
      </w:r>
      <w:r>
        <w:rPr>
          <w:rFonts w:ascii="Arial" w:cs="Arial" w:eastAsia="Arial" w:hAnsi="Arial"/>
          <w:sz w:val="16"/>
          <w:szCs w:val="16"/>
          <w:color w:val="auto"/>
        </w:rPr>
        <w:t>. Subject to the terms of this Agreement and subject to Veracyte’s retained rights under Section 2.1.3, Veracyte</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hereby grants to Genzyme and its Affiliates (to the extent such Affiliates are promoting, marketing and detailing the Test hereunder), on a co-exclusive (with Veracyte) basis in the Dedicated Promotion Only Territory, the right and license under the Veracyte Intellectual Property to promote, market and detail the Test in the Dedicated Promotion Only Territory during the Term and to conduct its obligations under this Agreement as permitted under and subject to the terms and conditions set forth in this Agreement.</w:t>
      </w:r>
    </w:p>
    <w:p>
      <w:pPr>
        <w:spacing w:after="0" w:line="158" w:lineRule="exact"/>
        <w:rPr>
          <w:sz w:val="20"/>
          <w:szCs w:val="20"/>
          <w:color w:val="auto"/>
        </w:rPr>
      </w:pPr>
    </w:p>
    <w:p>
      <w:pPr>
        <w:ind w:left="1300" w:right="20" w:hanging="647"/>
        <w:spacing w:after="0" w:line="255" w:lineRule="auto"/>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u w:val="single" w:color="auto"/>
          <w:color w:val="auto"/>
        </w:rPr>
        <w:t>Retained Rights</w:t>
      </w:r>
      <w:r>
        <w:rPr>
          <w:rFonts w:ascii="Arial" w:cs="Arial" w:eastAsia="Arial" w:hAnsi="Arial"/>
          <w:sz w:val="18"/>
          <w:szCs w:val="18"/>
          <w:color w:val="auto"/>
        </w:rPr>
        <w:t>. Notwithstanding anything contained herein, or elsewhere, to the contrary, the license grant to Genzyme and its Affiliates</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the extent such Affiliates are granted a license grant pursuant to Section 2.1.1 or Section 2.1.2) is expressly made subject to Veracyte’s reservation of the right to promote, market, detail, make, have made, use, sell, offer for sale, import and export the Test in the Dedication Promotion Only Territory. Except as expressly set forth hereunder, nothing in this Agreement shall be construed to grant to Genzyme or its Affiliates by implication, estoppel or otherwise any licenses under Intellectual Property Rights owned or controlled by Veracyte other than the Veracyte Intellectual Property.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Use of Trademarks</w:t>
      </w:r>
      <w:r>
        <w:rPr>
          <w:rFonts w:ascii="Arial" w:cs="Arial" w:eastAsia="Arial" w:hAnsi="Arial"/>
          <w:sz w:val="15"/>
          <w:szCs w:val="15"/>
          <w:color w:val="auto"/>
        </w:rPr>
        <w:t>.</w:t>
      </w:r>
    </w:p>
    <w:p>
      <w:pPr>
        <w:spacing w:after="0" w:line="225" w:lineRule="exact"/>
        <w:rPr>
          <w:sz w:val="20"/>
          <w:szCs w:val="20"/>
          <w:color w:val="auto"/>
        </w:rPr>
      </w:pPr>
    </w:p>
    <w:p>
      <w:pPr>
        <w:ind w:left="1300" w:right="60" w:hanging="647"/>
        <w:spacing w:after="0" w:line="255" w:lineRule="auto"/>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Veracyte hereby grants to Genzyme and its Affiliates a non-exclusive, royalty-free right and license to use the Trademarks of Veracyte solely in connection with performing its obligations hereunder. Genzyme hereby grants to Veracyte and its Affiliates a non-exclusive, royalty-free right and license to use the Trademarks of Genzyme solely in connection with performing its obligations hereunder. Genzyme and its Affiliates may use the Veracyte Trademarks on leaflets, brochures, advertising and other promotional material that describe the Test and products promoted, marketed and detailed by the Genzyme sales force promoting the Test. Veracyte and its Affiliates may use the Genzyme Trademarks 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leaflets, brochures, advertising and other promotional and sales materials that describe the Test and products promoted by the Genzyme sales force promoting the Test. Notwithstanding the foregoing, any usage of a party’s Trademarks by the other party must be approved in advance by the party who owns the Trademarks, such approval not to be unreasonably withheld, delayed, or conditioned. It is understood and agreed that neither party shall use the other party’s Trademarks in Test labeling (which includes without limitation Collection Kit packaging, labels and package inserts, laboratory requisitions, and patient report forms) unless otherwise required by applicable laws and regulations (in which case the prior approval must still be obtained for such usage pursuant to the immediately preceding sentence).</w:t>
      </w:r>
    </w:p>
    <w:p>
      <w:pPr>
        <w:spacing w:after="0" w:line="16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Each party shall use the Trademarks only for the purposes authorized hereunder and, in particular, shall not use the Trademarks in a manner that would reduce or diminish the reputation, image and distinctiveness of the Trademarks.</w:t>
      </w:r>
    </w:p>
    <w:p>
      <w:pPr>
        <w:spacing w:after="0" w:line="170" w:lineRule="exact"/>
        <w:rPr>
          <w:sz w:val="20"/>
          <w:szCs w:val="20"/>
          <w:color w:val="auto"/>
        </w:rPr>
      </w:pPr>
    </w:p>
    <w:p>
      <w:pPr>
        <w:jc w:val="both"/>
        <w:ind w:left="1300" w:right="60" w:hanging="647"/>
        <w:spacing w:after="0" w:line="264" w:lineRule="auto"/>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Neither party shall, by virtue of this Agreement, obtain or claim any right, title or interest in or to the Trademarks of the other party, except the rights of use as are specifically set out herein, and each party hereby acknowledges and agrees that the goodwill arising from such use shall at all times inure for the benefit of the existing owner of the Trademark.</w:t>
      </w:r>
    </w:p>
    <w:p>
      <w:pPr>
        <w:spacing w:after="0" w:line="181" w:lineRule="exact"/>
        <w:rPr>
          <w:sz w:val="20"/>
          <w:szCs w:val="20"/>
          <w:color w:val="auto"/>
        </w:rPr>
      </w:pPr>
    </w:p>
    <w:p>
      <w:pPr>
        <w:ind w:left="1300" w:right="40" w:hanging="647"/>
        <w:spacing w:after="0" w:line="312" w:lineRule="auto"/>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Neither party shall adopt or use any trademark, symbol or device which includes or which is confusingly similar to, or is a simulation or colorable imitation of, any of the Trademarks. Neither party shall apply to register the Trademarks or any trademark so nearly resembling them or any of them as may be likely to cause confusion and nothing in this Agreement shall be deemed to give either party any such right.</w:t>
      </w:r>
    </w:p>
    <w:p>
      <w:pPr>
        <w:spacing w:after="0" w:line="147" w:lineRule="exact"/>
        <w:rPr>
          <w:sz w:val="20"/>
          <w:szCs w:val="20"/>
          <w:color w:val="auto"/>
        </w:rPr>
      </w:pPr>
    </w:p>
    <w:p>
      <w:pPr>
        <w:ind w:left="1300" w:right="380" w:hanging="647"/>
        <w:spacing w:after="0" w:line="257" w:lineRule="auto"/>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Each party shall, promptly upon written request by the other party, submit to the requesting party samples of any packaging, leaflets, brochures, advertising, promotional material and any other material relating to the Test necessary in order to monitor such party’s compliance with its obligations hereunder. Each party shall use the other party’s Trademarks in such font, form, color, size or other representation as are promptly approved in writing by such other party (such approval not to be unreasonably withheld, conditioned or delayed).</w:t>
      </w:r>
    </w:p>
    <w:p>
      <w:pPr>
        <w:spacing w:after="0" w:line="188" w:lineRule="exact"/>
        <w:rPr>
          <w:sz w:val="20"/>
          <w:szCs w:val="20"/>
          <w:color w:val="auto"/>
        </w:rPr>
      </w:pPr>
    </w:p>
    <w:p>
      <w:pPr>
        <w:ind w:left="1300" w:right="80" w:hanging="647"/>
        <w:spacing w:after="0" w:line="264" w:lineRule="auto"/>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Nothing in this Agreement shall entitle Genzyme or Veracyte to use the other party’s Trademarks as part of any corporate business or trading name or logo or to use the Trademarks or any marks which are similar to the Trademarks in respect of any goods which are similar to the Test without the express written consent of the other party.</w:t>
      </w:r>
    </w:p>
    <w:p>
      <w:pPr>
        <w:sectPr>
          <w:pgSz w:w="11900" w:h="16838" w:orient="portrait"/>
          <w:cols w:equalWidth="0" w:num="1">
            <w:col w:w="11360"/>
          </w:cols>
          <w:pgMar w:left="240" w:top="125" w:right="299" w:bottom="0" w:gutter="0" w:footer="0" w:header="0"/>
        </w:sectPr>
      </w:pPr>
    </w:p>
    <w:bookmarkStart w:id="137" w:name="page138"/>
    <w:bookmarkEnd w:id="137"/>
    <w:p>
      <w:pPr>
        <w:spacing w:after="0" w:line="137" w:lineRule="exact"/>
        <w:rPr>
          <w:sz w:val="20"/>
          <w:szCs w:val="20"/>
          <w:color w:val="auto"/>
        </w:rPr>
      </w:pPr>
    </w:p>
    <w:p>
      <w:pPr>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Each party shall ensure that whenever it uses the Trademarks of the other party, the party shall use Commercially Reasonable Efforts to ensure that such Trademarks accompanied by the appropriate wording and symbols (® or TM) necessary to either show that the Trademarks are registered trademarks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trademarks, as the case may be, of the other party or to otherwise protect such Trademarks.</w:t>
      </w:r>
    </w:p>
    <w:p>
      <w:pPr>
        <w:spacing w:after="0" w:line="225" w:lineRule="exact"/>
        <w:rPr>
          <w:sz w:val="20"/>
          <w:szCs w:val="20"/>
          <w:color w:val="auto"/>
        </w:rPr>
      </w:pPr>
    </w:p>
    <w:p>
      <w:pPr>
        <w:ind w:left="1300" w:right="120" w:hanging="647"/>
        <w:spacing w:after="0" w:line="255" w:lineRule="auto"/>
        <w:tabs>
          <w:tab w:leader="none" w:pos="12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Genzyme shall give Veracyte prompt written notice of any infringement or threatened infringement of any Trademarks of Veracyte used in connection with this Agreement that it becomes aware of, and Veracyte shall give Genzyme prompt written notice of any infringement or threatened infringement of any of the Trademarks of Genzyme used in connection with this Agreement that it becomes aware of. Veracyte shall determine in its sole discretion what action, if any, to take in response to the infringement or threatened infringement of any Veracyte Trademark. Genzyme shall determine in its sole discretion what action, if any, to take in response to the infringement or threatened infringement of any Genzyme Trademark.</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Covenants Not to Compete</w:t>
      </w:r>
      <w:r>
        <w:rPr>
          <w:rFonts w:ascii="Arial" w:cs="Arial" w:eastAsia="Arial" w:hAnsi="Arial"/>
          <w:sz w:val="16"/>
          <w:szCs w:val="16"/>
          <w:color w:val="auto"/>
        </w:rPr>
        <w:t>.</w:t>
      </w:r>
    </w:p>
    <w:p>
      <w:pPr>
        <w:spacing w:after="0" w:line="225" w:lineRule="exact"/>
        <w:rPr>
          <w:sz w:val="20"/>
          <w:szCs w:val="20"/>
          <w:color w:val="auto"/>
        </w:rPr>
      </w:pPr>
    </w:p>
    <w:p>
      <w:pPr>
        <w:ind w:left="1300" w:right="240" w:hanging="647"/>
        <w:spacing w:after="0" w:line="255" w:lineRule="auto"/>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During the Term of this Agreement, Genzyme and its Affiliates (including, without limitation, Sanofi) shall not, directly or indirectly, market, promote, detail, perform or process for commercial use, sell or offer for sale, import or commercialize any diagnostic test, diagnostic service, or diagnostic product in any country in the world that is either for the assessment of thyroid nodules, or that otherwise competes with the Test (or any Improvements thereto) in any way. For the avoidance of doubt, this Section 2.3.1 shall not prohibit Genzyme or its Affiliates (including, without limitation, Sanofi), from marketing, promoting, selling, offering to sell, importing or commercializing Thyrogen.</w:t>
      </w:r>
    </w:p>
    <w:p>
      <w:pPr>
        <w:spacing w:after="0" w:line="193" w:lineRule="exact"/>
        <w:rPr>
          <w:sz w:val="20"/>
          <w:szCs w:val="20"/>
          <w:color w:val="auto"/>
        </w:rPr>
      </w:pPr>
    </w:p>
    <w:p>
      <w:pPr>
        <w:ind w:left="1300" w:right="180" w:hanging="647"/>
        <w:spacing w:after="0" w:line="264" w:lineRule="auto"/>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During the Term of this Agreement, Veracyte and its Affiliates shall not, directly or indirectly, market, promote, detail, perform or process for commercial use, sell or offer for sale, import or commercialize any test, service, or product in any country in the world that competes with Thyrogen:</w:t>
      </w:r>
    </w:p>
    <w:p>
      <w:pPr>
        <w:spacing w:after="0" w:line="181" w:lineRule="exact"/>
        <w:rPr>
          <w:sz w:val="20"/>
          <w:szCs w:val="20"/>
          <w:color w:val="auto"/>
        </w:rPr>
      </w:pPr>
    </w:p>
    <w:p>
      <w:pPr>
        <w:ind w:left="1940" w:hanging="635"/>
        <w:spacing w:after="0"/>
        <w:tabs>
          <w:tab w:leader="none" w:pos="1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Thyrogen’s labelled indications described below,</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therapy for treating multinodular goiter or</w:t>
      </w:r>
    </w:p>
    <w:p>
      <w:pPr>
        <w:spacing w:after="0" w:line="225" w:lineRule="exact"/>
        <w:rPr>
          <w:rFonts w:ascii="Arial" w:cs="Arial" w:eastAsia="Arial" w:hAnsi="Arial"/>
          <w:sz w:val="18"/>
          <w:szCs w:val="18"/>
          <w:color w:val="auto"/>
        </w:rPr>
      </w:pPr>
    </w:p>
    <w:p>
      <w:pPr>
        <w:ind w:left="1960" w:right="20" w:hanging="655"/>
        <w:spacing w:after="0" w:line="272" w:lineRule="auto"/>
        <w:tabs>
          <w:tab w:leader="none" w:pos="197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any future labeled indications for Thyrogen approved by the regulatory authorities for such country (with it being understood that if Veracyte or any of its Affiliates directly or indirectly conducts research, product development, or clinical studies, or otherwise markets, promotes, details, performs or processes for commercial use, sells or offers for sale, imports or commercializes any test, product or service for an indication (other than solely for multinodular goiter) that is not an approved labelled indication for Thyrogen at the time Veracyte or its Affiliate, as the case may be, has commenced such activities and such indication is subsequently included in the approved labelled uses for Thyrogen, then Veracyte or its Affiliates, as the case may be, may continue such activities without being deemed to be in violation of this Section 2.3.2).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Thyrogen is indicated for use as (i) an adjunctive diagnostic tool for serum thyroglobulin (Tg) testing with or without radioiodine imaging in the follow-up of patients with well-differentiated thyroid cancer and (ii) an adjunctive treatment for radioiodine ablation of thyroid tissue remnants in patients who have undergone a near-total or total thyroidectomy for well-differentiated thyroid cancer and who do not have evidence of metastatic thyroid cancer. For the avoidance of doubt, Veracyte’s obligations under this Section 2.3.2 shall include commercial substitutes for Thyrogen (including without limitation low functional sensitivity assays, any form of recombinant thyroid stimulating hormones or modified formulations thereof) whether or not the labeled use for such substitute overlaps with the then-current Thyrogen label. It is understood and agreed that this Section 2.3.2 shall not prohibit Veracyte or its Affiliates from marketing, promoting, selling, offering to sell, importing or commercializing (A) the Test or (B) any Future Test that does not directly compete with Thyrogen as described above.</w:t>
      </w:r>
    </w:p>
    <w:p>
      <w:pPr>
        <w:spacing w:after="0" w:line="19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Right of First Offer</w:t>
      </w:r>
      <w:r>
        <w:rPr>
          <w:rFonts w:ascii="Arial" w:cs="Arial" w:eastAsia="Arial" w:hAnsi="Arial"/>
          <w:sz w:val="18"/>
          <w:szCs w:val="18"/>
          <w:color w:val="auto"/>
        </w:rPr>
        <w:t>. If during the Term of the Agreement (i) Veracyte owns or controls a Future Test and (ii) Veracyte decides to commercialize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Future Test in any Country, Veracyte will offer Genzyme the first opportunity to obtain the right to co-promote such Future Test in such Country. In such case, the following procedure shall apply:</w:t>
      </w:r>
    </w:p>
    <w:p>
      <w:pPr>
        <w:spacing w:after="0" w:line="181" w:lineRule="exact"/>
        <w:rPr>
          <w:sz w:val="20"/>
          <w:szCs w:val="20"/>
          <w:color w:val="auto"/>
        </w:rPr>
      </w:pPr>
    </w:p>
    <w:p>
      <w:pPr>
        <w:ind w:left="1300" w:right="320" w:hanging="647"/>
        <w:spacing w:after="0" w:line="264" w:lineRule="auto"/>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Within ten (10) business days after its decision under Section 2.4(ii) above, Veracyte shall invite Genzyme in writing to enter into negotiations, setting forth, in such invitation, Veracyte’s proposed terms for co-promotion of the Future Test and any and all information about such Future Test as is reasonably requested by Genzyme;</w:t>
      </w:r>
    </w:p>
    <w:p>
      <w:pPr>
        <w:spacing w:after="0" w:line="181" w:lineRule="exact"/>
        <w:rPr>
          <w:sz w:val="20"/>
          <w:szCs w:val="20"/>
          <w:color w:val="auto"/>
        </w:rPr>
      </w:pPr>
    </w:p>
    <w:p>
      <w:pPr>
        <w:ind w:left="1300" w:right="100" w:hanging="647"/>
        <w:spacing w:after="0" w:line="257" w:lineRule="auto"/>
        <w:tabs>
          <w:tab w:leader="none" w:pos="12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If Genzyme wishes to enter into such negotiations, Genzyme shall, within thirty (30) calendar days following receipt of Veracyte’s invitation, deliver to Veracyte written notice of Genzyme’s intent to negotiate for rights to said Future Test. Promptly after receipt of such notice, the parties shall commence good faith negotiations exclusively with each other for a period not to exceed one hundred twenty (120) calendar days after the date Genzyme gives the requisite notice to Veracyte (unless extended by mutual written agreement of the parties); and</w:t>
      </w:r>
    </w:p>
    <w:p>
      <w:pPr>
        <w:spacing w:after="0" w:line="188" w:lineRule="exact"/>
        <w:rPr>
          <w:sz w:val="20"/>
          <w:szCs w:val="20"/>
          <w:color w:val="auto"/>
        </w:rPr>
      </w:pPr>
    </w:p>
    <w:p>
      <w:pPr>
        <w:ind w:left="1300" w:right="160" w:hanging="647"/>
        <w:spacing w:after="0" w:line="312" w:lineRule="auto"/>
        <w:tabs>
          <w:tab w:leader="none" w:pos="12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If Genzyme does not deliver to Veracyte written notice of its intent to negotiate for such rights within such thirty (30) calendar day period, then Veracyte shall be free to negotiate and enter into a co-promotion agreement or similar agreement for the relevant Future Test and Country with any third party unless such Future Test directly competes with Thyrogen as described in Section 2.3.2 above.</w:t>
      </w:r>
    </w:p>
    <w:p>
      <w:pPr>
        <w:spacing w:after="0" w:line="147" w:lineRule="exact"/>
        <w:rPr>
          <w:sz w:val="20"/>
          <w:szCs w:val="20"/>
          <w:color w:val="auto"/>
        </w:rPr>
      </w:pPr>
    </w:p>
    <w:p>
      <w:pPr>
        <w:ind w:left="1300" w:right="40" w:hanging="647"/>
        <w:spacing w:after="0" w:line="342" w:lineRule="auto"/>
        <w:tabs>
          <w:tab w:leader="none" w:pos="12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If Veracyte and Genzyme do not enter into a legally binding, written agreement within the said one hundred twenty (120) calendar day period (and such period has not been extended by mutual written agreement of the parties), Veracyte shall be free to negotiate and enter into</w:t>
      </w:r>
    </w:p>
    <w:p>
      <w:pPr>
        <w:sectPr>
          <w:pgSz w:w="11900" w:h="16975" w:orient="portrait"/>
          <w:cols w:equalWidth="0" w:num="1">
            <w:col w:w="11420"/>
          </w:cols>
          <w:pgMar w:left="240" w:top="125" w:right="239" w:bottom="0" w:gutter="0" w:footer="0" w:header="0"/>
        </w:sectPr>
      </w:pPr>
    </w:p>
    <w:bookmarkStart w:id="138" w:name="page139"/>
    <w:bookmarkEnd w:id="138"/>
    <w:p>
      <w:pPr>
        <w:ind w:left="1300" w:right="380"/>
        <w:spacing w:after="0" w:line="277" w:lineRule="auto"/>
        <w:rPr>
          <w:sz w:val="20"/>
          <w:szCs w:val="20"/>
          <w:color w:val="auto"/>
        </w:rPr>
      </w:pPr>
      <w:r>
        <w:rPr>
          <w:rFonts w:ascii="Arial" w:cs="Arial" w:eastAsia="Arial" w:hAnsi="Arial"/>
          <w:sz w:val="18"/>
          <w:szCs w:val="18"/>
          <w:color w:val="auto"/>
        </w:rPr>
        <w:t>a co-promotion agreement or similar agreement for the relevant Future Test and Country with any third party on terms (considered as a whole) not materially more favorable than the one last offered to Genzyme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such Future Test directly competes with Thyrogen as described in Section 2.3.2 above.</w:t>
      </w:r>
    </w:p>
    <w:p>
      <w:pPr>
        <w:spacing w:after="0" w:line="225" w:lineRule="exact"/>
        <w:rPr>
          <w:sz w:val="20"/>
          <w:szCs w:val="20"/>
          <w:color w:val="auto"/>
        </w:rPr>
      </w:pPr>
    </w:p>
    <w:p>
      <w:pPr>
        <w:jc w:val="both"/>
        <w:ind w:left="1300" w:right="660" w:hanging="647"/>
        <w:spacing w:after="0" w:line="286" w:lineRule="auto"/>
        <w:tabs>
          <w:tab w:leader="none" w:pos="128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It is the understanding of the parties that the following transactions shall not be subject to the Right of First Offer described in this Section 2.4: (i) any Change of Control transaction involving Veracyte, including any proposed merger, acquisition, or sale of all or substantially all the assets of Veracyte; or (ii) any bona fide financing transaction for Veracyte.</w:t>
      </w:r>
    </w:p>
    <w:p>
      <w:pPr>
        <w:spacing w:after="0" w:line="166" w:lineRule="exact"/>
        <w:rPr>
          <w:sz w:val="20"/>
          <w:szCs w:val="20"/>
          <w:color w:val="auto"/>
        </w:rPr>
      </w:pPr>
    </w:p>
    <w:p>
      <w:pPr>
        <w:ind w:left="660" w:right="40" w:hanging="647"/>
        <w:spacing w:after="0" w:line="283"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Right of First Negotiation</w:t>
      </w:r>
      <w:r>
        <w:rPr>
          <w:rFonts w:ascii="Arial" w:cs="Arial" w:eastAsia="Arial" w:hAnsi="Arial"/>
          <w:sz w:val="16"/>
          <w:szCs w:val="16"/>
          <w:color w:val="auto"/>
        </w:rPr>
        <w:t>. During the ROFN Term, with respect to an ROFN Country, Genzyme will have an exclusive right of first negotiation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enter into an agreement with Veracyte governing the terms and conditions of the sale and provision of the Test in such ROFN Country (the “</w:t>
      </w:r>
      <w:r>
        <w:rPr>
          <w:rFonts w:ascii="Arial" w:cs="Arial" w:eastAsia="Arial" w:hAnsi="Arial"/>
          <w:sz w:val="16"/>
          <w:szCs w:val="16"/>
          <w:u w:val="single" w:color="auto"/>
          <w:color w:val="auto"/>
        </w:rPr>
        <w:t>ROFN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including by adding such ROFN Country to the Territories of this Agreement in accordance with Section 2.6. Genzyme may exercise such right with respect to an ROFN Country by delivering written notice thereof to Veracyte within the ROFN Term for such country. If Genzyme timely exercises such right with respect to an ROFN Country, then the parties will promptly negotiate exclusively, diligently and in good faith concerning the terms of the ROFN Agreement for a period of ninety (90) days. If (a) Genzyme does not exercise its right of first negotiation with respect to an ROFN Country during the ROFN Term or (b) the parties fail to execute an ROFN Agreement for such ROFN Country, then Veracyte will be free to enter into an agreement with a third party governing the terms and conditions of the sale and provision of the Test in such ROFN Country. Commencing on the Effective Date and extending until (i) Genzyme does not exercise its right of first negotiation with respect to an ROFN Country during the ROFN Term; (ii) an ROFN Agreement is executed or (iii) the parties fail to execute an ROFN Agreement, as applicable, Genzyme will share with Veracyte client and marketing information related to the ROFN Countries. Notwithstanding the foregoing, Veracyte will have the right to request, in writing, that Genzyme exercise its right of first negotiation with respect to Singapore before Veracyte informs Genzyme that it has successfully secured reimbursement from payors representing at least fifty percent (50%) of Singapore’s population. If Genzyme (1) does not agree to exercise its right of first negotiation within respect to Singapore within sixty (60) days of its receipt of such request from Veracyte, or</w:t>
      </w:r>
    </w:p>
    <w:p>
      <w:pPr>
        <w:spacing w:after="0" w:line="2" w:lineRule="exact"/>
        <w:rPr>
          <w:sz w:val="20"/>
          <w:szCs w:val="20"/>
          <w:color w:val="auto"/>
        </w:rPr>
      </w:pPr>
    </w:p>
    <w:p>
      <w:pPr>
        <w:ind w:left="660" w:hanging="4"/>
        <w:spacing w:after="0" w:line="323" w:lineRule="auto"/>
        <w:tabs>
          <w:tab w:leader="none" w:pos="9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exercises such right but the parties fail to execute an ROFN Agreement for Singapore within ninety (90) days of such exercise, then Veracyte will be free to enter into an agreement with a third party governing the terms and conditions of the sale and provision of the Test in Singapore.</w:t>
      </w:r>
    </w:p>
    <w:p>
      <w:pPr>
        <w:spacing w:after="0" w:line="139"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Additional Countries</w:t>
      </w:r>
      <w:r>
        <w:rPr>
          <w:rFonts w:ascii="Arial" w:cs="Arial" w:eastAsia="Arial" w:hAnsi="Arial"/>
          <w:sz w:val="16"/>
          <w:szCs w:val="16"/>
          <w:color w:val="auto"/>
        </w:rPr>
        <w:t>. From time to time, the parties may add additional countries other than the U.S. to the Territories of this Agreement by written</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(each, an “</w:t>
      </w:r>
      <w:r>
        <w:rPr>
          <w:rFonts w:ascii="Arial" w:cs="Arial" w:eastAsia="Arial" w:hAnsi="Arial"/>
          <w:sz w:val="16"/>
          <w:szCs w:val="16"/>
          <w:u w:val="single" w:color="auto"/>
          <w:color w:val="auto"/>
        </w:rPr>
        <w:t>Additional Country</w:t>
      </w:r>
      <w:r>
        <w:rPr>
          <w:rFonts w:ascii="Arial" w:cs="Arial" w:eastAsia="Arial" w:hAnsi="Arial"/>
          <w:sz w:val="16"/>
          <w:szCs w:val="16"/>
          <w:color w:val="auto"/>
        </w:rPr>
        <w:t xml:space="preserve">”). Each such written agreement shall contain (i) the designation of the Additional Country as part of the Comprehensive Services Territory or Dedicated Promotion Only Territory, (ii) an amendment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containing the Country Payment Rate, Country Commitment Date for such Additional Country and any additional Country-specific terms and conditions as the Parties may agree, and</w:t>
      </w:r>
    </w:p>
    <w:p>
      <w:pPr>
        <w:spacing w:after="0" w:line="2" w:lineRule="exact"/>
        <w:rPr>
          <w:sz w:val="20"/>
          <w:szCs w:val="20"/>
          <w:color w:val="auto"/>
        </w:rPr>
      </w:pPr>
    </w:p>
    <w:p>
      <w:pPr>
        <w:ind w:left="660" w:right="200" w:hanging="4"/>
        <w:spacing w:after="0" w:line="261"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amended Annual Commercial Plan for the then-current calendar year which shall supersede the Annual Commercial Plan then in effect. In the event of any conflict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between the terms and conditions in the body of this Agreement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will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GENZYME’S UNDERTAKINGS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Genzyme’s Roles and Responsibilities</w:t>
      </w:r>
      <w:r>
        <w:rPr>
          <w:rFonts w:ascii="Arial" w:cs="Arial" w:eastAsia="Arial" w:hAnsi="Arial"/>
          <w:sz w:val="16"/>
          <w:szCs w:val="16"/>
          <w:color w:val="auto"/>
        </w:rPr>
        <w:t>.</w:t>
      </w:r>
    </w:p>
    <w:p>
      <w:pPr>
        <w:spacing w:after="0" w:line="225" w:lineRule="exact"/>
        <w:rPr>
          <w:sz w:val="20"/>
          <w:szCs w:val="20"/>
          <w:color w:val="auto"/>
        </w:rPr>
      </w:pPr>
    </w:p>
    <w:p>
      <w:pPr>
        <w:ind w:left="1300" w:right="240" w:hanging="647"/>
        <w:spacing w:after="0" w:line="256"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auto"/>
        </w:rPr>
        <w:t>Genzyme’s Sales Efforts and Activities</w:t>
      </w:r>
      <w:r>
        <w:rPr>
          <w:rFonts w:ascii="Arial" w:cs="Arial" w:eastAsia="Arial" w:hAnsi="Arial"/>
          <w:sz w:val="18"/>
          <w:szCs w:val="18"/>
          <w:color w:val="auto"/>
        </w:rPr>
        <w:t>. Subject to the provisions of and during the Term of this Agreement, Genzyme and, to the extent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of its Affiliates employ sales and marketing personnel used to promote, market, sell, or detail Thyrogen, or otherwise promotes, markets, sells, or details Thyrogen, such Affiliates shall use Commercially Reasonable Efforts to</w:t>
      </w:r>
    </w:p>
    <w:p>
      <w:pPr>
        <w:jc w:val="both"/>
        <w:ind w:left="1300" w:right="180" w:firstLine="5"/>
        <w:spacing w:after="0" w:line="295" w:lineRule="auto"/>
        <w:tabs>
          <w:tab w:leader="none" w:pos="15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market, promote, detail and sell the Test to Healthcare Professionals for the Labeled Uses (if and as applicable) in the Comprehensive Services Territory in accordance with the then-current Annual Commercial Plan and (b) market, promote and detail the Test to Healthcare Professionals for the Labeled Uses (if and as applicable) in the Dedicated Promotion Only Territory in accordance with the then-current Annual Commercial Plan. Genzyme shall reasonably consider any input provided by Veracyte regarding such activities.</w:t>
      </w:r>
    </w:p>
    <w:p>
      <w:pPr>
        <w:spacing w:after="0" w:line="162" w:lineRule="exact"/>
        <w:rPr>
          <w:sz w:val="20"/>
          <w:szCs w:val="20"/>
          <w:color w:val="auto"/>
        </w:rPr>
      </w:pPr>
    </w:p>
    <w:p>
      <w:pPr>
        <w:ind w:left="1300" w:right="200" w:hanging="647"/>
        <w:spacing w:after="0" w:line="297"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Call Position</w:t>
      </w:r>
      <w:r>
        <w:rPr>
          <w:rFonts w:ascii="Arial" w:cs="Arial" w:eastAsia="Arial" w:hAnsi="Arial"/>
          <w:sz w:val="16"/>
          <w:szCs w:val="16"/>
          <w:color w:val="auto"/>
        </w:rPr>
        <w:t>. During Calls, in addition to the Test, Subject Products may be presented, but the promotional message involving the Test</w:t>
      </w:r>
      <w:r>
        <w:rPr>
          <w:rFonts w:ascii="Arial" w:cs="Arial" w:eastAsia="Arial" w:hAnsi="Arial"/>
          <w:sz w:val="16"/>
          <w:szCs w:val="16"/>
          <w:u w:val="single" w:color="auto"/>
          <w:color w:val="auto"/>
        </w:rPr>
        <w:t xml:space="preserve"> </w:t>
      </w:r>
      <w:r>
        <w:rPr>
          <w:rFonts w:ascii="Arial" w:cs="Arial" w:eastAsia="Arial" w:hAnsi="Arial"/>
          <w:sz w:val="16"/>
          <w:szCs w:val="16"/>
          <w:color w:val="auto"/>
        </w:rPr>
        <w:t>must be presented in a substantive manner in the first, second or third position (the “</w:t>
      </w:r>
      <w:r>
        <w:rPr>
          <w:rFonts w:ascii="Arial" w:cs="Arial" w:eastAsia="Arial" w:hAnsi="Arial"/>
          <w:sz w:val="16"/>
          <w:szCs w:val="16"/>
          <w:u w:val="single" w:color="auto"/>
          <w:color w:val="auto"/>
        </w:rPr>
        <w:t>Call Obligations</w:t>
      </w:r>
      <w:r>
        <w:rPr>
          <w:rFonts w:ascii="Arial" w:cs="Arial" w:eastAsia="Arial" w:hAnsi="Arial"/>
          <w:sz w:val="16"/>
          <w:szCs w:val="16"/>
          <w:color w:val="auto"/>
        </w:rPr>
        <w:t>”). At such time as Genzyme begins marketing, promoting and detailing the Test in any Country in accordance with the then-current Annual Commercial Plan and for the remainder of the Term of this Agreement, Genzyme and its Affiliates shall observe the Call Obligations on Calls conducted by their respective sales forces used to promote Thyrogen in such Country unless otherwise agreed by Veracyte in writing in its sole discretion.</w:t>
      </w:r>
    </w:p>
    <w:p>
      <w:pPr>
        <w:spacing w:after="0" w:line="158" w:lineRule="exact"/>
        <w:rPr>
          <w:sz w:val="20"/>
          <w:szCs w:val="20"/>
          <w:color w:val="auto"/>
        </w:rPr>
      </w:pPr>
    </w:p>
    <w:p>
      <w:pPr>
        <w:ind w:left="1300" w:right="40" w:hanging="647"/>
        <w:spacing w:after="0" w:line="270" w:lineRule="auto"/>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New Genzyme Products</w:t>
      </w:r>
      <w:r>
        <w:rPr>
          <w:rFonts w:ascii="Arial" w:cs="Arial" w:eastAsia="Arial" w:hAnsi="Arial"/>
          <w:sz w:val="17"/>
          <w:szCs w:val="17"/>
          <w:color w:val="auto"/>
        </w:rPr>
        <w:t>. It is acknowledged by the parties that Genzyme has stated that it intends to use its and its Affiliates’ sales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marketing personnel that promote, market and detail Thyrogen to promote, market and detail another Genzyme product, in accordance with and subject to the terms and conditions of this Agreement after it receives marketing approvals from the Regulatory Authorities (any such product so promoted by such sales force, a “</w:t>
      </w:r>
      <w:r>
        <w:rPr>
          <w:rFonts w:ascii="Arial" w:cs="Arial" w:eastAsia="Arial" w:hAnsi="Arial"/>
          <w:sz w:val="17"/>
          <w:szCs w:val="17"/>
          <w:u w:val="single" w:color="auto"/>
          <w:color w:val="auto"/>
        </w:rPr>
        <w:t>New Genzyme Product</w:t>
      </w:r>
      <w:r>
        <w:rPr>
          <w:rFonts w:ascii="Arial" w:cs="Arial" w:eastAsia="Arial" w:hAnsi="Arial"/>
          <w:sz w:val="17"/>
          <w:szCs w:val="17"/>
          <w:color w:val="auto"/>
        </w:rPr>
        <w:t>”). If, at any time during the Term, Genzyme desires to add a product other than the New Genzyme Product (a “</w:t>
      </w:r>
      <w:r>
        <w:rPr>
          <w:rFonts w:ascii="Arial" w:cs="Arial" w:eastAsia="Arial" w:hAnsi="Arial"/>
          <w:sz w:val="17"/>
          <w:szCs w:val="17"/>
          <w:u w:val="single" w:color="auto"/>
          <w:color w:val="auto"/>
        </w:rPr>
        <w:t>Third Genzyme Product</w:t>
      </w:r>
      <w:r>
        <w:rPr>
          <w:rFonts w:ascii="Arial" w:cs="Arial" w:eastAsia="Arial" w:hAnsi="Arial"/>
          <w:sz w:val="17"/>
          <w:szCs w:val="17"/>
          <w:color w:val="auto"/>
        </w:rPr>
        <w:t xml:space="preserve">”) to the portfolio of products promoted by the sales force that is promoting, marketing and detailing the Test and Thyrogen (other than pursuant to Section 2.4), Genzyme will obtain Veracyte’s written consent to add such Third Genzyme Product to the portfolio as soon as practicable prior to doing so;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such product is in the field of thyroid cancer, (b) the addition of such product would not affect Genzyme or its Affiliates’ ability to comply with its obligations under this Agreement, and (c) the addition of such product would not otherwise violate the terms and conditions of this Agreement, then Veracyte shall not unreasonably withhold, delay or condition its consent.</w:t>
      </w:r>
    </w:p>
    <w:p>
      <w:pPr>
        <w:sectPr>
          <w:pgSz w:w="11900" w:h="16838" w:orient="portrait"/>
          <w:cols w:equalWidth="0" w:num="1">
            <w:col w:w="11400"/>
          </w:cols>
          <w:pgMar w:left="240" w:top="125" w:right="259" w:bottom="271"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71" w:gutter="0" w:footer="0" w:header="0"/>
          <w:type w:val="continuous"/>
        </w:sectPr>
      </w:pPr>
    </w:p>
    <w:bookmarkStart w:id="139" w:name="page140"/>
    <w:bookmarkEnd w:id="139"/>
    <w:p>
      <w:pPr>
        <w:spacing w:after="0" w:line="36" w:lineRule="exact"/>
        <w:rPr>
          <w:sz w:val="20"/>
          <w:szCs w:val="20"/>
          <w:color w:val="auto"/>
        </w:rPr>
      </w:pPr>
    </w:p>
    <w:p>
      <w:pPr>
        <w:ind w:left="1300" w:right="40" w:hanging="647"/>
        <w:spacing w:after="0" w:line="289" w:lineRule="auto"/>
        <w:tabs>
          <w:tab w:leader="none" w:pos="12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Compliance</w:t>
      </w:r>
      <w:r>
        <w:rPr>
          <w:rFonts w:ascii="Arial" w:cs="Arial" w:eastAsia="Arial" w:hAnsi="Arial"/>
          <w:sz w:val="16"/>
          <w:szCs w:val="16"/>
          <w:color w:val="auto"/>
        </w:rPr>
        <w:t>. In performing their duties hereunder, Genzyme and its Affiliates shall, and shall cause their respective employees and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who perform activities related to the Test to, comply with all reasonable policies and directives issued by Veracyte from time to time with respect to the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polices and directives are compliant with applicable local laws and regulations, the Labeled Uses and the Marketing Authorizations) and with all applicable regulatory, professional and legal requirements which may be applicable to the services to be provided by Genzyme hereunder. Neither Genzyme nor its Affiliates, nor any of their respective employees or agents, shall make any claim, representation, statement, warranty or guaranty with respect to the Test that is inconsistent with the then current Labeled Uses of the Test, this Agreement or the Ad/Prom Materials approved by the Steering Committee, that is deceptive or misleading or that disparages the Test or the good name, goodwill and reputation of Veracyte. Genzyme and its Affiliates shall use Commercially Reasonable Efforts to ensure that any services provided hereunder will be provided in a professional, ethical and competent manner.</w:t>
      </w:r>
    </w:p>
    <w:p>
      <w:pPr>
        <w:spacing w:after="0" w:line="167"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u w:val="single" w:color="auto"/>
          <w:color w:val="auto"/>
        </w:rPr>
        <w:t>Account Management</w:t>
      </w:r>
      <w:r>
        <w:rPr>
          <w:rFonts w:ascii="Arial" w:cs="Arial" w:eastAsia="Arial" w:hAnsi="Arial"/>
          <w:sz w:val="18"/>
          <w:szCs w:val="18"/>
          <w:color w:val="auto"/>
        </w:rPr>
        <w:t>. Except as otherwise provided in</w:t>
      </w:r>
      <w:r>
        <w:rPr>
          <w:rFonts w:ascii="Arial" w:cs="Arial" w:eastAsia="Arial" w:hAnsi="Arial"/>
          <w:sz w:val="18"/>
          <w:szCs w:val="18"/>
          <w:u w:val="single" w:color="auto"/>
          <w:color w:val="auto"/>
        </w:rPr>
        <w:t xml:space="preserve"> Exhibit A</w:t>
      </w:r>
      <w:r>
        <w:rPr>
          <w:rFonts w:ascii="Arial" w:cs="Arial" w:eastAsia="Arial" w:hAnsi="Arial"/>
          <w:sz w:val="18"/>
          <w:szCs w:val="18"/>
          <w:color w:val="auto"/>
        </w:rPr>
        <w:t>, Genzyme shall be solely responsible for Healthcare Professional account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conversion and set-up, account management and account support in the Territories.</w:t>
      </w:r>
    </w:p>
    <w:p>
      <w:pPr>
        <w:spacing w:after="0" w:line="170" w:lineRule="exact"/>
        <w:rPr>
          <w:sz w:val="20"/>
          <w:szCs w:val="20"/>
          <w:color w:val="auto"/>
        </w:rPr>
      </w:pPr>
    </w:p>
    <w:p>
      <w:pPr>
        <w:ind w:left="1300" w:right="260" w:hanging="647"/>
        <w:spacing w:after="0" w:line="302" w:lineRule="auto"/>
        <w:tabs>
          <w:tab w:leader="none" w:pos="12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Sampling Program</w:t>
      </w:r>
      <w:r>
        <w:rPr>
          <w:rFonts w:ascii="Arial" w:cs="Arial" w:eastAsia="Arial" w:hAnsi="Arial"/>
          <w:sz w:val="16"/>
          <w:szCs w:val="16"/>
          <w:color w:val="auto"/>
        </w:rPr>
        <w:t>. Except as otherwise provided in</w:t>
      </w:r>
      <w:r>
        <w:rPr>
          <w:rFonts w:ascii="Arial" w:cs="Arial" w:eastAsia="Arial" w:hAnsi="Arial"/>
          <w:sz w:val="16"/>
          <w:szCs w:val="16"/>
          <w:u w:val="single" w:color="auto"/>
          <w:color w:val="auto"/>
        </w:rPr>
        <w:t xml:space="preserve"> Exhibit A</w:t>
      </w:r>
      <w:r>
        <w:rPr>
          <w:rFonts w:ascii="Arial" w:cs="Arial" w:eastAsia="Arial" w:hAnsi="Arial"/>
          <w:sz w:val="16"/>
          <w:szCs w:val="16"/>
          <w:color w:val="auto"/>
        </w:rPr>
        <w:t>, Genzyme shall manage and provide a sampling program for the Test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which Genzyme will provide Collection Kits to Healthcare Professionals in the Territories in accordance with the Annual Commercial Plan. The Steering Committee shall determine the number of Collection Kits that Genzyme shall purchase from Veracyte for use in such sampling program at a price equal to Veracyte’s Test Processing Costs for conducting the Test with such Collection Kits.</w:t>
      </w:r>
    </w:p>
    <w:p>
      <w:pPr>
        <w:spacing w:after="0" w:line="154" w:lineRule="exact"/>
        <w:rPr>
          <w:sz w:val="20"/>
          <w:szCs w:val="20"/>
          <w:color w:val="auto"/>
        </w:rPr>
      </w:pPr>
    </w:p>
    <w:p>
      <w:pPr>
        <w:jc w:val="both"/>
        <w:ind w:left="1300" w:right="160" w:hanging="647"/>
        <w:spacing w:after="0" w:line="342" w:lineRule="auto"/>
        <w:tabs>
          <w:tab w:leader="none" w:pos="12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Medical Staff Access</w:t>
      </w:r>
      <w:r>
        <w:rPr>
          <w:rFonts w:ascii="Arial" w:cs="Arial" w:eastAsia="Arial" w:hAnsi="Arial"/>
          <w:sz w:val="16"/>
          <w:szCs w:val="16"/>
          <w:color w:val="auto"/>
        </w:rPr>
        <w:t>. Genzyme shall provide Healthcare Professionals and representatives of payors utilizing the Test with reasonable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access to Genzyme’s medical and healthcare personnel to discuss scientific and clinical aspects of the Test and its applicability to patients.</w:t>
      </w:r>
    </w:p>
    <w:p>
      <w:pPr>
        <w:spacing w:after="0" w:line="124" w:lineRule="exact"/>
        <w:rPr>
          <w:sz w:val="20"/>
          <w:szCs w:val="20"/>
          <w:color w:val="auto"/>
        </w:rPr>
      </w:pPr>
    </w:p>
    <w:p>
      <w:pPr>
        <w:jc w:val="both"/>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u w:val="single" w:color="auto"/>
          <w:color w:val="auto"/>
        </w:rPr>
        <w:t>Costs</w:t>
      </w:r>
      <w:r>
        <w:rPr>
          <w:rFonts w:ascii="Arial" w:cs="Arial" w:eastAsia="Arial" w:hAnsi="Arial"/>
          <w:sz w:val="18"/>
          <w:szCs w:val="18"/>
          <w:color w:val="auto"/>
        </w:rPr>
        <w:t>. Genzyme shall be solely responsible for the costs and expenses of establishing and maintaining Genzyme’s and its Affiliates’ sales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force (including travel related costs), and conducting its other activities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training of such sales force shall be conducted in accordance with Section 4.3.</w:t>
      </w:r>
    </w:p>
    <w:p>
      <w:pPr>
        <w:spacing w:after="0" w:line="181" w:lineRule="exact"/>
        <w:rPr>
          <w:sz w:val="20"/>
          <w:szCs w:val="20"/>
          <w:color w:val="auto"/>
        </w:rPr>
      </w:pPr>
    </w:p>
    <w:p>
      <w:pPr>
        <w:ind w:left="1300" w:right="240" w:hanging="647"/>
        <w:spacing w:after="0" w:line="259" w:lineRule="auto"/>
        <w:tabs>
          <w:tab w:leader="none" w:pos="12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u w:val="single" w:color="auto"/>
          <w:color w:val="auto"/>
        </w:rPr>
        <w:t>Review of Promotional and Training Materials</w:t>
      </w:r>
      <w:r>
        <w:rPr>
          <w:rFonts w:ascii="Arial" w:cs="Arial" w:eastAsia="Arial" w:hAnsi="Arial"/>
          <w:sz w:val="18"/>
          <w:szCs w:val="18"/>
          <w:color w:val="auto"/>
        </w:rPr>
        <w:t>. To the extent practicable, all promotional and training materials provided to any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Genzyme’s or its Affiliates’ sales representatives regarding strategy, positioning or selling messages for the Test will be subject to review and approval by the Steering Committee. At any time during the Term, the Steering Committee may delegate a representative from each party to assume the responsibilities set forth in this Section 3.1.9.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Annual Commercial Plan</w:t>
      </w:r>
      <w:r>
        <w:rPr>
          <w:rFonts w:ascii="Arial" w:cs="Arial" w:eastAsia="Arial" w:hAnsi="Arial"/>
          <w:sz w:val="16"/>
          <w:szCs w:val="16"/>
          <w:color w:val="auto"/>
        </w:rPr>
        <w:t>.</w:t>
      </w:r>
    </w:p>
    <w:p>
      <w:pPr>
        <w:spacing w:after="0" w:line="225" w:lineRule="exact"/>
        <w:rPr>
          <w:sz w:val="20"/>
          <w:szCs w:val="20"/>
          <w:color w:val="auto"/>
        </w:rPr>
      </w:pPr>
    </w:p>
    <w:p>
      <w:pPr>
        <w:ind w:left="1300" w:right="60" w:hanging="647"/>
        <w:spacing w:after="0" w:line="235" w:lineRule="auto"/>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Before April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calendar year commencing in the year 2015, Genzyme and Veracyte shall jointly submit an initial draft of a commercial plan for the Territories for the subsequent calendar year (each, an “</w:t>
      </w:r>
      <w:r>
        <w:rPr>
          <w:rFonts w:ascii="Arial" w:cs="Arial" w:eastAsia="Arial" w:hAnsi="Arial"/>
          <w:sz w:val="17"/>
          <w:szCs w:val="17"/>
          <w:u w:val="single" w:color="auto"/>
          <w:color w:val="auto"/>
        </w:rPr>
        <w:t>Annual Commercial Plan</w:t>
      </w:r>
      <w:r>
        <w:rPr>
          <w:rFonts w:ascii="Arial" w:cs="Arial" w:eastAsia="Arial" w:hAnsi="Arial"/>
          <w:sz w:val="17"/>
          <w:szCs w:val="17"/>
          <w:color w:val="auto"/>
        </w:rPr>
        <w:t>”) to the Steering Committee for review and comment. Before October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each calendar year commencing in the year 2015, Genzyme and Veracyte shall jointly submit a final draft of the Annual Commercial Plan for the subsequent calendar year to the Steering Committee for approval. Before</w:t>
      </w:r>
    </w:p>
    <w:p>
      <w:pPr>
        <w:ind w:left="1300" w:right="240"/>
        <w:spacing w:after="0" w:line="229" w:lineRule="auto"/>
        <w:rPr>
          <w:sz w:val="20"/>
          <w:szCs w:val="20"/>
          <w:color w:val="auto"/>
        </w:rPr>
      </w:pPr>
      <w:r>
        <w:rPr>
          <w:rFonts w:ascii="Arial" w:cs="Arial" w:eastAsia="Arial" w:hAnsi="Arial"/>
          <w:sz w:val="18"/>
          <w:szCs w:val="18"/>
          <w:color w:val="auto"/>
        </w:rPr>
        <w:t>November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calendar years commencing in 2015, the Steering Committee shall approve the final Annual Commercial Plan for the subsequent calendar year. Within ninety (90) days after the Effective Date, the Steering Committee shall approve the Annual Commercial Plan for the calendar year commencing on January 1, 2015.</w:t>
      </w:r>
    </w:p>
    <w:p>
      <w:pPr>
        <w:spacing w:after="0" w:line="203" w:lineRule="exact"/>
        <w:rPr>
          <w:sz w:val="20"/>
          <w:szCs w:val="20"/>
          <w:color w:val="auto"/>
        </w:rPr>
      </w:pPr>
    </w:p>
    <w:p>
      <w:pPr>
        <w:ind w:left="1300" w:right="20" w:hanging="647"/>
        <w:spacing w:after="0" w:line="285" w:lineRule="auto"/>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The Annual Commercial Plan will specify in reasonable detail all marketing and promotional activities that Genzyme (and, where applicable, Veracyte) will undertake in each Country during the relevant calendar year. The Annual Commercial Plan shall include, without limitation, the following: (a) Test positioning, strategy and tactics with regard to reimbursement efforts and with regard to supporting advertising and promotional activity to be undertaken; (b) a determination of the Healthcare Professional accounts that are appropriate and are not appropriate for Calls; (c) any training programs to be conducted; (d) medical and education programs to be conducted;</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 professional and trade relations activities; (f) any information to be specifically included in any Genzyme Detail Report;</w:t>
      </w:r>
    </w:p>
    <w:p>
      <w:pPr>
        <w:spacing w:after="0" w:line="9" w:lineRule="exact"/>
        <w:rPr>
          <w:sz w:val="20"/>
          <w:szCs w:val="20"/>
          <w:color w:val="auto"/>
        </w:rPr>
      </w:pPr>
    </w:p>
    <w:p>
      <w:pPr>
        <w:ind w:left="1300" w:right="160" w:firstLine="5"/>
        <w:spacing w:after="0" w:line="269" w:lineRule="auto"/>
        <w:tabs>
          <w:tab w:leader="none" w:pos="15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specifications for the development of promotional and training materials (including the specific types of such materials to be developed); (h) projections for rebates and discounts for the Test; (i) such other information relating to the marketing and sales of the Test as deemed advisable by the Steering Committee; (j) the projected budget for all of the activities and materials anticipated under such plan, including without limitation projected gross billings and Net Revenues (in each case for both cytopathology and the molecular testing), projected billing rates by payor, and a breakdown of the projected costs for the activities and materials anticipated under the Annual Commercial Plan; and k) a three (3) year rolling sales forecast. Neither party shall make any material change in any previously approved Annual Commercial Plan without the prior written approval of the Steering Committee.</w:t>
      </w:r>
    </w:p>
    <w:p>
      <w:pPr>
        <w:spacing w:after="0" w:line="181" w:lineRule="exact"/>
        <w:rPr>
          <w:sz w:val="20"/>
          <w:szCs w:val="20"/>
          <w:color w:val="auto"/>
        </w:rPr>
      </w:pPr>
    </w:p>
    <w:p>
      <w:pPr>
        <w:jc w:val="both"/>
        <w:ind w:left="660" w:right="40" w:hanging="647"/>
        <w:spacing w:after="0" w:line="31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Sales Force</w:t>
      </w:r>
      <w:r>
        <w:rPr>
          <w:rFonts w:ascii="Arial" w:cs="Arial" w:eastAsia="Arial" w:hAnsi="Arial"/>
          <w:sz w:val="16"/>
          <w:szCs w:val="16"/>
          <w:color w:val="auto"/>
        </w:rPr>
        <w:t>. Genzyme and its Affiliates shall directly employ a sufficient number of suitably qualified and trained personnel to ensure the fulfilment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of Genzyme’s obligations including reimbursement efforts under this Agreement, as provided in </w:t>
      </w:r>
      <w:r>
        <w:rPr>
          <w:rFonts w:ascii="Arial" w:cs="Arial" w:eastAsia="Arial" w:hAnsi="Arial"/>
          <w:sz w:val="16"/>
          <w:szCs w:val="16"/>
          <w:u w:val="single" w:color="auto"/>
          <w:color w:val="auto"/>
        </w:rPr>
        <w:t>Exhibit A</w:t>
      </w:r>
      <w:r>
        <w:rPr>
          <w:rFonts w:ascii="Arial" w:cs="Arial" w:eastAsia="Arial" w:hAnsi="Arial"/>
          <w:sz w:val="16"/>
          <w:szCs w:val="16"/>
          <w:color w:val="auto"/>
        </w:rPr>
        <w:t>. Genzyme will promptly notify Veracyte in writing of any material proposed or of any actual changes to the sales personnel responsible for promoting the Test hereunder.</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Reporting</w:t>
      </w:r>
      <w:r>
        <w:rPr>
          <w:rFonts w:ascii="Arial" w:cs="Arial" w:eastAsia="Arial" w:hAnsi="Arial"/>
          <w:sz w:val="16"/>
          <w:szCs w:val="16"/>
          <w:color w:val="auto"/>
        </w:rPr>
        <w:t>.</w:t>
      </w:r>
    </w:p>
    <w:p>
      <w:pPr>
        <w:spacing w:after="0" w:line="225"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Genzyme shall provide Veracyte with a written report, within thirty (30) days of the end of each calendar quarter, detailing the efforts of its and its Affiliates’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720"/>
        <w:spacing w:after="0" w:line="277" w:lineRule="auto"/>
        <w:rPr>
          <w:sz w:val="20"/>
          <w:szCs w:val="20"/>
          <w:color w:val="auto"/>
        </w:rPr>
      </w:pPr>
      <w:r>
        <w:rPr>
          <w:rFonts w:ascii="Arial" w:cs="Arial" w:eastAsia="Arial" w:hAnsi="Arial"/>
          <w:sz w:val="18"/>
          <w:szCs w:val="18"/>
          <w:color w:val="auto"/>
        </w:rPr>
        <w:t>forces in promoting, marketing and detailing the Test during the preceding calendar quarter (or part thereof) for the Territories (the “</w:t>
      </w:r>
      <w:r>
        <w:rPr>
          <w:rFonts w:ascii="Arial" w:cs="Arial" w:eastAsia="Arial" w:hAnsi="Arial"/>
          <w:sz w:val="18"/>
          <w:szCs w:val="18"/>
          <w:u w:val="single" w:color="auto"/>
          <w:color w:val="auto"/>
        </w:rPr>
        <w:t>Genzyme Detail Report</w:t>
      </w:r>
      <w:r>
        <w:rPr>
          <w:rFonts w:ascii="Arial" w:cs="Arial" w:eastAsia="Arial" w:hAnsi="Arial"/>
          <w:sz w:val="18"/>
          <w:szCs w:val="18"/>
          <w:color w:val="auto"/>
        </w:rPr>
        <w:t>”). Such reports shall include the following information:</w:t>
      </w:r>
    </w:p>
    <w:p>
      <w:pPr>
        <w:spacing w:after="0" w:line="170" w:lineRule="exact"/>
        <w:rPr>
          <w:sz w:val="20"/>
          <w:szCs w:val="20"/>
          <w:color w:val="auto"/>
        </w:rPr>
      </w:pPr>
    </w:p>
    <w:p>
      <w:pPr>
        <w:ind w:left="1940" w:hanging="635"/>
        <w:spacing w:after="0"/>
        <w:tabs>
          <w:tab w:leader="none" w:pos="1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reimbursement discussions;</w:t>
      </w:r>
    </w:p>
    <w:p>
      <w:pPr>
        <w:sectPr>
          <w:pgSz w:w="11900" w:h="16874" w:orient="portrait"/>
          <w:cols w:equalWidth="0" w:num="1">
            <w:col w:w="11420"/>
          </w:cols>
          <w:pgMar w:left="240" w:top="341" w:right="239" w:bottom="0" w:gutter="0" w:footer="0" w:header="0"/>
        </w:sectPr>
      </w:pPr>
    </w:p>
    <w:bookmarkStart w:id="140" w:name="page141"/>
    <w:bookmarkEnd w:id="140"/>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Countries in the Comprehensive Services Territory, billing information;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further information as agreed upon by the parties.</w:t>
      </w:r>
    </w:p>
    <w:p>
      <w:pPr>
        <w:spacing w:after="0" w:line="225"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All such information shall be the Confidential Information of Genzyme and shall be maintained by Veracyte in accordance with Section 7 hereof.</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Advertising and Promotional Materials; Medical Affairs</w:t>
      </w:r>
      <w:r>
        <w:rPr>
          <w:rFonts w:ascii="Arial" w:cs="Arial" w:eastAsia="Arial" w:hAnsi="Arial"/>
          <w:sz w:val="16"/>
          <w:szCs w:val="16"/>
          <w:color w:val="auto"/>
        </w:rPr>
        <w:t>.</w:t>
      </w:r>
    </w:p>
    <w:p>
      <w:pPr>
        <w:spacing w:after="0" w:line="225" w:lineRule="exact"/>
        <w:rPr>
          <w:sz w:val="20"/>
          <w:szCs w:val="20"/>
          <w:color w:val="auto"/>
        </w:rPr>
      </w:pPr>
    </w:p>
    <w:p>
      <w:pPr>
        <w:ind w:left="1300" w:hanging="647"/>
        <w:spacing w:after="0" w:line="285" w:lineRule="auto"/>
        <w:tabs>
          <w:tab w:leader="none" w:pos="128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u w:val="single" w:color="auto"/>
          <w:color w:val="auto"/>
        </w:rPr>
        <w:t>Ad/Prom Materials</w:t>
      </w:r>
      <w:r>
        <w:rPr>
          <w:rFonts w:ascii="Arial" w:cs="Arial" w:eastAsia="Arial" w:hAnsi="Arial"/>
          <w:sz w:val="16"/>
          <w:szCs w:val="16"/>
          <w:color w:val="auto"/>
        </w:rPr>
        <w:t>. All Ad/Prom Materials authorized by the Steering Committee pursuant to Section 5.2.2 shall be created and developed</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by Veracyte, and Veracyte shall reasonably consider any input provided by the Steering Committee or Genzyme. Neither party may use any Ad/Prom Materials in the Territories that have not been previously approved by the Steering Committee or it’s designees pursuant to Section 5.2.2. At its sole cost and expense during the Term, Genzyme shall (i) produce, print and distribute all such Ad/Prom Materials for Countries in the Territories, based on English language content developed by Veracyte, and in accordance with Genzyme’s reasonable policies and procedures and (ii) translate and adapt for local markets any such Ad/Prom Materials as appropriate for any Countries in the Territories without Steering Committee approval;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copies of any such translated and adapted materials will be promptly provided to the Steering Committee. Genzyme shall reasonably consider any input provided by the Steering Committee or Veracyte regarding such materials for future productions and printings of such materials. In the event that the Steering Committee does not approve a particular type or form of Ad/Prom Material under Section 5.2.2 but one party still desires to create such type or form of material, such party may do so at it sole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party must obtain Steering Committee review and approval of such Ad/Prom Material prior to any use thereof. All Ad/Prom Materials produced by Genzyme under this Agreement are and shall remain the property of Genzyme;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as between the parties hereto and except as expressly provided otherwise elsewhere in this Agreement, Veracyte shall exclusively own all right, title and interest in all Intellectual Property Rights in all Ad/Prom Materials, except for any content specifically related to Thyrogen or other Genzyme products and any Genzyme Trademarks (which shall be exclusively owned by Genzyme), and Genzyme shall have a royalty-free right and license under such Intellectual Property Rights during the Term.</w:t>
      </w:r>
    </w:p>
    <w:p>
      <w:pPr>
        <w:spacing w:after="0" w:line="178" w:lineRule="exact"/>
        <w:rPr>
          <w:sz w:val="20"/>
          <w:szCs w:val="20"/>
          <w:color w:val="auto"/>
        </w:rPr>
      </w:pPr>
    </w:p>
    <w:p>
      <w:pPr>
        <w:ind w:left="1300" w:right="780" w:hanging="647"/>
        <w:spacing w:after="0" w:line="277" w:lineRule="auto"/>
        <w:tabs>
          <w:tab w:leader="none" w:pos="128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u w:val="single" w:color="auto"/>
          <w:color w:val="auto"/>
        </w:rPr>
        <w:t>Observers</w:t>
      </w:r>
      <w:r>
        <w:rPr>
          <w:rFonts w:ascii="Arial" w:cs="Arial" w:eastAsia="Arial" w:hAnsi="Arial"/>
          <w:sz w:val="18"/>
          <w:szCs w:val="18"/>
          <w:color w:val="auto"/>
        </w:rPr>
        <w:t>. Each party shall have the right to have an employee participate as an observer in the other party’s promotional review</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committee or board meetings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64" w:lineRule="auto"/>
        <w:rPr>
          <w:sz w:val="20"/>
          <w:szCs w:val="20"/>
          <w:color w:val="auto"/>
        </w:rPr>
      </w:pPr>
      <w:r>
        <w:rPr>
          <w:rFonts w:ascii="Arial" w:cs="Arial" w:eastAsia="Arial" w:hAnsi="Arial"/>
          <w:sz w:val="18"/>
          <w:szCs w:val="18"/>
          <w:color w:val="auto"/>
        </w:rPr>
        <w:t xml:space="preserve">related to the Ad/Prom Materials;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party shall retain sole discretion regarding the management and scheduling of its promotional review committees or boards and the availability of the observer shall not influence the scheduling and timing of such meetings.</w:t>
      </w:r>
    </w:p>
    <w:p>
      <w:pPr>
        <w:spacing w:after="0" w:line="181" w:lineRule="exact"/>
        <w:rPr>
          <w:sz w:val="20"/>
          <w:szCs w:val="20"/>
          <w:color w:val="auto"/>
        </w:rPr>
      </w:pPr>
    </w:p>
    <w:p>
      <w:pPr>
        <w:ind w:left="1300" w:right="20" w:hanging="647"/>
        <w:spacing w:after="0" w:line="268" w:lineRule="auto"/>
        <w:tabs>
          <w:tab w:leader="none" w:pos="128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7"/>
          <w:szCs w:val="17"/>
          <w:u w:val="single" w:color="auto"/>
          <w:color w:val="auto"/>
        </w:rPr>
        <w:t>Talks and Grants</w:t>
      </w:r>
      <w:r>
        <w:rPr>
          <w:rFonts w:ascii="Arial" w:cs="Arial" w:eastAsia="Arial" w:hAnsi="Arial"/>
          <w:sz w:val="17"/>
          <w:szCs w:val="17"/>
          <w:color w:val="auto"/>
        </w:rPr>
        <w:t>. In its sole discretion, Genzyme will (i) participate in speaker training events (at its sole cost and expense), (ii) participate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in, and promote the Test at, key symposia, industry events and educational dinner programs as described in the Annual Commercial Plan (at its sole cost and expense) and (iii) provide grants to patient organizations, continuing medical education providers, and other appropriate recipients (at its sole cost and expense). As between the parties hereto and except as expressly provided otherwise elsewhere in this Agreement, Veracyte shall develop all slide decks and promotional materials (including booth design for symposia and industry events) in the English language to be used by Genzyme for the above activities and shall exclusively own all right, title and interest in any such slide presentations except for any content specifically related to Thyrogen or other Genzyme products and any Genzyme Trademarks (which shall be exclusively owned by Genzyme). Genzyme may modify such materials with prior written approval of the Steering Committee;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Genzyme and its Affiliates may translate and adapt for local markets any such materials as appropriate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Countries in the Territories without Steering Committee approval;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copies of any such translated and adapted materials will be promptly provided to the Steering Committee;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Genzyme shall be solely responsible for the costs and expenses of and, to the extent directly related to the accuracy of such translations and adaptations, liabilities directly arising from, any such translations and adaptations.</w:t>
      </w:r>
    </w:p>
    <w:p>
      <w:pPr>
        <w:spacing w:after="0" w:line="188" w:lineRule="exact"/>
        <w:rPr>
          <w:sz w:val="20"/>
          <w:szCs w:val="20"/>
          <w:color w:val="auto"/>
        </w:rPr>
      </w:pPr>
    </w:p>
    <w:p>
      <w:pPr>
        <w:ind w:left="1300" w:right="40" w:hanging="647"/>
        <w:spacing w:after="0" w:line="279" w:lineRule="auto"/>
        <w:tabs>
          <w:tab w:leader="none" w:pos="128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7"/>
          <w:szCs w:val="17"/>
          <w:u w:val="single" w:color="auto"/>
          <w:color w:val="auto"/>
        </w:rPr>
        <w:t>Physician Speaking Events</w:t>
      </w:r>
      <w:r>
        <w:rPr>
          <w:rFonts w:ascii="Arial" w:cs="Arial" w:eastAsia="Arial" w:hAnsi="Arial"/>
          <w:sz w:val="17"/>
          <w:szCs w:val="17"/>
          <w:color w:val="auto"/>
        </w:rPr>
        <w:t>. If the Steering Committee determines that holding a physician speaker event will be advantageous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promotion, marketing or sales of the Test in a Country that is a </w:t>
      </w:r>
      <w:r>
        <w:rPr>
          <w:rFonts w:ascii="Arial" w:cs="Arial" w:eastAsia="Arial" w:hAnsi="Arial"/>
          <w:sz w:val="17"/>
          <w:szCs w:val="17"/>
          <w:u w:val="single" w:color="auto"/>
          <w:color w:val="auto"/>
        </w:rPr>
        <w:t>Comprehensive Services Territory</w:t>
      </w:r>
      <w:r>
        <w:rPr>
          <w:rFonts w:ascii="Arial" w:cs="Arial" w:eastAsia="Arial" w:hAnsi="Arial"/>
          <w:sz w:val="17"/>
          <w:szCs w:val="17"/>
          <w:color w:val="auto"/>
        </w:rPr>
        <w:t>, Genzyme shall pay for the honoraria and travel expenses of an academic-center based physician with expertise on the Test to provide a physician speaker event in such Country, and Veracyte shall pay such expenses if the Country is a Dedicated Promotion Only Territory.</w:t>
      </w:r>
    </w:p>
    <w:p>
      <w:pPr>
        <w:spacing w:after="0" w:line="171" w:lineRule="exact"/>
        <w:rPr>
          <w:sz w:val="20"/>
          <w:szCs w:val="20"/>
          <w:color w:val="auto"/>
        </w:rPr>
      </w:pPr>
    </w:p>
    <w:p>
      <w:pPr>
        <w:ind w:left="1300" w:right="460" w:hanging="647"/>
        <w:spacing w:after="0" w:line="277" w:lineRule="auto"/>
        <w:tabs>
          <w:tab w:leader="none" w:pos="128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Veracyte shall pay for the honoraria and travel expenses of an academic-center based physician with expertise on the Test to provide a physician speaker event in such Country.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Customer Support, Complaints and Inquiries</w:t>
      </w:r>
      <w:r>
        <w:rPr>
          <w:rFonts w:ascii="Arial" w:cs="Arial" w:eastAsia="Arial" w:hAnsi="Arial"/>
          <w:sz w:val="16"/>
          <w:szCs w:val="16"/>
          <w:color w:val="auto"/>
        </w:rPr>
        <w:t>.</w:t>
      </w:r>
    </w:p>
    <w:p>
      <w:pPr>
        <w:spacing w:after="0" w:line="225" w:lineRule="exact"/>
        <w:rPr>
          <w:sz w:val="20"/>
          <w:szCs w:val="20"/>
          <w:color w:val="auto"/>
        </w:rPr>
      </w:pPr>
    </w:p>
    <w:p>
      <w:pPr>
        <w:ind w:left="1300" w:right="120" w:hanging="647"/>
        <w:spacing w:after="0" w:line="286" w:lineRule="auto"/>
        <w:tabs>
          <w:tab w:leader="none" w:pos="12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7"/>
          <w:szCs w:val="17"/>
          <w:u w:val="single" w:color="auto"/>
          <w:color w:val="auto"/>
        </w:rPr>
        <w:t>Customer Support</w:t>
      </w:r>
      <w:r>
        <w:rPr>
          <w:rFonts w:ascii="Arial" w:cs="Arial" w:eastAsia="Arial" w:hAnsi="Arial"/>
          <w:sz w:val="17"/>
          <w:szCs w:val="17"/>
          <w:color w:val="auto"/>
        </w:rPr>
        <w:t>. In the Territories, Veracyte shall have sole responsibility for direct, front-line customer support including, without</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limitation, medical information support. Veracyte shall perform these activities in a manner consistent with the responsibilities outlined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Such activities shall be at Veracyte’s cost and expense. Veracyte shall reasonably consider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260"/>
        <w:spacing w:after="0" w:line="264" w:lineRule="auto"/>
        <w:rPr>
          <w:sz w:val="20"/>
          <w:szCs w:val="20"/>
          <w:color w:val="auto"/>
        </w:rPr>
      </w:pPr>
      <w:r>
        <w:rPr>
          <w:rFonts w:ascii="Arial" w:cs="Arial" w:eastAsia="Arial" w:hAnsi="Arial"/>
          <w:sz w:val="18"/>
          <w:szCs w:val="18"/>
          <w:color w:val="auto"/>
        </w:rPr>
        <w:t>input provided by Genzyme regarding such customer support. Genzyme shall provide reasonable support and assistance to Veracyte as reasonably requested at Veracyte’s cost and expense, subject to the availability of such resources. In the Territories, Genzyme shall refer any requests or inquiries directly to Veracyte.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u w:val="single" w:color="auto"/>
          <w:color w:val="auto"/>
        </w:rPr>
        <w:t>Complaints</w:t>
      </w:r>
      <w:r>
        <w:rPr>
          <w:rFonts w:ascii="Arial" w:cs="Arial" w:eastAsia="Arial" w:hAnsi="Arial"/>
          <w:sz w:val="16"/>
          <w:szCs w:val="16"/>
          <w:color w:val="auto"/>
        </w:rPr>
        <w:t>.</w:t>
      </w:r>
    </w:p>
    <w:p>
      <w:pPr>
        <w:sectPr>
          <w:pgSz w:w="11900" w:h="16838" w:orient="portrait"/>
          <w:cols w:equalWidth="0" w:num="1">
            <w:col w:w="11400"/>
          </w:cols>
          <w:pgMar w:left="240" w:top="341" w:right="259" w:bottom="59" w:gutter="0" w:footer="0" w:header="0"/>
        </w:sectPr>
      </w:pPr>
    </w:p>
    <w:bookmarkStart w:id="141" w:name="page142"/>
    <w:bookmarkEnd w:id="141"/>
    <w:p>
      <w:pPr>
        <w:spacing w:after="0" w:line="114" w:lineRule="exact"/>
        <w:rPr>
          <w:sz w:val="20"/>
          <w:szCs w:val="20"/>
          <w:color w:val="auto"/>
        </w:rPr>
      </w:pPr>
    </w:p>
    <w:p>
      <w:pPr>
        <w:ind w:left="1960" w:right="60" w:hanging="655"/>
        <w:spacing w:after="0" w:line="288" w:lineRule="auto"/>
        <w:tabs>
          <w:tab w:leader="none" w:pos="195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Genzyme or any of its Affiliates becomes aware of any Complaint or concern regarding the Test (including, without limitation, accuracy, quality or performance of the Test or any complaints or concerns regarding the sales, promotion, or marketing of the Test), Genzyme shall submit a written report of such Complaint or concern, along with any documentation involved with the Complaint, if available, to Veracyte within two (2) business days after receipt of such notice by Genzyme. As between the parties, Veracyte shall have the sole authority and responsibility to respond to any governmental agency or Regulatory Authority to respond to Complaints, and to handle all returns field alerts, recalls or market withdrawals of the Test in accordance with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be construed to prevent Genzyme or its Affiliates in any way from complying with any governmental agency or Regulatory Authority or applicable laws, rules or regulations or from responding to governmental agencies or Regulatory Authorities with respect to Complaints regarding the conduct of Genzyme’s or its Affiliates’ sales force or the portion of any content of Ad/Prom Materials related to Genzyme’s or its Affiliates’ products.</w:t>
      </w:r>
    </w:p>
    <w:p>
      <w:pPr>
        <w:spacing w:after="0" w:line="169" w:lineRule="exact"/>
        <w:rPr>
          <w:rFonts w:ascii="Arial" w:cs="Arial" w:eastAsia="Arial" w:hAnsi="Arial"/>
          <w:sz w:val="16"/>
          <w:szCs w:val="16"/>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Genzyme or its Affiliates shall forward all Complaints and inquiries to Veracyte in a timely manner as set forth in</w:t>
      </w:r>
    </w:p>
    <w:p>
      <w:pPr>
        <w:spacing w:after="0" w:line="23" w:lineRule="exact"/>
        <w:rPr>
          <w:rFonts w:ascii="Arial" w:cs="Arial" w:eastAsia="Arial" w:hAnsi="Arial"/>
          <w:sz w:val="18"/>
          <w:szCs w:val="18"/>
          <w:color w:val="auto"/>
        </w:rPr>
      </w:pPr>
    </w:p>
    <w:p>
      <w:pPr>
        <w:ind w:left="1960" w:right="20"/>
        <w:spacing w:after="0" w:line="269" w:lineRule="auto"/>
        <w:rPr>
          <w:rFonts w:ascii="Arial" w:cs="Arial" w:eastAsia="Arial" w:hAnsi="Arial"/>
          <w:sz w:val="18"/>
          <w:szCs w:val="18"/>
          <w:color w:val="auto"/>
        </w:rPr>
      </w:pPr>
      <w:r>
        <w:rPr>
          <w:rFonts w:ascii="Arial" w:cs="Arial" w:eastAsia="Arial" w:hAnsi="Arial"/>
          <w:sz w:val="17"/>
          <w:szCs w:val="17"/>
          <w:color w:val="auto"/>
        </w:rPr>
        <w:t>Section 3.6.2(a) hereof and shall follow any reasonable and timely directions Veracyte may provide in that respect including, without limitation, to allow Veracyte to comply with applicable local laws and regulations in the Territories. If an investigation by Veracyte is needed in response to a Complaint or inquiry, Genzyme and its Affiliates shall assist Veracyte as reasonably requested by Veracyte and Veracyte shall forward the results of the investigation to Genzyme within a reasonable timeframe to allow Genzyme to comply with applicable local laws and regulations in a relevant Country. Genzyme and its Affiliates shall retain records of all Complaints and inquiries for a period of not less than three (3) years beyond the expiration or termination date of this Agreement or for such longer period as may be required by applicable law.</w:t>
      </w:r>
    </w:p>
    <w:p>
      <w:pPr>
        <w:spacing w:after="0" w:line="181" w:lineRule="exact"/>
        <w:rPr>
          <w:sz w:val="20"/>
          <w:szCs w:val="20"/>
          <w:color w:val="auto"/>
        </w:rPr>
      </w:pPr>
    </w:p>
    <w:p>
      <w:pPr>
        <w:ind w:left="660" w:right="220" w:hanging="647"/>
        <w:spacing w:after="0" w:line="259"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Audit</w:t>
      </w:r>
      <w:r>
        <w:rPr>
          <w:rFonts w:ascii="Arial" w:cs="Arial" w:eastAsia="Arial" w:hAnsi="Arial"/>
          <w:sz w:val="18"/>
          <w:szCs w:val="18"/>
          <w:color w:val="auto"/>
        </w:rPr>
        <w:t>. Upon reasonable prior written notification, either party shall, during regular business hours, provide authorized representatives of the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with access to its facilities (including those owned or operated by a third party), systems, personnel, books and records (including books and records regarding Net Revenues) as reasonably necessary to enable the representatives to audit such party’s compliance with its duties and responsibilities under this Agreement. Each party shall be limited to one (1) audit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per Contract Year during the Term and once during the three (3) year period following the expiration or termination of this Agreement. The records and Net Revenue reports for any particular calendar quarter may not be examined under this Section 3.7 more than once.</w:t>
      </w:r>
    </w:p>
    <w:p>
      <w:pPr>
        <w:spacing w:after="0" w:line="147" w:lineRule="exact"/>
        <w:rPr>
          <w:sz w:val="20"/>
          <w:szCs w:val="20"/>
          <w:color w:val="auto"/>
        </w:rPr>
      </w:pPr>
    </w:p>
    <w:p>
      <w:pPr>
        <w:ind w:left="660" w:right="180" w:hanging="647"/>
        <w:spacing w:after="0" w:line="257" w:lineRule="auto"/>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u w:val="single" w:color="auto"/>
          <w:color w:val="auto"/>
        </w:rPr>
        <w:t>Non-solicitation</w:t>
      </w:r>
      <w:r>
        <w:rPr>
          <w:rFonts w:ascii="Arial" w:cs="Arial" w:eastAsia="Arial" w:hAnsi="Arial"/>
          <w:sz w:val="18"/>
          <w:szCs w:val="18"/>
          <w:color w:val="auto"/>
        </w:rPr>
        <w:t>. Neither party shall, directly or indirectly, take any action to cause the other party to lose any of its employees, agents, customer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contacts or other elements of its goodwill;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apply with respect to (i) any person as to whom conversations were initiated by such party after such person terminated his or her employment with the other party, (ii) any public advertisement in any general or industry publication, or (iii) any solicitation made through a recruiting or search firm retained by such party using a database of candidates without targeting the other party or specific individuals.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Performance by Genzyme Affiliates</w:t>
      </w:r>
      <w:r>
        <w:rPr>
          <w:rFonts w:ascii="Arial" w:cs="Arial" w:eastAsia="Arial" w:hAnsi="Arial"/>
          <w:sz w:val="16"/>
          <w:szCs w:val="16"/>
          <w:color w:val="auto"/>
        </w:rPr>
        <w:t>. Notwithstanding anything to the contrary contained in this Agreement, any Genzyme obligation hereunder may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assumed and performed by one or more of its Affiliates, and Genzyme may, at its election, delegate to any one or more of its Affiliates any duty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or responsibility set forth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Genzyme shall remain responsible for any and all acts and omissions by such</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Affiliate(s) to the same extent as if such were performed, taken or made by Genzyme. In the event that Genzyme desires to perform its obligations in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Country through distributors (rather than through direct employees), Genzyme may make a written proposal to Veracyte for its consideration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Veracyte agrees, (i) the parties will memorialize such agreement in writing and (ii) Genzyme shall remain responsible for any and all acts 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omissions by such distributor to the same extent as if such were performed, taken or made by Genzyme.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VERACYTE’S UNDERTAKINGS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Veracyte Roles and Responsibilities</w:t>
      </w:r>
      <w:r>
        <w:rPr>
          <w:rFonts w:ascii="Arial" w:cs="Arial" w:eastAsia="Arial" w:hAnsi="Arial"/>
          <w:sz w:val="16"/>
          <w:szCs w:val="16"/>
          <w:color w:val="auto"/>
        </w:rPr>
        <w:t>.</w:t>
      </w:r>
    </w:p>
    <w:p>
      <w:pPr>
        <w:spacing w:after="0" w:line="225" w:lineRule="exact"/>
        <w:rPr>
          <w:sz w:val="20"/>
          <w:szCs w:val="20"/>
          <w:color w:val="auto"/>
        </w:rPr>
      </w:pPr>
    </w:p>
    <w:p>
      <w:pPr>
        <w:ind w:left="1300" w:right="80" w:hanging="647"/>
        <w:spacing w:after="0" w:line="259" w:lineRule="auto"/>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auto"/>
        </w:rPr>
        <w:t>Veracyte Test Processing Efforts</w:t>
      </w:r>
      <w:r>
        <w:rPr>
          <w:rFonts w:ascii="Arial" w:cs="Arial" w:eastAsia="Arial" w:hAnsi="Arial"/>
          <w:sz w:val="18"/>
          <w:szCs w:val="18"/>
          <w:color w:val="auto"/>
        </w:rPr>
        <w:t>. Subject to the provisions of, and during the Term of, this Agreement, Veracyte and its Affiliates shall use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Commercially Reasonable Efforts to offer and provide the Test beginning on the Effective Date in accordance with the then-current Annual Commercial Plan in the Countries in the Territories. This means, among other things, that Veracyte and its Affiliates shall use their respective Commercially Reasonable Efforts:</w:t>
      </w:r>
    </w:p>
    <w:p>
      <w:pPr>
        <w:spacing w:after="0" w:line="187" w:lineRule="exact"/>
        <w:rPr>
          <w:sz w:val="20"/>
          <w:szCs w:val="20"/>
          <w:color w:val="auto"/>
        </w:rPr>
      </w:pPr>
    </w:p>
    <w:p>
      <w:pPr>
        <w:ind w:left="1960" w:right="680" w:hanging="655"/>
        <w:spacing w:after="0" w:line="277" w:lineRule="auto"/>
        <w:tabs>
          <w:tab w:leader="none" w:pos="19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conduct and process the Test in accordance with the Test specifications, including without limitation as contained in the applicable Marketing Authorization (if any);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handle and process all aspects of the Tests including receipt of Collection Kits, processing samples, and issuing patient reports;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provide all central lab testing and processing required for provision of the Test and communicating Test results;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20" w:hanging="655"/>
        <w:spacing w:after="0" w:line="259" w:lineRule="auto"/>
        <w:tabs>
          <w:tab w:leader="none" w:pos="19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obtain and maintain all licenses, permits and certifications required to perform the foregoing responsibilities, including without limitation Clinical Laboratories Improvements Amendments (“</w:t>
      </w:r>
      <w:r>
        <w:rPr>
          <w:rFonts w:ascii="Arial" w:cs="Arial" w:eastAsia="Arial" w:hAnsi="Arial"/>
          <w:sz w:val="18"/>
          <w:szCs w:val="18"/>
          <w:u w:val="single" w:color="auto"/>
          <w:color w:val="auto"/>
        </w:rPr>
        <w:t>CLIA</w:t>
      </w:r>
      <w:r>
        <w:rPr>
          <w:rFonts w:ascii="Arial" w:cs="Arial" w:eastAsia="Arial" w:hAnsi="Arial"/>
          <w:sz w:val="18"/>
          <w:szCs w:val="18"/>
          <w:color w:val="auto"/>
        </w:rPr>
        <w:t>”) certification, and ensure that any third party laboratories used by Veracyte to perform such responsibilities also have the requisite licenses, permits and certifications at all times while performing services on behalf of Veracyte.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u w:val="single" w:color="auto"/>
          <w:color w:val="auto"/>
        </w:rPr>
        <w:t>Test Terms of Sale</w:t>
      </w:r>
      <w:r>
        <w:rPr>
          <w:rFonts w:ascii="Arial" w:cs="Arial" w:eastAsia="Arial" w:hAnsi="Arial"/>
          <w:sz w:val="15"/>
          <w:szCs w:val="15"/>
          <w:color w:val="auto"/>
        </w:rPr>
        <w:t>.</w:t>
      </w:r>
    </w:p>
    <w:p>
      <w:pPr>
        <w:spacing w:after="0" w:line="225" w:lineRule="exact"/>
        <w:rPr>
          <w:sz w:val="20"/>
          <w:szCs w:val="20"/>
          <w:color w:val="auto"/>
        </w:rPr>
      </w:pPr>
    </w:p>
    <w:p>
      <w:pPr>
        <w:ind w:left="1960" w:right="60" w:hanging="655"/>
        <w:spacing w:after="0" w:line="312" w:lineRule="auto"/>
        <w:tabs>
          <w:tab w:leader="none" w:pos="195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Comprehensive Services</w:t>
      </w:r>
      <w:r>
        <w:rPr>
          <w:rFonts w:ascii="Arial" w:cs="Arial" w:eastAsia="Arial" w:hAnsi="Arial"/>
          <w:sz w:val="16"/>
          <w:szCs w:val="16"/>
          <w:color w:val="auto"/>
        </w:rPr>
        <w:t xml:space="preserve">. Genzyme shall have the right to establish and modify (in its sole right and responsibility) terms and conditions regarding the sale and provision of the Test in each Country in the Comprehensive Services Territory, including the price of the Test will be sold, any discounts offered or applied, the availability of the Test, and contracting;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ectPr>
          <w:pgSz w:w="11900" w:h="16952" w:orient="portrait"/>
          <w:cols w:equalWidth="0" w:num="1">
            <w:col w:w="11420"/>
          </w:cols>
          <w:pgMar w:left="240" w:top="125" w:right="239" w:bottom="0" w:gutter="0" w:footer="0" w:header="0"/>
        </w:sectPr>
      </w:pPr>
    </w:p>
    <w:bookmarkStart w:id="142" w:name="page143"/>
    <w:bookmarkEnd w:id="142"/>
    <w:p>
      <w:pPr>
        <w:spacing w:after="0" w:line="137" w:lineRule="exact"/>
        <w:rPr>
          <w:sz w:val="20"/>
          <w:szCs w:val="20"/>
          <w:color w:val="auto"/>
        </w:rPr>
      </w:pPr>
    </w:p>
    <w:p>
      <w:pPr>
        <w:ind w:left="1960"/>
        <w:spacing w:after="0" w:line="255" w:lineRule="auto"/>
        <w:rPr>
          <w:sz w:val="20"/>
          <w:szCs w:val="20"/>
          <w:color w:val="auto"/>
        </w:rPr>
      </w:pPr>
      <w:r>
        <w:rPr>
          <w:rFonts w:ascii="Arial" w:cs="Arial" w:eastAsia="Arial" w:hAnsi="Arial"/>
          <w:sz w:val="18"/>
          <w:szCs w:val="18"/>
          <w:color w:val="auto"/>
        </w:rPr>
        <w:t xml:space="preserve">all matters relating to pricing of the Test will be discussed by the Steering Committee and Veracyte’s input will be reasonably considered by Genzyme. </w:t>
      </w:r>
      <w:r>
        <w:rPr>
          <w:rFonts w:ascii="Arial" w:cs="Arial" w:eastAsia="Arial" w:hAnsi="Arial"/>
          <w:sz w:val="18"/>
          <w:szCs w:val="18"/>
          <w:u w:val="single" w:color="auto"/>
          <w:color w:val="auto"/>
        </w:rPr>
        <w:t>Dedicated Promotion Only</w:t>
      </w:r>
      <w:r>
        <w:rPr>
          <w:rFonts w:ascii="Arial" w:cs="Arial" w:eastAsia="Arial" w:hAnsi="Arial"/>
          <w:sz w:val="18"/>
          <w:szCs w:val="18"/>
          <w:color w:val="auto"/>
        </w:rPr>
        <w:t xml:space="preserve">. Veracyte shall have the right to establish and modify (in its sole right and responsibility) terms and conditions regarding the sale and provision of the Test in each Country in the Dedicated Promotion Only Territory, including the price of the Test will be sold, any discounts offered or applied, the availability of the Test, and contracting;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all matters relating to pricing of the Test will be discussed by the Steering Committee and Genzyme’s input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reasonably considered by Veracyte.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Advertising and Promotional Materials; Medical Affairs.</w:t>
      </w:r>
    </w:p>
    <w:p>
      <w:pPr>
        <w:spacing w:after="0" w:line="225" w:lineRule="exact"/>
        <w:rPr>
          <w:sz w:val="20"/>
          <w:szCs w:val="20"/>
          <w:color w:val="auto"/>
        </w:rPr>
      </w:pPr>
    </w:p>
    <w:p>
      <w:pPr>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Compliance</w:t>
      </w:r>
      <w:r>
        <w:rPr>
          <w:rFonts w:ascii="Arial" w:cs="Arial" w:eastAsia="Arial" w:hAnsi="Arial"/>
          <w:sz w:val="16"/>
          <w:szCs w:val="16"/>
          <w:color w:val="auto"/>
        </w:rPr>
        <w:t>. Veracyte and its Affiliates shall, and shall cause their respective employees and agents to, comply with all applicable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regulatory, professional and legal requirements which may be applicable to Veracyte’s and its Affiliates’ marketing, promotion, and detail of the Test and its other obligations hereunder. Neither Veracyte nor its Affiliates, nor any of their respective employees or agents, shall make any claim, representation, statement, warranty or guaranty with respect to the Test that is inconsistent with the then current Labeled Uses of the Test, this Agreement or the Ad/Prom Materials approved by the Steering Committee, that is deceptive or misleading or that disparages the Test or the good name, goodwill and reputation of Genzyme. Veracyte and its Affiliates shall use Commercially Reasonable Efforts to ensure that any services provided hereunder will be provided in a professional, ethical and competent manner.</w:t>
      </w:r>
    </w:p>
    <w:p>
      <w:pPr>
        <w:spacing w:after="0" w:line="167" w:lineRule="exact"/>
        <w:rPr>
          <w:sz w:val="20"/>
          <w:szCs w:val="20"/>
          <w:color w:val="auto"/>
        </w:rPr>
      </w:pPr>
    </w:p>
    <w:p>
      <w:pPr>
        <w:ind w:left="1300" w:right="120" w:hanging="647"/>
        <w:spacing w:after="0" w:line="264" w:lineRule="auto"/>
        <w:tabs>
          <w:tab w:leader="none" w:pos="12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u w:val="single" w:color="auto"/>
          <w:color w:val="auto"/>
        </w:rPr>
        <w:t>Brand Strategy</w:t>
      </w:r>
      <w:r>
        <w:rPr>
          <w:rFonts w:ascii="Arial" w:cs="Arial" w:eastAsia="Arial" w:hAnsi="Arial"/>
          <w:sz w:val="18"/>
          <w:szCs w:val="18"/>
          <w:color w:val="auto"/>
        </w:rPr>
        <w:t>. Veracyte shall provide marketing and brand strategy for the Test in accordance with the Annual Commercial Plan and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directions or instructions provided from time to time by the Steering Committee, and shall reasonably consider any input provided by Genzyme.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647"/>
        <w:spacing w:after="0" w:line="285"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Education and Training</w:t>
      </w:r>
      <w:r>
        <w:rPr>
          <w:rFonts w:ascii="Arial" w:cs="Arial" w:eastAsia="Arial" w:hAnsi="Arial"/>
          <w:sz w:val="16"/>
          <w:szCs w:val="16"/>
          <w:color w:val="auto"/>
        </w:rPr>
        <w:t>. Unless otherwise agreed upon by the Steering Committee, Veracyte shall educate and train Genzyme’s and, to the extent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Affiliates employ sales and marketing personnel used to promote, market, detail and sell the Test, such Affiliates’ training personnel in order that such training personnel may provide general training to Genzyme’s and its Affiliates’ sales and marketing representatives regarding the Test, it being understood that (i) Veracyte will provide Genzyme, free of charge, with reasonable quantities of training materials which have been created and developed by Veracyte relating to the Test, and (ii) Genzyme and its Affiliates shall not permit any of their respective sales and marketing personnel to promote, market, detail and sell the Test unless such sales and marketing personnel have been trained by Genzyme’s or its Affiliates’ training personnel trained by Veracyte (or Genzyme as provided below in this Section 4.3). Genzyme and its Affiliates referenced above shall make their respective training personnel available for such training and participate in conducting such training. As between the parties hereto and except as expressly provided otherwise elsewhere in this Agreement, Veracyte shall exclusively own all right, title and interest in training materials developed under this Agreement except for any content specifically related to Thyrogen or other Genzyme products and any Genzyme Trademarks (which shall be exclusively owned by Genzyme). Genzyme may translate such training materials into the local language used in any Country and may make copies of such training materials for use in its internal training programs. The parties shall mutually decide on the times and locations of the training of such training personnel, and, unless the parties agree otherwise in writing, Genzyme and Veracyte will be responsible for the costs of transporting, housing and maintaining their respective personnel conducting or receiving such training. As additional members are added to Genzyme’s or its Affiliates’ training personnel responsible for training the sales forces responsible for marketing and promoting the Test, training will be provided to such newly added members by Genzyme using the training materials initially developed by Veracyte.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Recalls</w:t>
      </w:r>
      <w:r>
        <w:rPr>
          <w:rFonts w:ascii="Arial" w:cs="Arial" w:eastAsia="Arial" w:hAnsi="Arial"/>
          <w:sz w:val="15"/>
          <w:szCs w:val="15"/>
          <w:color w:val="auto"/>
        </w:rPr>
        <w:t>.</w:t>
      </w:r>
    </w:p>
    <w:p>
      <w:pPr>
        <w:spacing w:after="0" w:line="225" w:lineRule="exact"/>
        <w:rPr>
          <w:sz w:val="20"/>
          <w:szCs w:val="20"/>
          <w:color w:val="auto"/>
        </w:rPr>
      </w:pPr>
    </w:p>
    <w:p>
      <w:pPr>
        <w:ind w:left="1300" w:right="80" w:hanging="647"/>
        <w:spacing w:after="0" w:line="257" w:lineRule="auto"/>
        <w:tabs>
          <w:tab w:leader="none" w:pos="12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Each party shall promptly (but in any case, not later than forty-eight (48) hours) notify the other party in writing of any order, request or directive of a court or other governmental agency or Regulatory Authority to recall or withdraw the Test. Veracyte shall be responsible and have sole authority for handling all inquiries, Complaints, or recalls of the Test at its sole cost and expense, keeping Genzyme fully informed as to its plans and actions related to any such recall. If requested by Veracyte, Genzyme shall fully cooperate with a Test recall in the Territory and follow all instructions given by Veracyte in that regard.</w:t>
      </w:r>
    </w:p>
    <w:p>
      <w:pPr>
        <w:spacing w:after="0" w:line="188" w:lineRule="exact"/>
        <w:rPr>
          <w:sz w:val="20"/>
          <w:szCs w:val="20"/>
          <w:color w:val="auto"/>
        </w:rPr>
      </w:pPr>
    </w:p>
    <w:p>
      <w:pPr>
        <w:ind w:left="1300" w:right="80"/>
        <w:spacing w:after="0" w:line="257" w:lineRule="auto"/>
        <w:rPr>
          <w:sz w:val="20"/>
          <w:szCs w:val="20"/>
          <w:color w:val="auto"/>
        </w:rPr>
      </w:pPr>
      <w:r>
        <w:rPr>
          <w:rFonts w:ascii="Arial" w:cs="Arial" w:eastAsia="Arial" w:hAnsi="Arial"/>
          <w:sz w:val="18"/>
          <w:szCs w:val="18"/>
          <w:color w:val="auto"/>
        </w:rPr>
        <w:t xml:space="preserve">If a party (a) is contacted by any other Regulatory Authority or governmental agency for any purpose pertaining specifically to this Agreement or to the Test or (b) becomes aware of an impending inspection or audit of the facilities or operations involved with the Test, such party shall immediately notify the other party in writing. Genzyme agrees that it shall not respond to any such agency making an inquiry of it until and only as directed by Veracyte;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be construed to prevent Genzyme in any way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complying with any governmental agency or Regulatory Authority or applicable laws, rules or regulations.</w:t>
      </w:r>
    </w:p>
    <w:p>
      <w:pPr>
        <w:spacing w:after="0" w:line="225" w:lineRule="exact"/>
        <w:rPr>
          <w:sz w:val="20"/>
          <w:szCs w:val="20"/>
          <w:color w:val="auto"/>
        </w:rPr>
      </w:pPr>
    </w:p>
    <w:p>
      <w:pPr>
        <w:ind w:left="1300" w:right="140" w:hanging="647"/>
        <w:spacing w:after="0" w:line="259" w:lineRule="auto"/>
        <w:tabs>
          <w:tab w:leader="none" w:pos="12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In the event that Veracyte considers initiating a voluntarily recall of the Test in any Country, such recall shall be at Veracyte’s expense, and Veracyte shall promptly inform Genzyme of such deliberations (including the contributing facts and circumstances leading up to such deliberations) and of its final determination, and keep Genzyme fully informed as to its plans and actions related to any such voluntary recall.</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Test Shortage and/or Supply Interruption</w:t>
      </w:r>
      <w:r>
        <w:rPr>
          <w:rFonts w:ascii="Arial" w:cs="Arial" w:eastAsia="Arial" w:hAnsi="Arial"/>
          <w:sz w:val="16"/>
          <w:szCs w:val="16"/>
          <w:color w:val="auto"/>
        </w:rPr>
        <w:t>.</w:t>
      </w:r>
    </w:p>
    <w:p>
      <w:pPr>
        <w:spacing w:after="0" w:line="225" w:lineRule="exact"/>
        <w:rPr>
          <w:sz w:val="20"/>
          <w:szCs w:val="20"/>
          <w:color w:val="auto"/>
        </w:rPr>
      </w:pPr>
    </w:p>
    <w:p>
      <w:pPr>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7"/>
          <w:szCs w:val="17"/>
          <w:color w:val="auto"/>
        </w:rPr>
        <w:t>If Veracyte is unable to meet the volume of requisitions for the Test in any Country, Veracyte shall allocate supply of the Test among all Countries where the Test is sold in a fair and equitable manner as reasonably determined by Veracyte. If any such allocation would lead to a material shortage of the Test in a particular Country, the implications thereof in terms of the promotional, marketing and detailing efforts of each party under this Agreement shall be discussed and decided by the Steering Committee as soon as practicable.</w:t>
      </w:r>
    </w:p>
    <w:p>
      <w:pPr>
        <w:spacing w:after="0" w:line="171" w:lineRule="exact"/>
        <w:rPr>
          <w:sz w:val="20"/>
          <w:szCs w:val="20"/>
          <w:color w:val="auto"/>
        </w:rPr>
      </w:pPr>
    </w:p>
    <w:p>
      <w:pPr>
        <w:ind w:left="1300" w:right="380" w:hanging="647"/>
        <w:spacing w:after="0" w:line="342" w:lineRule="auto"/>
        <w:tabs>
          <w:tab w:leader="none" w:pos="128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In case of a long term inability of Veracyte to provide the Test in any Country, each party is entitled, pending a decision by the Steering Committee in accordance with Section 4.5.1 above, to unilaterally decrease its promotional, marketing and detailing efforts under this</w:t>
      </w:r>
    </w:p>
    <w:p>
      <w:pPr>
        <w:sectPr>
          <w:pgSz w:w="11900" w:h="16975" w:orient="portrait"/>
          <w:cols w:equalWidth="0" w:num="1">
            <w:col w:w="11420"/>
          </w:cols>
          <w:pgMar w:left="240" w:top="125" w:right="239" w:bottom="0" w:gutter="0" w:footer="0" w:header="0"/>
        </w:sectPr>
      </w:pPr>
    </w:p>
    <w:bookmarkStart w:id="143" w:name="page144"/>
    <w:bookmarkEnd w:id="143"/>
    <w:p>
      <w:pPr>
        <w:ind w:left="1300" w:right="680"/>
        <w:spacing w:after="0" w:line="277" w:lineRule="auto"/>
        <w:rPr>
          <w:sz w:val="20"/>
          <w:szCs w:val="20"/>
          <w:color w:val="auto"/>
        </w:rPr>
      </w:pPr>
      <w:r>
        <w:rPr>
          <w:rFonts w:ascii="Arial" w:cs="Arial" w:eastAsia="Arial" w:hAnsi="Arial"/>
          <w:sz w:val="18"/>
          <w:szCs w:val="18"/>
          <w:color w:val="auto"/>
        </w:rPr>
        <w:t>Agreement in that particular Country in a way that is fair and proportionate to the shortage or interruption, given the nature and the anticipated duration of the shortage or interruption.</w:t>
      </w:r>
    </w:p>
    <w:p>
      <w:pPr>
        <w:spacing w:after="0" w:line="170" w:lineRule="exact"/>
        <w:rPr>
          <w:sz w:val="20"/>
          <w:szCs w:val="20"/>
          <w:color w:val="auto"/>
        </w:rPr>
      </w:pPr>
    </w:p>
    <w:p>
      <w:pPr>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Communications</w:t>
      </w:r>
      <w:r>
        <w:rPr>
          <w:rFonts w:ascii="Arial" w:cs="Arial" w:eastAsia="Arial" w:hAnsi="Arial"/>
          <w:sz w:val="16"/>
          <w:szCs w:val="16"/>
          <w:color w:val="auto"/>
        </w:rPr>
        <w:t>. Genzyme may from time to time develop and issue press releases pertaining to this Agreement and/or the Test. Such press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releases shall contain both parties’ names and logos and shall not be published in any manner or form without prior written approval by Veracyte, such approval not to be unreasonably withheld, conditioned or delayed, and in accordance with Section 12.7 hereof. Veracyte may from time to time develop and issue press releases pertaining to this Agreement. Such press releases shall contain both parties’ names and logos and shall not be published in any manner or form without prior written approval by Genzyme, such approval not to be unreasonably withheld, conditioned or delayed, and in accordance with Section 12.7 hereof. Notwithstanding the foregoing, Veracyte may from time to time issue press releases pertaining to the Test or any Improvements, including research studies, publications, announcements or other materials. Such Test related press releases may be done only with Veracyte’s name and logo and will not require the prior written approval by Genzyme. Veracyte will, however, provide Genzyme with a copy of such press release prior to its issuance and will consider any comments provided in a timely fashion by Genzyme.</w:t>
      </w:r>
    </w:p>
    <w:p>
      <w:pPr>
        <w:spacing w:after="0" w:line="167"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Periodic Reporting</w:t>
      </w:r>
      <w:r>
        <w:rPr>
          <w:rFonts w:ascii="Arial" w:cs="Arial" w:eastAsia="Arial" w:hAnsi="Arial"/>
          <w:sz w:val="18"/>
          <w:szCs w:val="18"/>
          <w:color w:val="auto"/>
        </w:rPr>
        <w:t>. Veracyte shall provide Genzyme with aggregate data regarding (without limitation) Test orders, Test status, Test volume and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 information reasonably requested by Genzyme on a monthly or calendar quarterly basis (depending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00"/>
        <w:spacing w:after="0" w:line="312" w:lineRule="auto"/>
        <w:rPr>
          <w:sz w:val="20"/>
          <w:szCs w:val="20"/>
          <w:color w:val="auto"/>
        </w:rPr>
      </w:pPr>
      <w:r>
        <w:rPr>
          <w:rFonts w:ascii="Arial" w:cs="Arial" w:eastAsia="Arial" w:hAnsi="Arial"/>
          <w:sz w:val="16"/>
          <w:szCs w:val="16"/>
          <w:color w:val="auto"/>
        </w:rPr>
        <w:t>on the type of information required) as mutually agreed upon by the parties. Any such data shall be treated as Confidential Information of Veracyte and shall be maintained by Genzyme in accordance with Section 7 hereof. Notwithstanding the foregoing or any other provision in this Agreement, in no case shall Veracyte be required to provide or disclose to Genzyme any information that would violate any applicable laws and regulations.</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Complaint Reporting; Result Errors and CAPAs; Pharmacovigilance</w:t>
      </w:r>
      <w:r>
        <w:rPr>
          <w:rFonts w:ascii="Arial" w:cs="Arial" w:eastAsia="Arial" w:hAnsi="Arial"/>
          <w:sz w:val="16"/>
          <w:szCs w:val="16"/>
          <w:color w:val="auto"/>
        </w:rPr>
        <w:t>.</w:t>
      </w:r>
    </w:p>
    <w:p>
      <w:pPr>
        <w:spacing w:after="0" w:line="225" w:lineRule="exact"/>
        <w:rPr>
          <w:sz w:val="20"/>
          <w:szCs w:val="20"/>
          <w:color w:val="auto"/>
        </w:rPr>
      </w:pPr>
    </w:p>
    <w:p>
      <w:pPr>
        <w:ind w:left="1300" w:right="300" w:hanging="647"/>
        <w:spacing w:after="0" w:line="259" w:lineRule="auto"/>
        <w:tabs>
          <w:tab w:leader="none" w:pos="128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8"/>
          <w:szCs w:val="18"/>
          <w:color w:val="auto"/>
        </w:rPr>
        <w:t>Veracyte shall be responsible for evaluating and reporting any Complaints to Regulatory Authorities or other entities in the Territories as required by applicable laws and regulations. In addition, Veracyte shall provide Genzyme with any and all Complaints and other related information obtained by Veracyte regarding the Test as well as all correspondence to and from Regulatory Authorities or other entities related thereto.</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6"/>
          <w:szCs w:val="16"/>
          <w:color w:val="auto"/>
        </w:rPr>
        <w:t>Veracyte shall provide Genzyme with (i) reports regarding all patient result errors, (ii) all Corrective Actions/Preventative Actions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CAPAs</w:t>
      </w:r>
      <w:r>
        <w:rPr>
          <w:rFonts w:ascii="Arial" w:cs="Arial" w:eastAsia="Arial" w:hAnsi="Arial"/>
          <w:sz w:val="16"/>
          <w:szCs w:val="16"/>
          <w:color w:val="auto"/>
        </w:rPr>
        <w:t>”) that relate to matters that would reasonably be deemed material to the normal commercialization of the Test and (iii) copies of</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all similar reports submitted to Regulatory Authorities or other entities as well as all correspondence to and from Regulatory Authorities or</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other entities related thereto. Notwithstanding the foregoing or anything to the contrary, Veracyte will not be required to provide Genzyme</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any information or data that would violate any applicable rule or regulation including HIPAA or any other rule regarding the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confidentiality or non-disclosure of patient information or data.</w:t>
      </w:r>
    </w:p>
    <w:p>
      <w:pPr>
        <w:spacing w:after="0" w:line="211" w:lineRule="exact"/>
        <w:rPr>
          <w:sz w:val="20"/>
          <w:szCs w:val="20"/>
          <w:color w:val="auto"/>
        </w:rPr>
      </w:pPr>
    </w:p>
    <w:p>
      <w:pPr>
        <w:ind w:left="1300" w:right="100" w:hanging="647"/>
        <w:spacing w:after="0" w:line="264" w:lineRule="auto"/>
        <w:tabs>
          <w:tab w:leader="none" w:pos="1280"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8"/>
          <w:szCs w:val="18"/>
          <w:color w:val="auto"/>
        </w:rPr>
        <w:t xml:space="preserve">Veracyte shall report Safety Information (as defined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pertaining to the Subject Products in accordance with the procedures described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procedures described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do not restrict Genzyme’s ability to take such action as it deems appropriate or required under applicable law or regulations.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7"/>
          <w:szCs w:val="17"/>
          <w:u w:val="single" w:color="auto"/>
          <w:color w:val="auto"/>
        </w:rPr>
        <w:t>Marketing Authorization</w:t>
      </w:r>
      <w:r>
        <w:rPr>
          <w:rFonts w:ascii="Arial" w:cs="Arial" w:eastAsia="Arial" w:hAnsi="Arial"/>
          <w:sz w:val="17"/>
          <w:szCs w:val="17"/>
          <w:color w:val="auto"/>
        </w:rPr>
        <w:t>.</w:t>
      </w:r>
    </w:p>
    <w:p>
      <w:pPr>
        <w:spacing w:after="0" w:line="225" w:lineRule="exact"/>
        <w:rPr>
          <w:sz w:val="20"/>
          <w:szCs w:val="20"/>
          <w:color w:val="auto"/>
        </w:rPr>
      </w:pPr>
    </w:p>
    <w:p>
      <w:pPr>
        <w:ind w:left="1960" w:right="60" w:hanging="655"/>
        <w:spacing w:after="0" w:line="276" w:lineRule="auto"/>
        <w:tabs>
          <w:tab w:leader="none" w:pos="195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Comprehensive Services</w:t>
      </w:r>
      <w:r>
        <w:rPr>
          <w:rFonts w:ascii="Arial" w:cs="Arial" w:eastAsia="Arial" w:hAnsi="Arial"/>
          <w:sz w:val="17"/>
          <w:szCs w:val="17"/>
          <w:color w:val="auto"/>
        </w:rPr>
        <w:t>. Genzyme shall be responsible and have sole authority for seeking, obtaining and maintaining Marketing Authorization for the Test in each Country in the Comprehensive Services Territory in accordance with the then current Annual Commercial Plan. Such activities shall be at Genzyme’s sole cost and expense. Veracyte shall provide such assistance as may be reasonably required for the purpose of seeking, obtaining and maintaining Marketing Authorization for the Test in any Country in the Comprehensive Services Territory, subject to the availability of such resources.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40" w:hanging="655"/>
        <w:spacing w:after="0" w:line="293" w:lineRule="auto"/>
        <w:tabs>
          <w:tab w:leader="none" w:pos="196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Dedicated Promotion Only</w:t>
      </w:r>
      <w:r>
        <w:rPr>
          <w:rFonts w:ascii="Arial" w:cs="Arial" w:eastAsia="Arial" w:hAnsi="Arial"/>
          <w:sz w:val="16"/>
          <w:szCs w:val="16"/>
          <w:color w:val="auto"/>
        </w:rPr>
        <w:t>. Unless otherwise specified in Exhibit A (Country Specific Terms), Veracyte shall be responsible and have sole authority for seeking, obtaining and maintaining Marketing Authorization for the Test in each Country in the Dedicated Promotion Only Territory in accordance with the then current Annual Commercial Plan. Unless otherwise specified in Exhibit A (Country Specific Terms), such activities shall be at Veracyte’s sole cost and expense. Genzyme shall provide such assistance as may be reasonably required for the purpose of seeking, obtaining and maintaining Marketing Authorization for the Test in any Country in the Dedicated Promotion Only Territory, subject to the availability of such resources and at Veracyte’s expense.</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u w:val="single" w:color="auto"/>
          <w:color w:val="auto"/>
        </w:rPr>
        <w:t>Reimbursement</w:t>
      </w:r>
      <w:r>
        <w:rPr>
          <w:rFonts w:ascii="Arial" w:cs="Arial" w:eastAsia="Arial" w:hAnsi="Arial"/>
          <w:sz w:val="16"/>
          <w:szCs w:val="16"/>
          <w:color w:val="auto"/>
        </w:rPr>
        <w:t>.</w:t>
      </w:r>
    </w:p>
    <w:p>
      <w:pPr>
        <w:spacing w:after="0" w:line="225" w:lineRule="exact"/>
        <w:rPr>
          <w:sz w:val="20"/>
          <w:szCs w:val="20"/>
          <w:color w:val="auto"/>
        </w:rPr>
      </w:pPr>
    </w:p>
    <w:p>
      <w:pPr>
        <w:ind w:left="1960" w:right="300" w:hanging="655"/>
        <w:spacing w:after="0" w:line="297" w:lineRule="auto"/>
        <w:tabs>
          <w:tab w:leader="none" w:pos="195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Comprehensive Services</w:t>
      </w:r>
      <w:r>
        <w:rPr>
          <w:rFonts w:ascii="Arial" w:cs="Arial" w:eastAsia="Arial" w:hAnsi="Arial"/>
          <w:sz w:val="16"/>
          <w:szCs w:val="16"/>
          <w:color w:val="auto"/>
        </w:rPr>
        <w:t>. Genzyme shall be responsible and have sole authority for seeking, obtaining and maintaining pricing approval and reimbursement for the Test in each Country in the Comprehensive Services Territory in accordance with the then current Annual Commercial Plan. Such activities shall be at Genzyme’s sole cost and expense. Veracyte shall provide such assistance as may be reasonably required for the purpose of seeking, obtaining and maintaining pricing approval and reimbursement in any Country in the Comprehensive Services Territory, subject to the availability of such resources.</w:t>
      </w:r>
    </w:p>
    <w:p>
      <w:pPr>
        <w:spacing w:after="0" w:line="158" w:lineRule="exact"/>
        <w:rPr>
          <w:rFonts w:ascii="Arial" w:cs="Arial" w:eastAsia="Arial" w:hAnsi="Arial"/>
          <w:sz w:val="16"/>
          <w:szCs w:val="16"/>
          <w:color w:val="auto"/>
        </w:rPr>
      </w:pPr>
    </w:p>
    <w:p>
      <w:pPr>
        <w:ind w:left="1960" w:right="180" w:hanging="655"/>
        <w:spacing w:after="0" w:line="302" w:lineRule="auto"/>
        <w:tabs>
          <w:tab w:leader="none" w:pos="196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Dedicated Promotion Only</w:t>
      </w:r>
      <w:r>
        <w:rPr>
          <w:rFonts w:ascii="Arial" w:cs="Arial" w:eastAsia="Arial" w:hAnsi="Arial"/>
          <w:sz w:val="16"/>
          <w:szCs w:val="16"/>
          <w:color w:val="auto"/>
        </w:rPr>
        <w:t>. Veracyte shall be responsible and have sole authority for seeking, obtaining and maintaining pricing approval and reimbursement for the Test in each Country in the Dedicated Promotion Only Territory in accordance with the then current Annual Commercial Plan. Such activities shall be at Veracyte’s sole cost and expense. Genzyme shall provide such assistance as may be reasonably required for the purpose of seeking, obtaining and maintaining pricing approval and</w:t>
      </w:r>
    </w:p>
    <w:p>
      <w:pPr>
        <w:sectPr>
          <w:pgSz w:w="11900" w:h="16838" w:orient="portrait"/>
          <w:cols w:equalWidth="0" w:num="1">
            <w:col w:w="11420"/>
          </w:cols>
          <w:pgMar w:left="240" w:top="125" w:right="239" w:bottom="0" w:gutter="0" w:footer="0" w:header="0"/>
        </w:sectPr>
      </w:pPr>
    </w:p>
    <w:bookmarkStart w:id="144" w:name="page145"/>
    <w:bookmarkEnd w:id="144"/>
    <w:p>
      <w:pPr>
        <w:ind w:left="1960" w:right="480"/>
        <w:spacing w:after="0" w:line="277" w:lineRule="auto"/>
        <w:rPr>
          <w:sz w:val="20"/>
          <w:szCs w:val="20"/>
          <w:color w:val="auto"/>
        </w:rPr>
      </w:pPr>
      <w:r>
        <w:rPr>
          <w:rFonts w:ascii="Arial" w:cs="Arial" w:eastAsia="Arial" w:hAnsi="Arial"/>
          <w:sz w:val="18"/>
          <w:szCs w:val="18"/>
          <w:color w:val="auto"/>
        </w:rPr>
        <w:t>reimbursement in any Country in the Dedicated Promotion Only Territory, subject to the availability of such resources and at Veracyte’s expense.</w:t>
      </w:r>
    </w:p>
    <w:p>
      <w:pPr>
        <w:spacing w:after="0" w:line="170" w:lineRule="exact"/>
        <w:rPr>
          <w:sz w:val="20"/>
          <w:szCs w:val="20"/>
          <w:color w:val="auto"/>
        </w:rPr>
      </w:pPr>
    </w:p>
    <w:p>
      <w:pPr>
        <w:ind w:left="1300" w:right="400" w:hanging="647"/>
        <w:spacing w:after="0" w:line="302" w:lineRule="auto"/>
        <w:tabs>
          <w:tab w:leader="none" w:pos="128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u w:val="single" w:color="auto"/>
          <w:color w:val="auto"/>
        </w:rPr>
        <w:t>Clinical Studies</w:t>
      </w:r>
      <w:r>
        <w:rPr>
          <w:rFonts w:ascii="Arial" w:cs="Arial" w:eastAsia="Arial" w:hAnsi="Arial"/>
          <w:sz w:val="16"/>
          <w:szCs w:val="16"/>
          <w:color w:val="auto"/>
        </w:rPr>
        <w:t>. For clinical trials as reasonably determined by the Steering Committee, Veracyte shall plan and execute, at its sole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expense, all clinical trials of the Test necessary to obtain or maintain the Marketing Authorization of the Test in any Country that is a Dedicated Promotion Only Territory, and Genzyme shall plan and execute, at its sole expense, all clinical trials of the Test necessary to obtain or maintain the Marketing Authorization of the Test in any Country that is a </w:t>
      </w:r>
      <w:r>
        <w:rPr>
          <w:rFonts w:ascii="Arial" w:cs="Arial" w:eastAsia="Arial" w:hAnsi="Arial"/>
          <w:sz w:val="16"/>
          <w:szCs w:val="16"/>
          <w:u w:val="single" w:color="auto"/>
          <w:color w:val="auto"/>
        </w:rPr>
        <w:t>Comprehensive Services Territory</w:t>
      </w:r>
    </w:p>
    <w:p>
      <w:pPr>
        <w:spacing w:after="0" w:line="154" w:lineRule="exact"/>
        <w:rPr>
          <w:sz w:val="20"/>
          <w:szCs w:val="20"/>
          <w:color w:val="auto"/>
        </w:rPr>
      </w:pPr>
    </w:p>
    <w:p>
      <w:pPr>
        <w:ind w:left="640" w:right="160" w:hanging="647"/>
        <w:spacing w:after="0" w:line="312" w:lineRule="auto"/>
        <w:tabs>
          <w:tab w:leader="none" w:pos="6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Performance by Veracyte Affiliates and Subcontractors</w:t>
      </w:r>
      <w:r>
        <w:rPr>
          <w:rFonts w:ascii="Arial" w:cs="Arial" w:eastAsia="Arial" w:hAnsi="Arial"/>
          <w:sz w:val="16"/>
          <w:szCs w:val="16"/>
          <w:color w:val="auto"/>
        </w:rPr>
        <w:t>. Notwithstanding anything to the contrary contained in this Agreement, any Veracyte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obligation hereunder may be assumed and performed by one or more of its Affiliates, and Veracyte may, at its election, delegate to any one or more of its Affiliates any duty or responsibility set forth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Veracyte shall remain responsible for any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00"/>
        <w:spacing w:after="0" w:line="259" w:lineRule="auto"/>
        <w:rPr>
          <w:sz w:val="20"/>
          <w:szCs w:val="20"/>
          <w:color w:val="auto"/>
        </w:rPr>
      </w:pPr>
      <w:r>
        <w:rPr>
          <w:rFonts w:ascii="Arial" w:cs="Arial" w:eastAsia="Arial" w:hAnsi="Arial"/>
          <w:sz w:val="18"/>
          <w:szCs w:val="18"/>
          <w:color w:val="auto"/>
        </w:rPr>
        <w:t>all acts and omissions by such Affiliate(s) to the same extent as if such were performed, taken or made by Veracyte. Furthermore, it is anticipated that Veracyte may perform certain of its obligations hereunder through third party laboratories and other subcontractors. In such event, as between the parties, Veracyte shall remain responsible for any and all acts and omissions by such third parties to the same extent as if such were performed, taken or made by Veracyte.</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u w:val="single" w:color="auto"/>
          <w:color w:val="auto"/>
        </w:rPr>
        <w:t>Billing and Collections</w:t>
      </w:r>
      <w:r>
        <w:rPr>
          <w:rFonts w:ascii="Arial" w:cs="Arial" w:eastAsia="Arial" w:hAnsi="Arial"/>
          <w:sz w:val="17"/>
          <w:szCs w:val="17"/>
          <w:color w:val="auto"/>
        </w:rPr>
        <w:t>.</w:t>
      </w:r>
    </w:p>
    <w:p>
      <w:pPr>
        <w:spacing w:after="0" w:line="225" w:lineRule="exact"/>
        <w:rPr>
          <w:sz w:val="20"/>
          <w:szCs w:val="20"/>
          <w:color w:val="auto"/>
        </w:rPr>
      </w:pPr>
    </w:p>
    <w:p>
      <w:pPr>
        <w:ind w:left="1280" w:hanging="647"/>
        <w:spacing w:after="0" w:line="254" w:lineRule="auto"/>
        <w:tabs>
          <w:tab w:leader="none" w:pos="1260" w:val="left"/>
        </w:tabs>
        <w:rPr>
          <w:sz w:val="20"/>
          <w:szCs w:val="20"/>
          <w:color w:val="auto"/>
        </w:rPr>
      </w:pPr>
      <w:r>
        <w:rPr>
          <w:rFonts w:ascii="Arial" w:cs="Arial" w:eastAsia="Arial" w:hAnsi="Arial"/>
          <w:sz w:val="18"/>
          <w:szCs w:val="18"/>
          <w:color w:val="auto"/>
        </w:rPr>
        <w:t>4.11.1</w:t>
      </w:r>
      <w:r>
        <w:rPr>
          <w:sz w:val="20"/>
          <w:szCs w:val="20"/>
          <w:color w:val="auto"/>
        </w:rPr>
        <w:tab/>
      </w:r>
      <w:r>
        <w:rPr>
          <w:rFonts w:ascii="Arial" w:cs="Arial" w:eastAsia="Arial" w:hAnsi="Arial"/>
          <w:sz w:val="18"/>
          <w:szCs w:val="18"/>
          <w:u w:val="single" w:color="auto"/>
          <w:color w:val="auto"/>
        </w:rPr>
        <w:t>Comprehensive Services</w:t>
      </w:r>
      <w:r>
        <w:rPr>
          <w:rFonts w:ascii="Arial" w:cs="Arial" w:eastAsia="Arial" w:hAnsi="Arial"/>
          <w:sz w:val="18"/>
          <w:szCs w:val="18"/>
          <w:color w:val="auto"/>
        </w:rPr>
        <w:t>. Expect as otherwise provided in Exhibit A, unless otherwise required by applicable laws and regulations,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Genzyme and its Affiliates shall book all sales of the Test in the Comprehensive Services Territory and shall be responsible for the billing, invoicing, claims submissions, and collection of receivables and amounts due resulting from the sales of the Test in the Comprehensive Services Territory (collectively, “</w:t>
      </w:r>
      <w:r>
        <w:rPr>
          <w:rFonts w:ascii="Arial" w:cs="Arial" w:eastAsia="Arial" w:hAnsi="Arial"/>
          <w:sz w:val="18"/>
          <w:szCs w:val="18"/>
          <w:u w:val="single" w:color="auto"/>
          <w:color w:val="auto"/>
        </w:rPr>
        <w:t>CS Collection Activities</w:t>
      </w:r>
      <w:r>
        <w:rPr>
          <w:rFonts w:ascii="Arial" w:cs="Arial" w:eastAsia="Arial" w:hAnsi="Arial"/>
          <w:sz w:val="18"/>
          <w:szCs w:val="18"/>
          <w:color w:val="auto"/>
        </w:rPr>
        <w:t>”), and such activities shall be at Genzyme’s cost and expense. Genzyme and its Affiliates shall use Commercially Reasonable Efforts in performing the CS Collection Activities. Veracyte shall provide reasonable support and assistance to Genzyme as requested by Genzyme (including if Genzyme and its Affiliates are prohibited from performing CS Collection Activities in a particular Country under applicable laws and regulations) at Genzyme’s cost and expense, subject to the availability of such resources.</w:t>
      </w:r>
    </w:p>
    <w:p>
      <w:pPr>
        <w:spacing w:after="0" w:line="192" w:lineRule="exact"/>
        <w:rPr>
          <w:sz w:val="20"/>
          <w:szCs w:val="20"/>
          <w:color w:val="auto"/>
        </w:rPr>
      </w:pPr>
    </w:p>
    <w:p>
      <w:pPr>
        <w:ind w:left="1280" w:right="80" w:hanging="647"/>
        <w:spacing w:after="0" w:line="291" w:lineRule="auto"/>
        <w:tabs>
          <w:tab w:leader="none" w:pos="1260" w:val="left"/>
        </w:tabs>
        <w:rPr>
          <w:sz w:val="20"/>
          <w:szCs w:val="20"/>
          <w:color w:val="auto"/>
        </w:rPr>
      </w:pPr>
      <w:r>
        <w:rPr>
          <w:rFonts w:ascii="Arial" w:cs="Arial" w:eastAsia="Arial" w:hAnsi="Arial"/>
          <w:sz w:val="18"/>
          <w:szCs w:val="18"/>
          <w:color w:val="auto"/>
        </w:rPr>
        <w:t>4.11.2</w:t>
      </w:r>
      <w:r>
        <w:rPr>
          <w:sz w:val="20"/>
          <w:szCs w:val="20"/>
          <w:color w:val="auto"/>
        </w:rPr>
        <w:tab/>
      </w:r>
      <w:r>
        <w:rPr>
          <w:rFonts w:ascii="Arial" w:cs="Arial" w:eastAsia="Arial" w:hAnsi="Arial"/>
          <w:sz w:val="16"/>
          <w:szCs w:val="16"/>
          <w:u w:val="single" w:color="auto"/>
          <w:color w:val="auto"/>
        </w:rPr>
        <w:t>Dedicated Promotion Only</w:t>
      </w:r>
      <w:r>
        <w:rPr>
          <w:rFonts w:ascii="Arial" w:cs="Arial" w:eastAsia="Arial" w:hAnsi="Arial"/>
          <w:sz w:val="16"/>
          <w:szCs w:val="16"/>
          <w:color w:val="auto"/>
        </w:rPr>
        <w:t>. Unless otherwise required by applicable laws and regulations, Veracyte and its Affiliates shall book all sales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Test in the Dedicated Promotion Only Territory and shall be responsible for the billing, invoicing, claims submissions, and collection of receivables and amounts due resulting from the sales of the Test in the Dedicated Promotion Only Territory (collectively, “</w:t>
      </w:r>
      <w:r>
        <w:rPr>
          <w:rFonts w:ascii="Arial" w:cs="Arial" w:eastAsia="Arial" w:hAnsi="Arial"/>
          <w:sz w:val="16"/>
          <w:szCs w:val="16"/>
          <w:u w:val="single" w:color="auto"/>
          <w:color w:val="auto"/>
        </w:rPr>
        <w:t>DPO Collection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Activities</w:t>
      </w:r>
      <w:r>
        <w:rPr>
          <w:rFonts w:ascii="Arial" w:cs="Arial" w:eastAsia="Arial" w:hAnsi="Arial"/>
          <w:sz w:val="16"/>
          <w:szCs w:val="16"/>
          <w:color w:val="auto"/>
        </w:rPr>
        <w:t>”), and such activities shall be at Veracyte’s cost and expense. Veracyte and its Affiliates shall use Commercially Reasonable Efforts in performing the DPO Collection Activities. Genzyme shall provide reasonable support and assistance to Veracyte as requested by Veracyte (including if Veracyte and its Affiliates are prohibited from performing DPO Collection Activities in a particular Country under applicable laws and regulations) at Veracyte’s cost and expense, subject to the availability of such resources.</w:t>
      </w:r>
    </w:p>
    <w:p>
      <w:pPr>
        <w:spacing w:after="0" w:line="167" w:lineRule="exact"/>
        <w:rPr>
          <w:sz w:val="20"/>
          <w:szCs w:val="20"/>
          <w:color w:val="auto"/>
        </w:rPr>
      </w:pPr>
    </w:p>
    <w:p>
      <w:pPr>
        <w:jc w:val="both"/>
        <w:ind w:left="640" w:right="680" w:hanging="647"/>
        <w:spacing w:after="0" w:line="264" w:lineRule="auto"/>
        <w:tabs>
          <w:tab w:leader="none" w:pos="6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Veracyte Right to Co-Promote</w:t>
      </w:r>
      <w:r>
        <w:rPr>
          <w:rFonts w:ascii="Arial" w:cs="Arial" w:eastAsia="Arial" w:hAnsi="Arial"/>
          <w:sz w:val="18"/>
          <w:szCs w:val="18"/>
          <w:color w:val="auto"/>
        </w:rPr>
        <w:t>. Veracyte shall have the right, but not the obligation, to market, promote, and detail the Test in the Dedicated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Promotion Only Territory with Genzyme. If Veracyte chooses to exercise this right, Veracyte shall deliver written notice of such election to Genzyme.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hanging="647"/>
        <w:spacing w:after="0" w:line="259" w:lineRule="auto"/>
        <w:tabs>
          <w:tab w:leader="none" w:pos="6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u w:val="single" w:color="auto"/>
          <w:color w:val="auto"/>
        </w:rPr>
        <w:t>Test Collection Kit Supply and Distribution</w:t>
      </w:r>
      <w:r>
        <w:rPr>
          <w:rFonts w:ascii="Arial" w:cs="Arial" w:eastAsia="Arial" w:hAnsi="Arial"/>
          <w:sz w:val="18"/>
          <w:szCs w:val="18"/>
          <w:color w:val="auto"/>
        </w:rPr>
        <w:t>. Veracyte shall be responsible for managing Collection Kit supply, inventory, tracking and distribution,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responsible for the costs associated with the supply and distribution of Collection Kits and shall use its Commercially Reasonable Efforts in such activities. Genzyme will assist Veracyte to achieve economies of scale within a given Country (e.g., use of Genzyme or Sanofi’s distribution facilities) at Veracyte’s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MANAGEMENT AND GOVERNANCE</w:t>
      </w:r>
    </w:p>
    <w:p>
      <w:pPr>
        <w:spacing w:after="0" w:line="229" w:lineRule="exact"/>
        <w:rPr>
          <w:sz w:val="20"/>
          <w:szCs w:val="20"/>
          <w:color w:val="auto"/>
        </w:rPr>
      </w:pPr>
    </w:p>
    <w:p>
      <w:pPr>
        <w:ind w:left="660" w:right="20" w:hanging="647"/>
        <w:spacing w:after="0" w:line="26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Steering Committee</w:t>
      </w:r>
      <w:r>
        <w:rPr>
          <w:rFonts w:ascii="Arial" w:cs="Arial" w:eastAsia="Arial" w:hAnsi="Arial"/>
          <w:sz w:val="17"/>
          <w:szCs w:val="17"/>
          <w:color w:val="auto"/>
        </w:rPr>
        <w:t>. The sales and marketing program for the Test in the Territories will be managed by a steering committee having equal</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representation of the parties (the “</w:t>
      </w:r>
      <w:r>
        <w:rPr>
          <w:rFonts w:ascii="Arial" w:cs="Arial" w:eastAsia="Arial" w:hAnsi="Arial"/>
          <w:sz w:val="17"/>
          <w:szCs w:val="17"/>
          <w:u w:val="single" w:color="auto"/>
          <w:color w:val="auto"/>
        </w:rPr>
        <w:t>Steering Committee</w:t>
      </w:r>
      <w:r>
        <w:rPr>
          <w:rFonts w:ascii="Arial" w:cs="Arial" w:eastAsia="Arial" w:hAnsi="Arial"/>
          <w:sz w:val="17"/>
          <w:szCs w:val="17"/>
          <w:color w:val="auto"/>
        </w:rPr>
        <w:t>”), which Steering Committee may be the same as the “Steering Committee” (as defined in the U.S. Co-Promotion Agreement) managing the U.S. Co-Promotion Agreement. The Steering Committee will include three (3) members from each party and will meet in-person at least quarterly with at least one (1) meeting per year being conducted in person while more frequent meetings or teleconferences will be held anytime they are needed and requested by the Steering Committee’s members of either party. If an in-person meeting is impracticable, meetings may be held by videoconference or teleconference. When meetings are held in person, individual members of the Steering Committee may nonetheless participate by videoconference or teleconference. If unable to attend in person or by videoconference or teleconference, an individual member of the Steering Committee may grant a proxy to another individual member of the Steering Committee in order to act on his or her behalf on any matter to be acted upon at any meeting of the Steering Committee. Other representatives of the parties may attend Steering Committee meetings as non-voting participants. At least one week prior to any meeting of the Steering Committee, the parties shall agree upon a proposed agenda of the matters to be discussed at such meeting. The parties shall agree, at the first meeting of the Steering Committee, upon procedures for maintaining meeting minutes. The Steering Committee may take action on a matter at a meeting only if a quorum exists with respect to that matter. The attendance of at least two (2) members of the Steering Committee of each party at a meeting shall constitute a quorum for the transaction of business. Each member of the Steering Committee shall be entitled to cast one (1) vote, either in person or by proxy, on any matter to be acted upon at any meeting of the Steering Committee. All decisions made by the Steering Committee shall require a majority vote by the members of the Steering Committee, either in person or by proxy. Any action required or permitted to be taken at any meeting of the Steering Committee may be taken without a meeting if the action is taken by all members of the Steering Committee. Such action must be evidenced by one or more written consents describing the action taken and signed by each member of the Steering Committee. In the event the Steering Committee is unable to achieve a majority vote on any issue, then the dispute resolution process set forth in Section 5.3 hereof will be followed with respect to such issue.</w:t>
      </w:r>
    </w:p>
    <w:p>
      <w:pPr>
        <w:sectPr>
          <w:pgSz w:w="11900" w:h="16838" w:orient="portrait"/>
          <w:cols w:equalWidth="0" w:num="1">
            <w:col w:w="11420"/>
          </w:cols>
          <w:pgMar w:left="240" w:top="125" w:right="239" w:bottom="0" w:gutter="0" w:footer="0" w:header="0"/>
        </w:sectPr>
      </w:pPr>
    </w:p>
    <w:bookmarkStart w:id="145" w:name="page146"/>
    <w:bookmarkEnd w:id="145"/>
    <w:p>
      <w:pPr>
        <w:spacing w:after="0" w:line="8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Responsibilities</w:t>
      </w:r>
      <w:r>
        <w:rPr>
          <w:rFonts w:ascii="Arial" w:cs="Arial" w:eastAsia="Arial" w:hAnsi="Arial"/>
          <w:sz w:val="18"/>
          <w:szCs w:val="18"/>
          <w:color w:val="auto"/>
        </w:rPr>
        <w:t>. The responsibilities of the Steering Committee (which may be delegated to sub-groups by approval of the Steering Committee)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include, without limitation: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hanging="647"/>
        <w:spacing w:after="0" w:line="277" w:lineRule="auto"/>
        <w:tabs>
          <w:tab w:leader="none" w:pos="12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 xml:space="preserve">approving the Annual Commercial Plan (including the budget therein); </w:t>
      </w:r>
      <w:r>
        <w:rPr>
          <w:rFonts w:ascii="Arial" w:cs="Arial" w:eastAsia="Arial" w:hAnsi="Arial"/>
          <w:sz w:val="18"/>
          <w:szCs w:val="18"/>
          <w:i w:val="1"/>
          <w:iCs w:val="1"/>
          <w:color w:val="auto"/>
        </w:rPr>
        <w:t>provided, however</w:t>
      </w:r>
      <w:r>
        <w:rPr>
          <w:rFonts w:ascii="Arial" w:cs="Arial" w:eastAsia="Arial" w:hAnsi="Arial"/>
          <w:sz w:val="18"/>
          <w:szCs w:val="18"/>
          <w:color w:val="auto"/>
        </w:rPr>
        <w:t>, the Annual Commercial Plan approved by the Steering Committee must conform with the requirements of Section 3.2;</w:t>
      </w:r>
    </w:p>
    <w:p>
      <w:pPr>
        <w:spacing w:after="0" w:line="170" w:lineRule="exact"/>
        <w:rPr>
          <w:sz w:val="20"/>
          <w:szCs w:val="20"/>
          <w:color w:val="auto"/>
        </w:rPr>
      </w:pPr>
    </w:p>
    <w:p>
      <w:pPr>
        <w:ind w:left="1300" w:right="20" w:hanging="647"/>
        <w:spacing w:after="0" w:line="297" w:lineRule="auto"/>
        <w:tabs>
          <w:tab w:leader="none" w:pos="12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 xml:space="preserve">determining the types and forms of Ad/Prom Materials to be created (e.g., printed materials, television media, digital media such as website content or e-marketing) and reviewing and approving all Ad/Prom Materials for the Test and sales force training materials before first use in the Territories;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Steering Committee may delegate review and approval of the Ad/Prom Materials to Genzyme’s and Veracyte’s respective marketing review committees, and if the marketing review committees of both parties separately approve the Ad/Prom Materials, the Steering Committee shall be deemed to have approved such Ad/Prom Materials;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approving Test launch order and timing for Countries in the Territories;</w:t>
      </w:r>
    </w:p>
    <w:p>
      <w:pPr>
        <w:spacing w:after="0" w:line="225" w:lineRule="exact"/>
        <w:rPr>
          <w:sz w:val="20"/>
          <w:szCs w:val="20"/>
          <w:color w:val="auto"/>
        </w:rPr>
      </w:pPr>
    </w:p>
    <w:p>
      <w:pPr>
        <w:ind w:left="1300" w:right="460" w:hanging="647"/>
        <w:spacing w:after="0" w:line="277" w:lineRule="auto"/>
        <w:tabs>
          <w:tab w:leader="none" w:pos="12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8"/>
          <w:szCs w:val="18"/>
          <w:color w:val="auto"/>
        </w:rPr>
        <w:t>planning, monitoring and evaluating the overall sales and marketing program for the Test in each Country and ensuring the program is compliant with best practices in each Country and all applicable laws and regulations;</w:t>
      </w:r>
    </w:p>
    <w:p>
      <w:pPr>
        <w:spacing w:after="0" w:line="170" w:lineRule="exact"/>
        <w:rPr>
          <w:sz w:val="20"/>
          <w:szCs w:val="20"/>
          <w:color w:val="auto"/>
        </w:rPr>
      </w:pPr>
    </w:p>
    <w:p>
      <w:pPr>
        <w:ind w:left="1300" w:right="80" w:hanging="647"/>
        <w:spacing w:after="0" w:line="277" w:lineRule="auto"/>
        <w:tabs>
          <w:tab w:leader="none" w:pos="128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8"/>
          <w:szCs w:val="18"/>
          <w:color w:val="auto"/>
        </w:rPr>
        <w:t>implementing the marketing and promotion strategy for the Test in each Country in order to market, promote and detail the Test in the most effective and efficient fashion; and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6"/>
          <w:szCs w:val="16"/>
          <w:color w:val="auto"/>
        </w:rPr>
        <w:t>any other activities specifically provided for in this Agreement.</w:t>
      </w:r>
    </w:p>
    <w:p>
      <w:pPr>
        <w:spacing w:after="0" w:line="225" w:lineRule="exact"/>
        <w:rPr>
          <w:sz w:val="20"/>
          <w:szCs w:val="20"/>
          <w:color w:val="auto"/>
        </w:rPr>
      </w:pPr>
    </w:p>
    <w:p>
      <w:pPr>
        <w:ind w:left="660" w:right="240"/>
        <w:spacing w:after="0" w:line="342" w:lineRule="auto"/>
        <w:rPr>
          <w:sz w:val="20"/>
          <w:szCs w:val="20"/>
          <w:color w:val="auto"/>
        </w:rPr>
      </w:pPr>
      <w:r>
        <w:rPr>
          <w:rFonts w:ascii="Arial" w:cs="Arial" w:eastAsia="Arial" w:hAnsi="Arial"/>
          <w:sz w:val="16"/>
          <w:szCs w:val="16"/>
          <w:color w:val="auto"/>
        </w:rPr>
        <w:t>The members of the Steering Committee from each party shall have the right to comment upon and make recommendations to the members of the other party regarding the other party’s activities under this Agreement, which recommendations the other party shall be reasonably considered.</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Steering Committee Dispute Resolution</w:t>
      </w:r>
      <w:r>
        <w:rPr>
          <w:rFonts w:ascii="Arial" w:cs="Arial" w:eastAsia="Arial" w:hAnsi="Arial"/>
          <w:sz w:val="16"/>
          <w:szCs w:val="16"/>
          <w:color w:val="auto"/>
        </w:rPr>
        <w:t>.</w:t>
      </w:r>
    </w:p>
    <w:p>
      <w:pPr>
        <w:spacing w:after="0" w:line="225" w:lineRule="exact"/>
        <w:rPr>
          <w:sz w:val="20"/>
          <w:szCs w:val="20"/>
          <w:color w:val="auto"/>
        </w:rPr>
      </w:pPr>
    </w:p>
    <w:p>
      <w:pPr>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Should the Steering Committee be unable to reach a unanimous decision on any matter after ten (10) business days following the date on which the relevant meeting or teleconference has been held, the decision will be escalated to senior management representatives of the parties, who will have an additional ten (10) business days to reach a mutually agreeable decision. If the senior management representatives are unable to resolve such a dispute or issue within such ten (10) day period after being requested to resolve such dispute or issue, the dispute or issue shall be referred to the Chief Executive Officers of Veracyte and Genzyme, or their designees, for attempted good faith resolution by negotiation within thirty (30) calendar days after such referral. If the Chief Executive Officers of the parties, or their designees, are unable to resolve such dispute or issue, then the matter may be referred to mediation as set forth in Section 5.3.2 hereof.</w:t>
      </w:r>
    </w:p>
    <w:p>
      <w:pPr>
        <w:spacing w:after="0" w:line="167" w:lineRule="exact"/>
        <w:rPr>
          <w:sz w:val="20"/>
          <w:szCs w:val="20"/>
          <w:color w:val="auto"/>
        </w:rPr>
      </w:pPr>
    </w:p>
    <w:p>
      <w:pPr>
        <w:ind w:left="1300" w:right="520" w:hanging="647"/>
        <w:spacing w:after="0" w:line="277"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If a dispute cannot be resolved pursuant to Section 5.3.1 hereof, the parties shall in good faith attempt to resolve such dispute by non-binding mediation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100"/>
        <w:spacing w:after="0" w:line="271" w:lineRule="auto"/>
        <w:rPr>
          <w:sz w:val="20"/>
          <w:szCs w:val="20"/>
          <w:color w:val="auto"/>
        </w:rPr>
      </w:pPr>
      <w:r>
        <w:rPr>
          <w:rFonts w:ascii="Arial" w:cs="Arial" w:eastAsia="Arial" w:hAnsi="Arial"/>
          <w:sz w:val="17"/>
          <w:szCs w:val="17"/>
          <w:color w:val="auto"/>
        </w:rPr>
        <w:t xml:space="preserve">administered by JAMS End Dispute in accordance with its commercial mediation rules. The mediation will be conducted by a single mediator appointed by agreement of the parties or, failing such agreement, by JAMS End Dispute in accordance with its commercial mediation rules. Unless otherwise mutually agreed by the parties, the mediation proceedings will be conducted in Chicago, Illinois. The parties shall share equally the cost of the mediation including, without limitation, filing fees, hearing fees and the cost of the mediator(s). Each party will bear its own attorneys’ fees and associated costs and expenses. If the dispute has not been resolved by the means provided herein within one hundred eighty (180) calendar days of the initiation of such procedure, either party shall have the right to file a lawsuit to resolve the dispute;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Veracyte files such lawsuit, it must be filed in the courts of Boston, Massachusetts and if Genzyme files such lawsuit, it must be filed in the courts in San Francisco, California.</w:t>
      </w:r>
    </w:p>
    <w:p>
      <w:pPr>
        <w:spacing w:after="0" w:line="179" w:lineRule="exact"/>
        <w:rPr>
          <w:sz w:val="20"/>
          <w:szCs w:val="20"/>
          <w:color w:val="auto"/>
        </w:rPr>
      </w:pPr>
    </w:p>
    <w:p>
      <w:pPr>
        <w:jc w:val="both"/>
        <w:ind w:left="660" w:right="40" w:hanging="647"/>
        <w:spacing w:after="0" w:line="264"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Coordination of Calls</w:t>
      </w:r>
      <w:r>
        <w:rPr>
          <w:rFonts w:ascii="Arial" w:cs="Arial" w:eastAsia="Arial" w:hAnsi="Arial"/>
          <w:sz w:val="18"/>
          <w:szCs w:val="18"/>
          <w:color w:val="auto"/>
        </w:rPr>
        <w:t>. Efforts will be made by the Steering Committee to coordinate the Calls by the Veracyte sales forces, if any and as applicable,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the Calls by the Genzyme sales forces to ensure the most effective coverage of the target audiences and to minimize duplication of efforts to the extent practicable.</w:t>
      </w:r>
    </w:p>
    <w:p>
      <w:pPr>
        <w:spacing w:after="0" w:line="181"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Participation Cost</w:t>
      </w:r>
      <w:r>
        <w:rPr>
          <w:rFonts w:ascii="Arial" w:cs="Arial" w:eastAsia="Arial" w:hAnsi="Arial"/>
          <w:sz w:val="18"/>
          <w:szCs w:val="18"/>
          <w:color w:val="auto"/>
        </w:rPr>
        <w:t>. Each party shall bear its own costs associated with its participation in the Steering Committee and its activities performed 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except as otherwise set forth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 FINANCIAL TERMS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Promotion Fees</w:t>
      </w:r>
      <w:r>
        <w:rPr>
          <w:rFonts w:ascii="Arial" w:cs="Arial" w:eastAsia="Arial" w:hAnsi="Arial"/>
          <w:sz w:val="16"/>
          <w:szCs w:val="16"/>
          <w:color w:val="auto"/>
        </w:rPr>
        <w:t>.</w:t>
      </w:r>
    </w:p>
    <w:p>
      <w:pPr>
        <w:spacing w:after="0" w:line="225" w:lineRule="exact"/>
        <w:rPr>
          <w:sz w:val="20"/>
          <w:szCs w:val="20"/>
          <w:color w:val="auto"/>
        </w:rPr>
      </w:pPr>
    </w:p>
    <w:p>
      <w:pPr>
        <w:ind w:left="1300" w:right="180" w:hanging="647"/>
        <w:spacing w:after="0" w:line="272" w:lineRule="auto"/>
        <w:tabs>
          <w:tab w:leader="none" w:pos="12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u w:val="single" w:color="auto"/>
          <w:color w:val="auto"/>
        </w:rPr>
        <w:t>Comprehensive Services</w:t>
      </w:r>
      <w:r>
        <w:rPr>
          <w:rFonts w:ascii="Arial" w:cs="Arial" w:eastAsia="Arial" w:hAnsi="Arial"/>
          <w:sz w:val="17"/>
          <w:szCs w:val="17"/>
          <w:color w:val="auto"/>
        </w:rPr>
        <w:t>. Genzyme shall book all sales of the Test in the Comprehensive Services Territory. Subject to the provisions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during the Term of this Agreement, as compensation for its activities and obligations under this Agreement in the Comprehensive Services Territory and for the grant of rights under Section 2.1.1 in the Comprehensive Services Territory, Genzyme shall pay Veracyte a royalty calculated on a Country-by-Country basis (the “</w:t>
      </w:r>
      <w:r>
        <w:rPr>
          <w:rFonts w:ascii="Arial" w:cs="Arial" w:eastAsia="Arial" w:hAnsi="Arial"/>
          <w:sz w:val="17"/>
          <w:szCs w:val="17"/>
          <w:u w:val="single" w:color="auto"/>
          <w:color w:val="auto"/>
        </w:rPr>
        <w:t>CS Royalty</w:t>
      </w:r>
      <w:r>
        <w:rPr>
          <w:rFonts w:ascii="Arial" w:cs="Arial" w:eastAsia="Arial" w:hAnsi="Arial"/>
          <w:sz w:val="17"/>
          <w:szCs w:val="17"/>
          <w:color w:val="auto"/>
        </w:rPr>
        <w:t>”) equal to the Country Payment Rate multiplied by the Net Revenue received by Genzyme or its Affiliates for sales of the Test in each Country in the Comprehensive Services Territory, or a fee per test as set forth on any exhibit attached hereto as Country Specific Terms. Such CS Royalty or fees, as the case may be, shall be due on a quarterly basis as set forth in Section 6.3 below.</w:t>
      </w:r>
    </w:p>
    <w:p>
      <w:pPr>
        <w:spacing w:after="0" w:line="178" w:lineRule="exact"/>
        <w:rPr>
          <w:sz w:val="20"/>
          <w:szCs w:val="20"/>
          <w:color w:val="auto"/>
        </w:rPr>
      </w:pPr>
    </w:p>
    <w:p>
      <w:pPr>
        <w:ind w:left="1300" w:right="120" w:hanging="647"/>
        <w:spacing w:after="0" w:line="312" w:lineRule="auto"/>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Dedicated Promotion Only</w:t>
      </w:r>
      <w:r>
        <w:rPr>
          <w:rFonts w:ascii="Arial" w:cs="Arial" w:eastAsia="Arial" w:hAnsi="Arial"/>
          <w:sz w:val="16"/>
          <w:szCs w:val="16"/>
          <w:color w:val="auto"/>
        </w:rPr>
        <w:t>. Veracyte shall book all sales of the Test in the Dedicated Promotion Only Territory. Subject to the provisions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and during the Term of this Agreement, as compensation for its activities and obligations under this Agreement in the Dedicated Promotion Only Territory, Veracyte shall pay Genzyme a fee calculated on a Country-by-Country basis (the “</w:t>
      </w:r>
      <w:r>
        <w:rPr>
          <w:rFonts w:ascii="Arial" w:cs="Arial" w:eastAsia="Arial" w:hAnsi="Arial"/>
          <w:sz w:val="16"/>
          <w:szCs w:val="16"/>
          <w:u w:val="single" w:color="auto"/>
          <w:color w:val="auto"/>
        </w:rPr>
        <w:t>DPO Promotion Fees</w:t>
      </w:r>
      <w:r>
        <w:rPr>
          <w:rFonts w:ascii="Arial" w:cs="Arial" w:eastAsia="Arial" w:hAnsi="Arial"/>
          <w:sz w:val="16"/>
          <w:szCs w:val="16"/>
          <w:color w:val="auto"/>
        </w:rPr>
        <w:t>”) equal</w:t>
      </w:r>
    </w:p>
    <w:p>
      <w:pPr>
        <w:sectPr>
          <w:pgSz w:w="11900" w:h="16925" w:orient="portrait"/>
          <w:cols w:equalWidth="0" w:num="1">
            <w:col w:w="11420"/>
          </w:cols>
          <w:pgMar w:left="240" w:top="125" w:right="239" w:bottom="0" w:gutter="0" w:footer="0" w:header="0"/>
        </w:sectPr>
      </w:pPr>
    </w:p>
    <w:bookmarkStart w:id="146" w:name="page147"/>
    <w:bookmarkEnd w:id="146"/>
    <w:p>
      <w:pPr>
        <w:spacing w:after="0" w:line="94"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color w:val="auto"/>
        </w:rPr>
        <w:t>to the Country Payment Rate multiplied by the Net Revenue received by Veracyte or its Affiliates for sales of the Test in each Country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Dedicated Promotion Only Territory. Such DPO Promotion Fees shall be due on a quarterly basis as set forth in Section 6.3 below.</w:t>
      </w: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Quarterly Net Revenue Report</w:t>
      </w:r>
      <w:r>
        <w:rPr>
          <w:rFonts w:ascii="Arial" w:cs="Arial" w:eastAsia="Arial" w:hAnsi="Arial"/>
          <w:sz w:val="16"/>
          <w:szCs w:val="16"/>
          <w:color w:val="auto"/>
        </w:rPr>
        <w:t>.</w:t>
      </w:r>
    </w:p>
    <w:p>
      <w:pPr>
        <w:spacing w:after="0" w:line="225" w:lineRule="exact"/>
        <w:rPr>
          <w:sz w:val="20"/>
          <w:szCs w:val="20"/>
          <w:color w:val="auto"/>
        </w:rPr>
      </w:pPr>
    </w:p>
    <w:p>
      <w:pPr>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color w:val="auto"/>
        </w:rPr>
        <w:t>Within thirty (30) calendar days after the close of each calendar quarter that occurs during the Term of this Agreement and within thirty (30) calendar days after the end of the Term, Genzyme shall submit to Veracyte a statement (the “</w:t>
      </w:r>
      <w:r>
        <w:rPr>
          <w:rFonts w:ascii="Arial" w:cs="Arial" w:eastAsia="Arial" w:hAnsi="Arial"/>
          <w:sz w:val="18"/>
          <w:szCs w:val="18"/>
          <w:u w:val="single" w:color="auto"/>
          <w:color w:val="auto"/>
        </w:rPr>
        <w:t>Genzyme Quarterly Net Revenue Report</w:t>
      </w:r>
      <w:r>
        <w:rPr>
          <w:rFonts w:ascii="Arial" w:cs="Arial" w:eastAsia="Arial" w:hAnsi="Arial"/>
          <w:sz w:val="18"/>
          <w:szCs w:val="18"/>
          <w:color w:val="auto"/>
        </w:rPr>
        <w:t>”) showing, with respect to each Country in the Comprehensive Services Territory:</w:t>
      </w:r>
    </w:p>
    <w:p>
      <w:pPr>
        <w:spacing w:after="0" w:line="181" w:lineRule="exact"/>
        <w:rPr>
          <w:sz w:val="20"/>
          <w:szCs w:val="20"/>
          <w:color w:val="auto"/>
        </w:rPr>
      </w:pPr>
    </w:p>
    <w:p>
      <w:pPr>
        <w:ind w:left="1940" w:hanging="635"/>
        <w:spacing w:after="0"/>
        <w:tabs>
          <w:tab w:leader="none" w:pos="19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Net Revenues, with breakouts of revenues attributable to cytopathology versus molecular testing services and regional breakouts;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billed and the amount reimbursed for each claim, and the payor associated with each such claim;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calculation of the CS Royalty due to Veracyte pursuant to Section 6.1; or</w:t>
      </w:r>
    </w:p>
    <w:p>
      <w:pPr>
        <w:spacing w:after="0" w:line="225" w:lineRule="exact"/>
        <w:rPr>
          <w:rFonts w:ascii="Arial" w:cs="Arial" w:eastAsia="Arial" w:hAnsi="Arial"/>
          <w:sz w:val="18"/>
          <w:szCs w:val="18"/>
          <w:color w:val="auto"/>
        </w:rPr>
      </w:pPr>
    </w:p>
    <w:p>
      <w:pPr>
        <w:ind w:left="1960" w:right="160" w:hanging="655"/>
        <w:spacing w:after="0" w:line="277" w:lineRule="auto"/>
        <w:tabs>
          <w:tab w:leader="none" w:pos="19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Tests sold during such period in the case of a fee for Test model, if such model is part of an exhibit attached hereto as a Country Specific Terms sheet.</w:t>
      </w:r>
    </w:p>
    <w:p>
      <w:pPr>
        <w:spacing w:after="0" w:line="170"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Any such Genzyme Quarterly Net Revenue Report shall be treated as Confidential Information of Genzyme in accordance with Section 7 hereof.</w:t>
      </w:r>
    </w:p>
    <w:p>
      <w:pPr>
        <w:spacing w:after="0" w:line="170" w:lineRule="exact"/>
        <w:rPr>
          <w:sz w:val="20"/>
          <w:szCs w:val="20"/>
          <w:color w:val="auto"/>
        </w:rPr>
      </w:pPr>
    </w:p>
    <w:p>
      <w:pPr>
        <w:jc w:val="both"/>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Within thirty (30) calendar days after the close of each calendar quarter that occurs during the Term of this Agreement and within thirty (30) calendar days after the end of the Term, Veracyte shall submit to Genzyme a (the “</w:t>
      </w:r>
      <w:r>
        <w:rPr>
          <w:rFonts w:ascii="Arial" w:cs="Arial" w:eastAsia="Arial" w:hAnsi="Arial"/>
          <w:sz w:val="18"/>
          <w:szCs w:val="18"/>
          <w:u w:val="single" w:color="auto"/>
          <w:color w:val="auto"/>
        </w:rPr>
        <w:t>Veracyte Quarterly Net Revenue Report</w:t>
      </w:r>
      <w:r>
        <w:rPr>
          <w:rFonts w:ascii="Arial" w:cs="Arial" w:eastAsia="Arial" w:hAnsi="Arial"/>
          <w:sz w:val="18"/>
          <w:szCs w:val="18"/>
          <w:color w:val="auto"/>
        </w:rPr>
        <w:t>”) showing, with respect to each Country in the Dedicated Promotion Only Territory:</w:t>
      </w:r>
    </w:p>
    <w:p>
      <w:pPr>
        <w:spacing w:after="0" w:line="181" w:lineRule="exact"/>
        <w:rPr>
          <w:sz w:val="20"/>
          <w:szCs w:val="20"/>
          <w:color w:val="auto"/>
        </w:rPr>
      </w:pPr>
    </w:p>
    <w:p>
      <w:pPr>
        <w:ind w:left="1940" w:hanging="635"/>
        <w:spacing w:after="0"/>
        <w:tabs>
          <w:tab w:leader="none" w:pos="19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Net Revenues, with breakouts of revenues attributable to cytopathology versus molecular testing services, regional breakouts;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billed and the amount reimbursed for each claim, and the payor associated with each such claim;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calculation of the DPO Promotion Fees or LC Promotion Fees, as applicable, due to Genzyme pursuant to Section 6.1.</w:t>
      </w:r>
    </w:p>
    <w:p>
      <w:pPr>
        <w:spacing w:after="0" w:line="237"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color w:val="auto"/>
        </w:rPr>
        <w:t>Any such Veracyte Quarterly Net Revenue Report shall be treated as Confidential Information of Veracyte in accordance with Section 7 hereof.</w:t>
      </w:r>
    </w:p>
    <w:p>
      <w:pPr>
        <w:spacing w:after="0" w:line="170"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Invoicing and Payment</w:t>
      </w:r>
      <w:r>
        <w:rPr>
          <w:rFonts w:ascii="Arial" w:cs="Arial" w:eastAsia="Arial" w:hAnsi="Arial"/>
          <w:sz w:val="18"/>
          <w:szCs w:val="18"/>
          <w:color w:val="auto"/>
        </w:rPr>
        <w:t>. Invoicing shall take place on a quarterly basis. Each invoice shall be based on the data contained in the Genzyme Quarterly</w:t>
      </w:r>
      <w:r>
        <w:rPr>
          <w:rFonts w:ascii="Arial" w:cs="Arial" w:eastAsia="Arial" w:hAnsi="Arial"/>
          <w:sz w:val="18"/>
          <w:szCs w:val="18"/>
          <w:u w:val="single" w:color="auto"/>
          <w:color w:val="auto"/>
        </w:rPr>
        <w:t xml:space="preserve"> </w:t>
      </w:r>
      <w:r>
        <w:rPr>
          <w:rFonts w:ascii="Arial" w:cs="Arial" w:eastAsia="Arial" w:hAnsi="Arial"/>
          <w:sz w:val="18"/>
          <w:szCs w:val="18"/>
          <w:color w:val="auto"/>
        </w:rPr>
        <w:t>Net Revenue Reports received by Veracyte and the Veracyte Quarterly Net Revenue Reports received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Genzyme in accordance with Section 6.2 above and payment shall be due not more than thirty (30) calendar days from the date of invoice and may be made in the form of a wire transfer. With respect to invoices for assistance and support provided by one party to the other party at such other party’s expense pursuant to the terms and conditions of this Agreement, payment shall be due within thirty (30) calendar days after receipt of a reasonably detailed invoice for such assistance and support.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Annual Reconciliation</w:t>
      </w:r>
      <w:r>
        <w:rPr>
          <w:rFonts w:ascii="Arial" w:cs="Arial" w:eastAsia="Arial" w:hAnsi="Arial"/>
          <w:sz w:val="16"/>
          <w:szCs w:val="16"/>
          <w:color w:val="auto"/>
        </w:rPr>
        <w:t>.</w:t>
      </w:r>
    </w:p>
    <w:p>
      <w:pPr>
        <w:spacing w:after="0" w:line="225" w:lineRule="exact"/>
        <w:rPr>
          <w:sz w:val="20"/>
          <w:szCs w:val="20"/>
          <w:color w:val="auto"/>
        </w:rPr>
      </w:pPr>
    </w:p>
    <w:p>
      <w:pPr>
        <w:ind w:left="1300" w:right="40" w:hanging="647"/>
        <w:spacing w:after="0" w:line="279" w:lineRule="auto"/>
        <w:tabs>
          <w:tab w:leader="none" w:pos="128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7"/>
          <w:szCs w:val="17"/>
          <w:color w:val="auto"/>
        </w:rPr>
        <w:t>The Genzyme Quarterly Net Revenue Report for the fourth quarter of each calendar year shall contain an annual reconciliation indicating the difference, if any, between the annual CS Royalty (calculated on the basis of the Net Revenue reported for the entire calendar year) and the sum of all quarterly CS Royalties (calculated on the basis of the Net Revenue reported per calendar quarter). In case of a difference, the relevant amount shall be settled in Veracyte’s invoice for the fourth quarter of the relevant calendar year.</w:t>
      </w:r>
    </w:p>
    <w:p>
      <w:pPr>
        <w:spacing w:after="0" w:line="171" w:lineRule="exact"/>
        <w:rPr>
          <w:sz w:val="20"/>
          <w:szCs w:val="20"/>
          <w:color w:val="auto"/>
        </w:rPr>
      </w:pPr>
    </w:p>
    <w:p>
      <w:pPr>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8"/>
          <w:szCs w:val="18"/>
          <w:color w:val="auto"/>
        </w:rPr>
        <w:t>The Veracyte Quarterly Net Revenue Report for the fourth quarter of each calendar year shall contain an annual reconciliation indicating the difference, if any, between the annual DPO Promotion Fees and LC Promotion Fees (calculated on the basis of the Net Revenue reported for the entire calendar year) and the sum of all quarterly DPO Promotion Fees and LC Promotion Fees (calculated on the basis of the Net Revenue reported per calendar quarter). In case of a difference, the relevant amount shall be settled in Genzyme’s invoice for the fourth quarter of the relevant calendar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CONFIDENTIALITY</w:t>
      </w:r>
    </w:p>
    <w:p>
      <w:pPr>
        <w:spacing w:after="0" w:line="229" w:lineRule="exact"/>
        <w:rPr>
          <w:sz w:val="20"/>
          <w:szCs w:val="20"/>
          <w:color w:val="auto"/>
        </w:rPr>
      </w:pPr>
    </w:p>
    <w:p>
      <w:pPr>
        <w:ind w:left="660" w:right="20" w:hanging="647"/>
        <w:spacing w:after="0" w:line="28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Non-Disclosure and Non-Use of Confidential Information</w:t>
      </w:r>
      <w:r>
        <w:rPr>
          <w:rFonts w:ascii="Arial" w:cs="Arial" w:eastAsia="Arial" w:hAnsi="Arial"/>
          <w:sz w:val="16"/>
          <w:szCs w:val="16"/>
          <w:color w:val="auto"/>
        </w:rPr>
        <w:t>. All Confidential Information shall remain the exclusive property of the Disclosing Party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during the Term of this Agreement and thereafter. The Receiving Party shall disclose such Confidential Information only to those of its (and its Affiliates’) agents, advisors, consultants and employees to whom it is necessary in order to carry out their duties hereunder as limited by the terms and conditions of this Agreement. During the Term of this Agreement and thereafter, all of the Disclosing Party’s Confidential Information shall be maintained in strict confidence by the Receiving Party’s agents and employees, and shall not be used by the Receiving Party for any purpose other than in connection with the Receiving Party’s performance of its duties under this Agreement. The Receiving Party shall, at its expense and at the Receiving Party’s option, either return or destroy (and certify such destruction to the Disclosing Party in a written instrument signed by an officer of the Receiving Party) all Confidential Information of the Disclosing Party within sixty (60) days after the expiration or termination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Receiving Party may retain one (1) copy of the Confidential Information of the Disclosing Party for archival purposes.</w:t>
      </w:r>
    </w:p>
    <w:p>
      <w:pPr>
        <w:sectPr>
          <w:pgSz w:w="11900" w:h="16932" w:orient="portrait"/>
          <w:cols w:equalWidth="0" w:num="1">
            <w:col w:w="11420"/>
          </w:cols>
          <w:pgMar w:left="240" w:top="125" w:right="239" w:bottom="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Exceptions to Confidentiality Obligations</w:t>
      </w:r>
      <w:r>
        <w:rPr>
          <w:rFonts w:ascii="Arial" w:cs="Arial" w:eastAsia="Arial" w:hAnsi="Arial"/>
          <w:sz w:val="18"/>
          <w:szCs w:val="18"/>
          <w:color w:val="auto"/>
        </w:rPr>
        <w:t>. The limitations on use and disclosure set forth in Section 7.1 hereof shall not apply to information which</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Receiving Party can demonstrate: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was in the public domain at the time of disclosure without breach of this Agreement by the Receiving Party;</w:t>
      </w:r>
    </w:p>
    <w:p>
      <w:pPr>
        <w:spacing w:after="0" w:line="225" w:lineRule="exact"/>
        <w:rPr>
          <w:sz w:val="20"/>
          <w:szCs w:val="20"/>
          <w:color w:val="auto"/>
        </w:rPr>
      </w:pPr>
    </w:p>
    <w:p>
      <w:pPr>
        <w:ind w:left="1300" w:right="60" w:hanging="647"/>
        <w:spacing w:after="0" w:line="277" w:lineRule="auto"/>
        <w:tabs>
          <w:tab w:leader="none" w:pos="12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was known to or contained in the records of the Receiving Party from a source other than the Disclosing Party at the time of disclosure and can be so demonstrated by written records of the Receiving Party;</w:t>
      </w:r>
    </w:p>
    <w:p>
      <w:pPr>
        <w:spacing w:after="0" w:line="170" w:lineRule="exact"/>
        <w:rPr>
          <w:sz w:val="20"/>
          <w:szCs w:val="20"/>
          <w:color w:val="auto"/>
        </w:rPr>
      </w:pPr>
    </w:p>
    <w:p>
      <w:pPr>
        <w:ind w:left="1300" w:right="460" w:hanging="647"/>
        <w:spacing w:after="0" w:line="277" w:lineRule="auto"/>
        <w:tabs>
          <w:tab w:leader="none" w:pos="128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was independently developed by the Receiving Party without use of, reference to or reliance upon the Disclosing Party’s Confidential Information and can be so demonstrated by written records of the Receiving Party; or</w:t>
      </w:r>
    </w:p>
    <w:p>
      <w:pPr>
        <w:spacing w:after="0" w:line="170"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8"/>
          <w:szCs w:val="18"/>
          <w:color w:val="auto"/>
        </w:rPr>
        <w:t>became known or was disclosed to the Receiving Party without restriction on further disclosure from a third party source having the right to make such disclosure.</w:t>
      </w:r>
    </w:p>
    <w:p>
      <w:pPr>
        <w:spacing w:after="0" w:line="170" w:lineRule="exact"/>
        <w:rPr>
          <w:sz w:val="20"/>
          <w:szCs w:val="20"/>
          <w:color w:val="auto"/>
        </w:rPr>
      </w:pPr>
    </w:p>
    <w:p>
      <w:pPr>
        <w:ind w:left="660" w:hanging="647"/>
        <w:spacing w:after="0" w:line="284"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Disclosure Pursuant to Legal Obligation</w:t>
      </w:r>
      <w:r>
        <w:rPr>
          <w:rFonts w:ascii="Arial" w:cs="Arial" w:eastAsia="Arial" w:hAnsi="Arial"/>
          <w:sz w:val="16"/>
          <w:szCs w:val="16"/>
          <w:color w:val="auto"/>
        </w:rPr>
        <w:t>. Notwithstanding any other provision of this Agreement, disclosure of any portion of the Disclosing Party’s</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Confidential Information shall not be prohibited to the extent that it is required to (i) comply with applicable law, order or regulation of a governmental agency or a court of competent jurisdiction, (ii) to comply with any governmental agency for purposes of obtaining Marketing Authorization for the Test, or (iii) as necessary to establish the rights of either party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either case that the Receiving Party shall (A) provide to the Disclosing Party prompt written notice of the existence, terms and circumstances of such required disclosure with at least sufficient detail to enable such Disclosing Party to seek a protective order or otherwise prevent or limit the extent of such disclosure,</w:t>
      </w:r>
    </w:p>
    <w:p>
      <w:pPr>
        <w:spacing w:after="0" w:line="5" w:lineRule="exact"/>
        <w:rPr>
          <w:sz w:val="20"/>
          <w:szCs w:val="20"/>
          <w:color w:val="auto"/>
        </w:rPr>
      </w:pPr>
    </w:p>
    <w:p>
      <w:pPr>
        <w:ind w:left="660" w:right="100" w:hanging="4"/>
        <w:spacing w:after="0" w:line="271" w:lineRule="auto"/>
        <w:tabs>
          <w:tab w:leader="none" w:pos="9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consult with the Disclosing Party on the advisability of taking legally available steps to resist or narrow such disclosure, (C) take all reasonable and lawful actions to obtain confidential treatment for such disclosure and (D) thereafter disclose only such Confidential Information as is reasonably necessary under the circumstances. Each of the parties agrees that the foregoing exceptions are to be narrowly construed and that its obligations (and those of its representatives) under this Section 7 are released solely with respect to those specific portions of the Disclosing Party’s Confidential Information that fall within the foregoing exceptions and not with respect to related portions.</w:t>
      </w:r>
    </w:p>
    <w:p>
      <w:pPr>
        <w:spacing w:after="0" w:line="179" w:lineRule="exact"/>
        <w:rPr>
          <w:sz w:val="20"/>
          <w:szCs w:val="20"/>
          <w:color w:val="auto"/>
        </w:rPr>
      </w:pPr>
    </w:p>
    <w:p>
      <w:pPr>
        <w:ind w:left="660" w:right="240" w:hanging="647"/>
        <w:spacing w:after="0" w:line="264"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Disclosure to Prospective Investors</w:t>
      </w:r>
      <w:r>
        <w:rPr>
          <w:rFonts w:ascii="Arial" w:cs="Arial" w:eastAsia="Arial" w:hAnsi="Arial"/>
          <w:sz w:val="18"/>
          <w:szCs w:val="18"/>
          <w:color w:val="auto"/>
        </w:rPr>
        <w:t>. Notwithstanding any other provision of this Agreement, Veracyte may disclose Confidential Information,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including the terms of this Agreement, to current and prospective investors in Veracyte,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any such recipients are bound by confidentiality and non-use provisions no less restrictive than those contained in this Section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INFRINGEMENT AND LITIGATION</w:t>
      </w:r>
    </w:p>
    <w:p>
      <w:pPr>
        <w:spacing w:after="0" w:line="229"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Infringement</w:t>
      </w:r>
      <w:r>
        <w:rPr>
          <w:rFonts w:ascii="Arial" w:cs="Arial" w:eastAsia="Arial" w:hAnsi="Arial"/>
          <w:sz w:val="18"/>
          <w:szCs w:val="18"/>
          <w:color w:val="auto"/>
        </w:rPr>
        <w:t>. If either party reasonably believes or learns that a third party is infringing or misappropriating Veracyte Intellectual Property in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Country in which the Test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being made, used, sold, offered for sale and/or imported, that party shall give the other party prompt written notice of its belief and documentation supporting its belief. The parties shall use good faith efforts to coordinate and cooperate in any action, negotiation, or settlement of the alleged infringement.</w:t>
      </w:r>
    </w:p>
    <w:p>
      <w:pPr>
        <w:spacing w:after="0" w:line="181" w:lineRule="exact"/>
        <w:rPr>
          <w:sz w:val="20"/>
          <w:szCs w:val="20"/>
          <w:color w:val="auto"/>
        </w:rPr>
      </w:pPr>
    </w:p>
    <w:p>
      <w:pPr>
        <w:ind w:left="660" w:hanging="647"/>
        <w:spacing w:after="0" w:line="285"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Litigation</w:t>
      </w:r>
      <w:r>
        <w:rPr>
          <w:rFonts w:ascii="Arial" w:cs="Arial" w:eastAsia="Arial" w:hAnsi="Arial"/>
          <w:sz w:val="16"/>
          <w:szCs w:val="16"/>
          <w:color w:val="auto"/>
        </w:rPr>
        <w:t>. If Genzyme reasonably believes that there is infringement of any Veracyte Owned Intellectual Property by a third party and Genzyme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submits documentary support of such activity to Veracyte, then Veracyte, acting at its own expense and for its own account, shall have the right, but not the obligation, to enforce the Veracyte Owned Intellectual Property against such infringers, including bringing any legal action for infringement and defending against any counter claims in such action. Genzyme shall provide to Veracyte, at Veracyte’s expense, such assistance and cooperation as may reasonably be requested by Veracyte or required in Veracyte’s action against such third party. If Veracyte does not initiate action to terminate any infringement of the Veracyte Owned Intellectual Property within six (6) months after receiving such documentary support, or earlier notifies Genzyme in writing that it does not intend to bring such action, then Genzyme, upon receipt of consent from Veracyte, which consent shall not unreasonably withheld, conditioned or delayed, may bring such suit regarding infringement or misappropriation of such Veracyte Owned Intellectual Property in a Country, acting in its own name or in the name of Veracyte, but for Genzyme’s own account and at Genzyme’s own expense, any recovery to be for its own account. Veracyte hereby agrees to cooperate and be joined as a nominal party plaintiff to such suit and shall render, at Genzyme’s expense, all reasonable assistance and cooperation as may be reasonably necessary in such a suit. Notwithstanding the foregoing, Genzyme may not enter into any settlement, consent judgment or other voluntary final disposition of such action which adversely affects any Veracyte Owned Intellectual Property without the prior written consent of Veracyte, which will not be unreasonably withheld, conditioned or delayed. Each party instituting any such infringement actions shall, subject the foregoing, have the right to make all decisions regarding the prosecution of any such action and shall keep the other party reasonably informed as to the status of such action. It is understood and agreed that the provisions of this Section 8.2 shall only apply to Veracyte Owned Intellectual Property that Veracyte or its Affiliates have the right to enforce (by virtue of ownership, license terms, or otherwise).</w:t>
      </w:r>
    </w:p>
    <w:p>
      <w:pPr>
        <w:spacing w:after="0" w:line="394" w:lineRule="exact"/>
        <w:rPr>
          <w:sz w:val="20"/>
          <w:szCs w:val="20"/>
          <w:color w:val="auto"/>
        </w:rPr>
      </w:pPr>
    </w:p>
    <w:p>
      <w:pPr>
        <w:ind w:left="660" w:right="20" w:hanging="647"/>
        <w:spacing w:after="0" w:line="302"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Licenses</w:t>
      </w:r>
      <w:r>
        <w:rPr>
          <w:rFonts w:ascii="Arial" w:cs="Arial" w:eastAsia="Arial" w:hAnsi="Arial"/>
          <w:sz w:val="16"/>
          <w:szCs w:val="16"/>
          <w:color w:val="auto"/>
        </w:rPr>
        <w:t>. If a third party license is required in order that the activities required pursuant to this Agreement do not infringe a third party’s Intellectual</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Property Rights, then Veracyte, at Veracyte’s expense and acting in its own name, shall negotiate with such third party and use Commercially Reasonable Efforts to obtain such a license. Genzyme shall give to Veracyte, at Veracyte’s sole expense, such assistance as may reasonably be requested by Veracyte in connection with Veracyte’s negotiation with such third party, subject to the availability of such resources.</w:t>
      </w:r>
    </w:p>
    <w:p>
      <w:pPr>
        <w:spacing w:after="0" w:line="154"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Notification</w:t>
      </w:r>
      <w:r>
        <w:rPr>
          <w:rFonts w:ascii="Arial" w:cs="Arial" w:eastAsia="Arial" w:hAnsi="Arial"/>
          <w:sz w:val="18"/>
          <w:szCs w:val="18"/>
          <w:color w:val="auto"/>
        </w:rPr>
        <w:t>. In the event that either party receives notification of any alleged or actual infringement from a third party, that party shall provide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 party with a copy of such notification within five (5) business days after its receipt of the notification.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SECTION 9 - REPRESENTATIONS AND WARRANTIES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Veracyte represents and warrants to Genzyme that as of the Effective Date</w:t>
      </w:r>
      <w:r>
        <w:rPr>
          <w:rFonts w:ascii="Arial" w:cs="Arial" w:eastAsia="Arial" w:hAnsi="Arial"/>
          <w:sz w:val="16"/>
          <w:szCs w:val="16"/>
          <w:color w:val="auto"/>
        </w:rPr>
        <w:t>:</w:t>
      </w:r>
    </w:p>
    <w:p>
      <w:pPr>
        <w:spacing w:after="0" w:line="225" w:lineRule="exact"/>
        <w:rPr>
          <w:sz w:val="20"/>
          <w:szCs w:val="20"/>
          <w:color w:val="auto"/>
        </w:rPr>
      </w:pPr>
    </w:p>
    <w:p>
      <w:pPr>
        <w:ind w:left="1300" w:right="140" w:hanging="647"/>
        <w:spacing w:after="0" w:line="259" w:lineRule="auto"/>
        <w:tabs>
          <w:tab w:leader="none" w:pos="128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Veracyte and its Affiliates exclusively owns or controls the Veracyte Owned Intellectual Property and has the right to license or sublicense to Genzyme and its Affiliates all Veracyte Intellectual Property licensed hereunder, that such rights to such Veracyte Intellectual Property have been validly granted to Genzyme and its Affiliates, and that the granting of such rights to Genzyme and its Affiliates does not require the consent of a third party in accordance with the terms of this Agreement;</w:t>
      </w:r>
    </w:p>
    <w:p>
      <w:pPr>
        <w:spacing w:after="0" w:line="187" w:lineRule="exact"/>
        <w:rPr>
          <w:sz w:val="20"/>
          <w:szCs w:val="20"/>
          <w:color w:val="auto"/>
        </w:rPr>
      </w:pPr>
    </w:p>
    <w:p>
      <w:pPr>
        <w:ind w:left="1300" w:right="60" w:hanging="647"/>
        <w:spacing w:after="0" w:line="273" w:lineRule="auto"/>
        <w:tabs>
          <w:tab w:leader="none" w:pos="128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(a) there are no claims, judgments or settlements against or owed by Veracyte or its Affiliates, or to the best of its knowledge, any pending or threatened claims or litigation relating to the Veracyte Owned Intellectual Property, the Test or the Ad/Prom Material used by Veracyte prior to the Effective Date; (b) to the best of its knowledge, there are no claims, judgments or settlements against or owed by Veracyte or its Affiliates relating to any other Veracyte Intellectual Property and (c) to the best of its knowledge, there are no pending or threatened claims or litigation relating to other Veracyte Intellectual Property that to the knowledge of Veracyte would have a material adverse effect on the Test, Veracyte, or the ability of the parties to perform under of this Agreement;</w:t>
      </w:r>
    </w:p>
    <w:p>
      <w:pPr>
        <w:spacing w:after="0" w:line="178" w:lineRule="exact"/>
        <w:rPr>
          <w:sz w:val="20"/>
          <w:szCs w:val="20"/>
          <w:color w:val="auto"/>
        </w:rPr>
      </w:pPr>
    </w:p>
    <w:p>
      <w:pPr>
        <w:ind w:left="1300" w:right="200" w:hanging="647"/>
        <w:spacing w:after="0" w:line="277" w:lineRule="auto"/>
        <w:tabs>
          <w:tab w:leader="none" w:pos="128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8"/>
          <w:szCs w:val="18"/>
          <w:color w:val="auto"/>
        </w:rPr>
        <w:t>to the best of Veracyte’s knowledge, there are no third party patent, patent application or other third party Intellectual Property Rights that would be infringed by making, using, or selling the Test;</w:t>
      </w:r>
    </w:p>
    <w:p>
      <w:pPr>
        <w:spacing w:after="0" w:line="170" w:lineRule="exact"/>
        <w:rPr>
          <w:sz w:val="20"/>
          <w:szCs w:val="20"/>
          <w:color w:val="auto"/>
        </w:rPr>
      </w:pPr>
    </w:p>
    <w:p>
      <w:pPr>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to the best of Veracyte’s knowledge, (a) there is no infringement or misappropriation by a third party of the Veracyte Owned Intellectual Property and/or the Test and (b) there is no misappropriation by a third party of other Veracyte Intellectual Property that to the knowledge of Veracyte would have a material adverse effect on the Test, Veracyte, or the ability of the parties to perform under of this Agreement;</w:t>
      </w:r>
    </w:p>
    <w:p>
      <w:pPr>
        <w:spacing w:after="0" w:line="147" w:lineRule="exact"/>
        <w:rPr>
          <w:sz w:val="20"/>
          <w:szCs w:val="20"/>
          <w:color w:val="auto"/>
        </w:rPr>
      </w:pPr>
    </w:p>
    <w:p>
      <w:pPr>
        <w:jc w:val="both"/>
        <w:ind w:left="1300" w:right="180" w:hanging="647"/>
        <w:spacing w:after="0" w:line="286" w:lineRule="auto"/>
        <w:tabs>
          <w:tab w:leader="none" w:pos="128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7"/>
          <w:szCs w:val="17"/>
          <w:color w:val="auto"/>
        </w:rPr>
        <w:t>Veracyte has the full right, power and authority and legal capacity to enter into this Agreement and to grant the rights and licenses granted under Section 2 hereof and the execution, delivery and performance of this Agreement by Veracyte does not conflict with, or constitute a breach of or under, any order, judgment, agreement or instrument to which Veracyte is a party;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6"/>
          <w:szCs w:val="16"/>
          <w:color w:val="auto"/>
        </w:rPr>
        <w:t>Veracyte is a duly organized and validly existing corporation under the laws of its jurisdiction of incorporation;</w:t>
      </w:r>
    </w:p>
    <w:p>
      <w:pPr>
        <w:spacing w:after="0" w:line="225" w:lineRule="exact"/>
        <w:rPr>
          <w:sz w:val="20"/>
          <w:szCs w:val="20"/>
          <w:color w:val="auto"/>
        </w:rPr>
      </w:pPr>
    </w:p>
    <w:p>
      <w:pPr>
        <w:jc w:val="both"/>
        <w:ind w:left="1300" w:right="180" w:hanging="647"/>
        <w:spacing w:after="0" w:line="286" w:lineRule="auto"/>
        <w:tabs>
          <w:tab w:leader="none" w:pos="1280" w:val="left"/>
        </w:tabs>
        <w:rPr>
          <w:sz w:val="20"/>
          <w:szCs w:val="20"/>
          <w:color w:val="auto"/>
        </w:rPr>
      </w:pPr>
      <w:r>
        <w:rPr>
          <w:rFonts w:ascii="Arial" w:cs="Arial" w:eastAsia="Arial" w:hAnsi="Arial"/>
          <w:sz w:val="18"/>
          <w:szCs w:val="18"/>
          <w:color w:val="auto"/>
        </w:rPr>
        <w:t>9.1.7</w:t>
      </w:r>
      <w:r>
        <w:rPr>
          <w:sz w:val="20"/>
          <w:szCs w:val="20"/>
          <w:color w:val="auto"/>
        </w:rPr>
        <w:tab/>
      </w:r>
      <w:r>
        <w:rPr>
          <w:rFonts w:ascii="Arial" w:cs="Arial" w:eastAsia="Arial" w:hAnsi="Arial"/>
          <w:sz w:val="17"/>
          <w:szCs w:val="17"/>
          <w:color w:val="auto"/>
        </w:rPr>
        <w:t>Veracyte (and any third party laboratories and other subcontractors used by Veracyte) has all necessary licenses, permits and certifications under all applicable laws, regulations, codes, and standards determined by any governmental authority or Regulatory Authority (including without limitation CLIA and similar state laws, as well as all generally applicable industry standards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whether the same are regional, national or international), to use, make and commercialize Afirma in the Territories;</w:t>
      </w:r>
    </w:p>
    <w:p>
      <w:pPr>
        <w:spacing w:after="0" w:line="225" w:lineRule="exact"/>
        <w:rPr>
          <w:sz w:val="20"/>
          <w:szCs w:val="20"/>
          <w:color w:val="auto"/>
        </w:rPr>
      </w:pPr>
    </w:p>
    <w:p>
      <w:pPr>
        <w:jc w:val="center"/>
        <w:ind w:left="400" w:right="500"/>
        <w:spacing w:after="0" w:line="308" w:lineRule="auto"/>
        <w:rPr>
          <w:sz w:val="20"/>
          <w:szCs w:val="20"/>
          <w:color w:val="auto"/>
        </w:rPr>
      </w:pPr>
      <w:r>
        <w:rPr>
          <w:rFonts w:ascii="Arial" w:cs="Arial" w:eastAsia="Arial" w:hAnsi="Arial"/>
          <w:sz w:val="17"/>
          <w:szCs w:val="17"/>
          <w:color w:val="auto"/>
        </w:rPr>
        <w:t>9.1.8   neither Veracyte nor any of its Affiliates has granted any right or license to any third party relating to the Veracyte Owned Intellectual Property and/or the Test that would conflict with the rights granted to Genzyme and its Affiliates under this Agreement; and</w:t>
      </w:r>
    </w:p>
    <w:p>
      <w:pPr>
        <w:spacing w:after="0" w:line="147"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9.1.9</w:t>
      </w:r>
      <w:r>
        <w:rPr>
          <w:sz w:val="20"/>
          <w:szCs w:val="20"/>
          <w:color w:val="auto"/>
        </w:rPr>
        <w:tab/>
      </w:r>
      <w:r>
        <w:rPr>
          <w:rFonts w:ascii="Arial" w:cs="Arial" w:eastAsia="Arial" w:hAnsi="Arial"/>
          <w:sz w:val="18"/>
          <w:szCs w:val="18"/>
          <w:u w:val="single" w:color="auto"/>
          <w:color w:val="auto"/>
        </w:rPr>
        <w:t xml:space="preserve">Exhibit C </w:t>
      </w:r>
      <w:r>
        <w:rPr>
          <w:rFonts w:ascii="Arial" w:cs="Arial" w:eastAsia="Arial" w:hAnsi="Arial"/>
          <w:sz w:val="18"/>
          <w:szCs w:val="18"/>
          <w:color w:val="auto"/>
        </w:rPr>
        <w:t>hereto includes all patents or patent applications of Veracyte that are included in the Veracyte Owned Intellectual Property that are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existence or filed as of the Effective Date (other than foreign counterparts).</w:t>
      </w:r>
    </w:p>
    <w:p>
      <w:pPr>
        <w:spacing w:after="0" w:line="170" w:lineRule="exact"/>
        <w:rPr>
          <w:sz w:val="20"/>
          <w:szCs w:val="20"/>
          <w:color w:val="auto"/>
        </w:rPr>
      </w:pPr>
    </w:p>
    <w:p>
      <w:pPr>
        <w:ind w:left="660" w:right="440" w:hanging="647"/>
        <w:spacing w:after="0" w:line="28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No Conflicting Obligations</w:t>
      </w:r>
      <w:r>
        <w:rPr>
          <w:rFonts w:ascii="Arial" w:cs="Arial" w:eastAsia="Arial" w:hAnsi="Arial"/>
          <w:sz w:val="17"/>
          <w:szCs w:val="17"/>
          <w:color w:val="auto"/>
        </w:rPr>
        <w:t>. Each party represents and warrants that the execution of this Agreement and the performance of its obligations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hereunder will not conflict with, result in the breach of, or constitute a default under, any agreement to which it, its officers, directors, agents or employees are parties, or by which it, its officers, directors, agents or employees are or may be bound.</w:t>
      </w:r>
    </w:p>
    <w:p>
      <w:pPr>
        <w:spacing w:after="0" w:line="166" w:lineRule="exact"/>
        <w:rPr>
          <w:sz w:val="20"/>
          <w:szCs w:val="20"/>
          <w:color w:val="auto"/>
        </w:rPr>
      </w:pPr>
    </w:p>
    <w:p>
      <w:pPr>
        <w:ind w:left="660" w:right="100" w:hanging="647"/>
        <w:spacing w:after="0" w:line="264"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Each party represents and warrants that in the performance of its obligations under this Agreement it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comply with all applicable laws, regulations, codes, and standards determined by any governmental authority or Regulatory Authority, as well as all generally applicable industry standards whether the same are regional, national or international.</w:t>
      </w:r>
    </w:p>
    <w:p>
      <w:pPr>
        <w:spacing w:after="0" w:line="181"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Ad/Prom Materials and Training Materials</w:t>
      </w:r>
      <w:r>
        <w:rPr>
          <w:rFonts w:ascii="Arial" w:cs="Arial" w:eastAsia="Arial" w:hAnsi="Arial"/>
          <w:sz w:val="18"/>
          <w:szCs w:val="18"/>
          <w:color w:val="auto"/>
        </w:rPr>
        <w:t>. Veracyte hereby represents and warrants to Genzyme that all Ad/Prom Materials and training materials</w:t>
      </w:r>
      <w:r>
        <w:rPr>
          <w:rFonts w:ascii="Arial" w:cs="Arial" w:eastAsia="Arial" w:hAnsi="Arial"/>
          <w:sz w:val="18"/>
          <w:szCs w:val="18"/>
          <w:u w:val="single" w:color="auto"/>
          <w:color w:val="auto"/>
        </w:rPr>
        <w:t xml:space="preserve"> </w:t>
      </w:r>
      <w:r>
        <w:rPr>
          <w:rFonts w:ascii="Arial" w:cs="Arial" w:eastAsia="Arial" w:hAnsi="Arial"/>
          <w:sz w:val="18"/>
          <w:szCs w:val="18"/>
          <w:color w:val="auto"/>
        </w:rPr>
        <w:t>used by Veracyte as of the Effective Date in connection with the Test comply, and all Ad/Prom Materials and training materials to be created and developed by Veracyte pursuant to Sections 3.5.1 and 4.3 hereof will comply, with all applicable laws, regulations, codes and standards determined by any governmental authority or Regulatory Authority, as well as all generally applicable industry standards whether the same are regional, national or international.</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FCPA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Each party represents and warrants that it:</w:t>
      </w:r>
    </w:p>
    <w:p>
      <w:pPr>
        <w:spacing w:after="0" w:line="225" w:lineRule="exact"/>
        <w:rPr>
          <w:sz w:val="20"/>
          <w:szCs w:val="20"/>
          <w:color w:val="auto"/>
        </w:rPr>
      </w:pPr>
    </w:p>
    <w:p>
      <w:pPr>
        <w:ind w:left="1940" w:hanging="635"/>
        <w:spacing w:after="0"/>
        <w:tabs>
          <w:tab w:leader="none" w:pos="1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aware of the terms of the U.S. Foreign Corrupt Practices Act (“</w:t>
      </w:r>
      <w:r>
        <w:rPr>
          <w:rFonts w:ascii="Arial" w:cs="Arial" w:eastAsia="Arial" w:hAnsi="Arial"/>
          <w:sz w:val="18"/>
          <w:szCs w:val="18"/>
          <w:u w:val="single" w:color="auto"/>
          <w:color w:val="auto"/>
        </w:rPr>
        <w:t>FCPA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not an officer or agent of a governmental authority or regulatory authority within the Territories.</w:t>
      </w:r>
    </w:p>
    <w:p>
      <w:pPr>
        <w:spacing w:after="0" w:line="225" w:lineRule="exact"/>
        <w:rPr>
          <w:sz w:val="20"/>
          <w:szCs w:val="20"/>
          <w:color w:val="auto"/>
        </w:rPr>
      </w:pPr>
    </w:p>
    <w:p>
      <w:pPr>
        <w:ind w:left="1300" w:right="20" w:hanging="647"/>
        <w:spacing w:after="0" w:line="264" w:lineRule="auto"/>
        <w:tabs>
          <w:tab w:leader="none" w:pos="1280" w:val="left"/>
        </w:tabs>
        <w:rPr>
          <w:sz w:val="20"/>
          <w:szCs w:val="20"/>
          <w:color w:val="auto"/>
        </w:rPr>
      </w:pPr>
      <w:r>
        <w:rPr>
          <w:rFonts w:ascii="Arial" w:cs="Arial" w:eastAsia="Arial" w:hAnsi="Arial"/>
          <w:sz w:val="18"/>
          <w:szCs w:val="18"/>
          <w:color w:val="auto"/>
        </w:rPr>
        <w:t>9.5.2</w:t>
      </w:r>
      <w:r>
        <w:rPr>
          <w:sz w:val="20"/>
          <w:szCs w:val="20"/>
          <w:color w:val="auto"/>
        </w:rPr>
        <w:tab/>
      </w:r>
      <w:r>
        <w:rPr>
          <w:rFonts w:ascii="Arial" w:cs="Arial" w:eastAsia="Arial" w:hAnsi="Arial"/>
          <w:sz w:val="18"/>
          <w:szCs w:val="18"/>
          <w:color w:val="auto"/>
        </w:rPr>
        <w:t>In performing its obligations under this Agreement, each party shall refrain from any violation of the FCPA. Without limiting the generality of the foregoing, neither party shall pay money or provide any other thing of value to any foreign officials in violation of the FCPA or any other statute or regulation in a Territory.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73" w:gutter="0" w:footer="0" w:header="0"/>
        </w:sectPr>
      </w:pPr>
    </w:p>
    <w:bookmarkStart w:id="149" w:name="page150"/>
    <w:bookmarkEnd w:id="149"/>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5"/>
          <w:szCs w:val="15"/>
          <w:u w:val="single" w:color="auto"/>
          <w:color w:val="auto"/>
        </w:rPr>
        <w:t>Performance Standards</w:t>
      </w:r>
      <w:r>
        <w:rPr>
          <w:rFonts w:ascii="Arial" w:cs="Arial" w:eastAsia="Arial" w:hAnsi="Arial"/>
          <w:sz w:val="15"/>
          <w:szCs w:val="15"/>
          <w:color w:val="auto"/>
        </w:rPr>
        <w:t>.</w:t>
      </w:r>
    </w:p>
    <w:p>
      <w:pPr>
        <w:spacing w:after="0" w:line="225" w:lineRule="exact"/>
        <w:rPr>
          <w:sz w:val="20"/>
          <w:szCs w:val="20"/>
          <w:color w:val="auto"/>
        </w:rPr>
      </w:pPr>
    </w:p>
    <w:p>
      <w:pPr>
        <w:ind w:left="1300" w:right="380" w:hanging="647"/>
        <w:spacing w:after="0" w:line="302" w:lineRule="auto"/>
        <w:tabs>
          <w:tab w:leader="none" w:pos="128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6"/>
          <w:szCs w:val="16"/>
          <w:color w:val="auto"/>
        </w:rPr>
        <w:t>Each party represents and warrants that all activities and obligations performed under this Agreement will be performed by it and its Affiliates (i) in a professional and workmanlike manner, (ii) by appropriately qualified individuals who are licensed in accordance with applicable laws and regulations in the country in which they are performed, (iii) at an appropriately qualified and licensed laboratory facility, and (iv) in accordance with the standard of care and best industry practices in the country in which they are performed.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6"/>
          <w:szCs w:val="16"/>
          <w:color w:val="auto"/>
        </w:rPr>
        <w:t>Veracyte represents and warrants that neither Veracyte nor its Affiliates (to the extent its Affiliates are performing services related to the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Test), nor any of their respective employees or agents performing services related to Test in connection with this Agreement, has been:</w:t>
      </w:r>
    </w:p>
    <w:p>
      <w:pPr>
        <w:spacing w:after="0" w:line="32" w:lineRule="exact"/>
        <w:rPr>
          <w:sz w:val="20"/>
          <w:szCs w:val="20"/>
          <w:color w:val="auto"/>
        </w:rPr>
      </w:pPr>
    </w:p>
    <w:p>
      <w:pPr>
        <w:ind w:left="1300" w:right="40" w:firstLine="5"/>
        <w:spacing w:after="0" w:line="252" w:lineRule="auto"/>
        <w:tabs>
          <w:tab w:leader="none" w:pos="15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Veracyte or its Affiliates, to their knowledge, in connection with any of its obligations under this Agreement. If Veracyte becomes aware that Veracyte or its Affiliates performing services related to the Test or any person employed or contracted by Veracyte or its Affiliates in connection with this Agreement has become or is in the process of being convicted, debarred, excluded or otherwise rendered ineligible for federal or state health care program participation, Veracyte shall so notify Genzyme in writing.</w:t>
      </w:r>
    </w:p>
    <w:p>
      <w:pPr>
        <w:spacing w:after="0" w:line="193" w:lineRule="exact"/>
        <w:rPr>
          <w:sz w:val="20"/>
          <w:szCs w:val="20"/>
          <w:color w:val="auto"/>
        </w:rPr>
      </w:pPr>
    </w:p>
    <w:p>
      <w:pPr>
        <w:ind w:left="1300" w:right="20" w:hanging="647"/>
        <w:spacing w:after="0" w:line="289" w:lineRule="auto"/>
        <w:tabs>
          <w:tab w:leader="none" w:pos="1280" w:val="left"/>
        </w:tabs>
        <w:rPr>
          <w:sz w:val="20"/>
          <w:szCs w:val="20"/>
          <w:color w:val="auto"/>
        </w:rPr>
      </w:pPr>
      <w:r>
        <w:rPr>
          <w:rFonts w:ascii="Arial" w:cs="Arial" w:eastAsia="Arial" w:hAnsi="Arial"/>
          <w:sz w:val="18"/>
          <w:szCs w:val="18"/>
          <w:color w:val="auto"/>
        </w:rPr>
        <w:t>9.6.3</w:t>
      </w:r>
      <w:r>
        <w:rPr>
          <w:sz w:val="20"/>
          <w:szCs w:val="20"/>
          <w:color w:val="auto"/>
        </w:rPr>
        <w:tab/>
      </w:r>
      <w:r>
        <w:rPr>
          <w:rFonts w:ascii="Arial" w:cs="Arial" w:eastAsia="Arial" w:hAnsi="Arial"/>
          <w:sz w:val="16"/>
          <w:szCs w:val="16"/>
          <w:color w:val="auto"/>
        </w:rPr>
        <w:t>Genzyme represents and warrants that neither Genzyme nor its Affiliates (to the extent its Affiliates either employ sales and marketing personnel used to promote, market or detail any Thyrogen or the Test or otherwise perform services hereunder), nor any employee or agent of Genzyme or such Affiliates marketing, promoting, or detailing the Test in connection with this Agreement, has been: (i) convicted of an offense related to any federal or state health care program; (ii) debarred under the Federal Food, Drug and Cosmetic Act; or (iii) excluded or is otherwise ineligible for federal or state health care program participation. No convicted, debarred, excluded or ineligible person will in the future be employed by Genzyme or its Affiliates, to their knowledge, in connection with any of its obligations under this Agreement. If Genzyme becomes aware that Genzyme its Affiliates mentioned above or any person employed or contracted by Genzyme or such Affiliates in connection with this Agreement has become or is in the process of being convicted, debarred, excluded or otherwise rendered ineligible for federal or state health care program participation, Genzyme shall so notify Veracyte in writing.</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Genzyme represents and warrants to Veracyte that as of the Effective Date: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9.7.1</w:t>
      </w:r>
      <w:r>
        <w:rPr>
          <w:sz w:val="20"/>
          <w:szCs w:val="20"/>
          <w:color w:val="auto"/>
        </w:rPr>
        <w:tab/>
      </w:r>
      <w:r>
        <w:rPr>
          <w:rFonts w:ascii="Arial" w:cs="Arial" w:eastAsia="Arial" w:hAnsi="Arial"/>
          <w:sz w:val="16"/>
          <w:szCs w:val="16"/>
          <w:color w:val="auto"/>
        </w:rPr>
        <w:t>Genzyme has the full right, power and authority and legal capacity to enter into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9.7.2</w:t>
      </w:r>
      <w:r>
        <w:rPr>
          <w:sz w:val="20"/>
          <w:szCs w:val="20"/>
          <w:color w:val="auto"/>
        </w:rPr>
        <w:tab/>
      </w:r>
      <w:r>
        <w:rPr>
          <w:rFonts w:ascii="Arial" w:cs="Arial" w:eastAsia="Arial" w:hAnsi="Arial"/>
          <w:sz w:val="18"/>
          <w:szCs w:val="18"/>
          <w:color w:val="auto"/>
        </w:rPr>
        <w:t>the execution, delivery and performance of this Agreement by Genzyme does not conflict with, or constitute a breach of or under, any order, judgment, agreement or instrument to which Genzyme is a party; and</w:t>
      </w:r>
    </w:p>
    <w:p>
      <w:pPr>
        <w:spacing w:after="0" w:line="170" w:lineRule="exact"/>
        <w:rPr>
          <w:sz w:val="20"/>
          <w:szCs w:val="20"/>
          <w:color w:val="auto"/>
        </w:rPr>
      </w:pPr>
    </w:p>
    <w:p>
      <w:pPr>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9.7.3</w:t>
      </w:r>
      <w:r>
        <w:rPr>
          <w:sz w:val="20"/>
          <w:szCs w:val="20"/>
          <w:color w:val="auto"/>
        </w:rPr>
        <w:tab/>
      </w:r>
      <w:r>
        <w:rPr>
          <w:rFonts w:ascii="Arial" w:cs="Arial" w:eastAsia="Arial" w:hAnsi="Arial"/>
          <w:sz w:val="18"/>
          <w:szCs w:val="18"/>
          <w:color w:val="auto"/>
        </w:rPr>
        <w:t>Genzyme or its Affiliates directly employs a direct sales force in each Country, with respect to Thyrogen such sales force operates with all necessary licenses, permits and certifications under all applicable laws, regulations, codes, and standards determined by any applicable governmental authority or Regulatory Authority as of the Effective Date.</w:t>
      </w:r>
    </w:p>
    <w:p>
      <w:pPr>
        <w:spacing w:after="0" w:line="181" w:lineRule="exact"/>
        <w:rPr>
          <w:sz w:val="20"/>
          <w:szCs w:val="20"/>
          <w:color w:val="auto"/>
        </w:rPr>
      </w:pPr>
    </w:p>
    <w:p>
      <w:pPr>
        <w:ind w:left="660" w:hanging="647"/>
        <w:spacing w:after="0" w:line="264"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EXCEPT AS EXPRESSLY STATED IN THIS SECTION 9, ALL OTHER WARRANTIES, CONDITIONS AND REPRESENTATIONS, EXPRESS OR IMPLIED, STATUTORY OR OTHERWISE, INCLUDING A WARRANTY AS TO THE QUALITY OR FITNESS FOR ANY PARTICULAR PURPOSE OF THE TEST, ARE HEREBY EXCLUDED.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 INDEMNIFICATION AND LIMITATION OF LIABILITY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Indemnification by Veracyte</w:t>
      </w:r>
      <w:r>
        <w:rPr>
          <w:rFonts w:ascii="Arial" w:cs="Arial" w:eastAsia="Arial" w:hAnsi="Arial"/>
          <w:sz w:val="16"/>
          <w:szCs w:val="16"/>
          <w:color w:val="auto"/>
        </w:rPr>
        <w:t>.</w:t>
      </w:r>
    </w:p>
    <w:p>
      <w:pPr>
        <w:spacing w:after="0" w:line="225" w:lineRule="exact"/>
        <w:rPr>
          <w:sz w:val="20"/>
          <w:szCs w:val="20"/>
          <w:color w:val="auto"/>
        </w:rPr>
      </w:pPr>
    </w:p>
    <w:p>
      <w:pPr>
        <w:ind w:left="1300" w:right="40" w:hanging="647"/>
        <w:spacing w:after="0" w:line="286" w:lineRule="auto"/>
        <w:tabs>
          <w:tab w:leader="none" w:pos="12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Veracyte shall defend, indemnify and hold Genzyme, its Affiliates and their respective officers, directors and employees harmless from and against any liabilities, charges, costs, or expenses, including reasonable attorneys’ fees and settlement payments (collectively, “</w:t>
      </w:r>
      <w:r>
        <w:rPr>
          <w:rFonts w:ascii="Arial" w:cs="Arial" w:eastAsia="Arial" w:hAnsi="Arial"/>
          <w:sz w:val="16"/>
          <w:szCs w:val="16"/>
          <w:u w:val="single" w:color="auto"/>
          <w:color w:val="auto"/>
        </w:rPr>
        <w:t>Liabilities</w:t>
      </w:r>
      <w:r>
        <w:rPr>
          <w:rFonts w:ascii="Arial" w:cs="Arial" w:eastAsia="Arial" w:hAnsi="Arial"/>
          <w:sz w:val="16"/>
          <w:szCs w:val="16"/>
          <w:color w:val="auto"/>
        </w:rPr>
        <w:t>”) that arise from any claim, lawsuit or other action by a third party resulting from (i) the promotion, marketing or detailing of the Test by Veracyte or its Affiliates, (ii) the safety or effectiveness of the Test and/or the research, development, manufacture, commercialization, distribution, promotion, marketing, detailing or importation of the Test by Veracyte or its Affiliates, (iii) performance of the Test including, without limitation, the reporting of test results to physicians or patients, (iv) a breach by Veracyte of its covenants or the terms and conditions of this Agreement or any negligence or misconduct of Veracyte or its Affiliates or their respective employees, agents or subcontractors, (v) the infringement or other violation of any third party trademarks with respect to the use by Genzyme of the Veracyte Trademarks in accordance with the terms and conditions of this Agreement, (vi) an inaccuracy of any of Veracyte’s representations and warranties under this Agreement, (vii) an actual or alleged infringement of a patent, trademark or other Intellectual Property Right of a third party, (viii) the non-conformance of Collection Kits supplied to Genzyme pursuant to this Agreement with Veracyte’s standard warranty or any other warranty that Genzyme may be unable to disclaim as a matter of local law or (ix) product liability claims arising out of Genzyme’s distribution of Collection Kits in the Comprehensive Services Territory. The foregoing obligations shall not apply to the extent that such Liabilities result from any gross negligence or willful misconduct of Genzyme or its Affiliates.</w:t>
      </w:r>
    </w:p>
    <w:p>
      <w:pPr>
        <w:spacing w:after="0" w:line="172" w:lineRule="exact"/>
        <w:rPr>
          <w:sz w:val="20"/>
          <w:szCs w:val="20"/>
          <w:color w:val="auto"/>
        </w:rPr>
      </w:pPr>
    </w:p>
    <w:p>
      <w:pPr>
        <w:ind w:left="1300" w:right="160" w:hanging="647"/>
        <w:spacing w:after="0" w:line="277" w:lineRule="auto"/>
        <w:tabs>
          <w:tab w:leader="none" w:pos="1280" w:val="left"/>
        </w:tabs>
        <w:rPr>
          <w:sz w:val="20"/>
          <w:szCs w:val="20"/>
          <w:color w:val="auto"/>
        </w:rPr>
      </w:pPr>
      <w:r>
        <w:rPr>
          <w:rFonts w:ascii="Arial" w:cs="Arial" w:eastAsia="Arial" w:hAnsi="Arial"/>
          <w:sz w:val="18"/>
          <w:szCs w:val="18"/>
          <w:color w:val="auto"/>
        </w:rPr>
        <w:t>10.1.2</w:t>
        <w:tab/>
        <w:t>Genzyme shall promptly notify Veracyte of any liability in respect of which Genzyme intends to claim such indemnification, and Veracyte shall assume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721" w:gutter="0" w:footer="0" w:header="0"/>
        </w:sectPr>
      </w:pPr>
    </w:p>
    <w:bookmarkStart w:id="150" w:name="page151"/>
    <w:bookmarkEnd w:id="150"/>
    <w:p>
      <w:pPr>
        <w:ind w:left="1300" w:right="100"/>
        <w:spacing w:after="0" w:line="293" w:lineRule="auto"/>
        <w:rPr>
          <w:sz w:val="20"/>
          <w:szCs w:val="20"/>
          <w:color w:val="auto"/>
        </w:rPr>
      </w:pPr>
      <w:r>
        <w:rPr>
          <w:rFonts w:ascii="Arial" w:cs="Arial" w:eastAsia="Arial" w:hAnsi="Arial"/>
          <w:sz w:val="16"/>
          <w:szCs w:val="16"/>
          <w:color w:val="auto"/>
        </w:rPr>
        <w:t xml:space="preserve">have exclusive control over the defense thereof with counsel selected by Veracyte;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Genzyme shall have the right to fully participate in any such action or proceeding and to retain its own counsel, at its own expense, if representation of Genzyme by the counsel retained by Veracyte would be inappropriate under applicable standards of professional conduct due to actual or potential differing interests between Genzyme and Veracyte or any other party represented by such counsel in such proceedings. The failure to deliver notice to Veracyte within a reasonable time after the commencement of such action shall relieve Veracyte of its indemnification obligations hereunder only to the extent such failure is prejudicial to Veracyte’s ability to defend such action.</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Indemnification by Genzyme</w:t>
      </w:r>
      <w:r>
        <w:rPr>
          <w:rFonts w:ascii="Arial" w:cs="Arial" w:eastAsia="Arial" w:hAnsi="Arial"/>
          <w:sz w:val="16"/>
          <w:szCs w:val="16"/>
          <w:color w:val="auto"/>
        </w:rPr>
        <w:t>.</w:t>
      </w:r>
    </w:p>
    <w:p>
      <w:pPr>
        <w:spacing w:after="0" w:line="225" w:lineRule="exact"/>
        <w:rPr>
          <w:sz w:val="20"/>
          <w:szCs w:val="20"/>
          <w:color w:val="auto"/>
        </w:rPr>
      </w:pPr>
    </w:p>
    <w:p>
      <w:pPr>
        <w:ind w:left="1300" w:right="40" w:hanging="647"/>
        <w:spacing w:after="0" w:line="270" w:lineRule="auto"/>
        <w:tabs>
          <w:tab w:leader="none" w:pos="12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Genzyme shall defend, indemnify and hold Veracyte, its Affiliates and their respective officers, directors and employees harmless from and against any Liabilities that arise from any claim, lawsuit or other action by a third party resulting from (i) the promotion, marketing or detailing of the Test by Genzyme or its Affiliates, (ii) a breach by Genzyme of its covenants or the terms and conditions of this Agreement or any negligence or misconduct of Genzyme or its Affiliates or their respective employees, agents or subcontractors, (iii) an inaccuracy of any of Genzyme’s representations and warranties under this Agreement or (iv) the infringement or other violation of any third party trademarks with respect to the use by Veracyte of the Genzyme Trademarks in accordance with the terms and conditions of this Agreement. The foregoing obligations shall not apply to the extent that such Liabilities result from the gross negligence or willful misconduct of Veracyte or its Affiliates. For the avoidance of doubt, Genzyme will not indemnify Veracyte and its Affiliates for any Liabilities resulting from an actual or alleged infringement of a patent, trademark or other Intellectual Property Right of a third party related to making, using or processing the Test.</w:t>
      </w:r>
    </w:p>
    <w:p>
      <w:pPr>
        <w:spacing w:after="0" w:line="178" w:lineRule="exact"/>
        <w:rPr>
          <w:sz w:val="20"/>
          <w:szCs w:val="20"/>
          <w:color w:val="auto"/>
        </w:rPr>
      </w:pPr>
    </w:p>
    <w:p>
      <w:pPr>
        <w:ind w:left="1300" w:hanging="647"/>
        <w:spacing w:after="0" w:line="291" w:lineRule="auto"/>
        <w:tabs>
          <w:tab w:leader="none" w:pos="12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 xml:space="preserve">Veracyte shall promptly notify Genzyme of any liability in respect of which Veracyte intends to claim such indemnification, and Genzyme shall assume and have exclusive control over the defense thereof with counsel selected by Genzyme;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Veracyte shall have the right to fully participate in any such action or proceeding and to retain its own counsel, at its own expense, if representation of Veracyte by the counsel retained by Genzyme would be inappropriate under applicable standards of professional conduct due to actual or potential differing interests between Veracyte and Genzyme or any other party represented by such counsel in such proceedings. The failure to deliver notice to Genzyme within a reasonable time after the commencement of such action shall relieve Genzyme of its indemnification obligations hereunder only to the extent such failure is prejudicial to Genzyme’s ability to defend such action.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jc w:val="right"/>
        <w:ind w:left="660" w:right="280"/>
        <w:spacing w:after="0" w:line="342" w:lineRule="auto"/>
        <w:rPr>
          <w:sz w:val="20"/>
          <w:szCs w:val="20"/>
          <w:color w:val="auto"/>
        </w:rPr>
      </w:pPr>
      <w:r>
        <w:rPr>
          <w:rFonts w:ascii="Arial" w:cs="Arial" w:eastAsia="Arial" w:hAnsi="Arial"/>
          <w:sz w:val="16"/>
          <w:szCs w:val="16"/>
          <w:color w:val="auto"/>
        </w:rPr>
        <w:t>10.3.1  Neither party shall be liable to the other party for any special, incidental, indirect or consequential damages including, but not limited to, loss of profit, loss of savings, loss of business, loss or contracts, whether arising from negligence, breach of contract or in any other way.</w:t>
      </w:r>
    </w:p>
    <w:p>
      <w:pPr>
        <w:spacing w:after="0" w:line="124" w:lineRule="exact"/>
        <w:rPr>
          <w:sz w:val="20"/>
          <w:szCs w:val="20"/>
          <w:color w:val="auto"/>
        </w:rPr>
      </w:pPr>
    </w:p>
    <w:p>
      <w:pPr>
        <w:jc w:val="both"/>
        <w:ind w:left="1300" w:right="240" w:hanging="647"/>
        <w:spacing w:after="0" w:line="264" w:lineRule="auto"/>
        <w:tabs>
          <w:tab w:leader="none" w:pos="1280" w:val="left"/>
        </w:tabs>
        <w:rPr>
          <w:sz w:val="20"/>
          <w:szCs w:val="20"/>
          <w:color w:val="auto"/>
        </w:rPr>
      </w:pPr>
      <w:r>
        <w:rPr>
          <w:rFonts w:ascii="Arial" w:cs="Arial" w:eastAsia="Arial" w:hAnsi="Arial"/>
          <w:sz w:val="18"/>
          <w:szCs w:val="18"/>
          <w:color w:val="auto"/>
        </w:rPr>
        <w:t>10.3.2</w:t>
        <w:tab/>
        <w:t>The limitations set forth in Section 10.3.1 shall not apply with respect to the liability of either party for death, material personal injury or property damage, which has been determined by a court of final adjudication to have been proximately caused by the gross negligence or willful misconduct of such party or its Affiliates.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5" w:lineRule="exact"/>
        <w:rPr>
          <w:sz w:val="20"/>
          <w:szCs w:val="20"/>
          <w:color w:val="auto"/>
        </w:rPr>
      </w:pPr>
    </w:p>
    <w:p>
      <w:pPr>
        <w:ind w:left="1300" w:right="220" w:hanging="647"/>
        <w:spacing w:after="0" w:line="277" w:lineRule="auto"/>
        <w:tabs>
          <w:tab w:leader="none" w:pos="1280" w:val="left"/>
        </w:tabs>
        <w:rPr>
          <w:sz w:val="20"/>
          <w:szCs w:val="20"/>
          <w:color w:val="auto"/>
        </w:rPr>
      </w:pPr>
      <w:r>
        <w:rPr>
          <w:rFonts w:ascii="Arial" w:cs="Arial" w:eastAsia="Arial" w:hAnsi="Arial"/>
          <w:sz w:val="18"/>
          <w:szCs w:val="18"/>
          <w:color w:val="auto"/>
        </w:rPr>
        <w:t>10.4.1</w:t>
        <w:tab/>
        <w:t>Each party possesses and will maintain commercially reasonable amounts of insurance from a reputable insurance carrier (or by means of self-insurance) sufficient to cover its risks under this Agreement.</w:t>
      </w:r>
    </w:p>
    <w:p>
      <w:pPr>
        <w:spacing w:after="0" w:line="170"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Arial" w:cs="Arial" w:eastAsia="Arial" w:hAnsi="Arial"/>
          <w:sz w:val="18"/>
          <w:szCs w:val="18"/>
          <w:color w:val="auto"/>
        </w:rPr>
        <w:t>10.4.2</w:t>
        <w:tab/>
        <w:t>For the avoidance of doubt, Veracyte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Veracyte shall name Genzyme as an “additional insured” and provide Genzyme with a certificate of insurance promptly upon Genzyme’s request.</w:t>
      </w:r>
    </w:p>
    <w:p>
      <w:pPr>
        <w:spacing w:after="0" w:line="187" w:lineRule="exact"/>
        <w:rPr>
          <w:sz w:val="20"/>
          <w:szCs w:val="20"/>
          <w:color w:val="auto"/>
        </w:rPr>
      </w:pPr>
    </w:p>
    <w:p>
      <w:pPr>
        <w:ind w:left="1300" w:right="180" w:hanging="647"/>
        <w:spacing w:after="0" w:line="259" w:lineRule="auto"/>
        <w:tabs>
          <w:tab w:leader="none" w:pos="1280" w:val="left"/>
        </w:tabs>
        <w:rPr>
          <w:sz w:val="20"/>
          <w:szCs w:val="20"/>
          <w:color w:val="auto"/>
        </w:rPr>
      </w:pPr>
      <w:r>
        <w:rPr>
          <w:rFonts w:ascii="Arial" w:cs="Arial" w:eastAsia="Arial" w:hAnsi="Arial"/>
          <w:sz w:val="18"/>
          <w:szCs w:val="18"/>
          <w:color w:val="auto"/>
        </w:rPr>
        <w:t>10.4.3</w:t>
        <w:tab/>
        <w:t>For the avoidance of doubt, Genzyme is required to maintain an active insurance policy covering general commercial liability, contractual liability, personal and advertising injury, errors and omissions, and product liability claims, with limits of not less than $10,000,000 (ten million dollars) per occurrence and $10,000,000 (ten million dollars) aggregate. Genzyme shall name Veracyte as an “additional insured” and provide Veracyte with a certificate of insurance promptly upon Veracyte’s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 TERM AND TERMINATION</w:t>
      </w:r>
    </w:p>
    <w:p>
      <w:pPr>
        <w:spacing w:after="0" w:line="229" w:lineRule="exact"/>
        <w:rPr>
          <w:sz w:val="20"/>
          <w:szCs w:val="20"/>
          <w:color w:val="auto"/>
        </w:rPr>
      </w:pPr>
    </w:p>
    <w:p>
      <w:pPr>
        <w:ind w:left="640" w:right="300" w:hanging="647"/>
        <w:spacing w:after="0" w:line="259"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continue in force for a period of five (5) years (the “</w:t>
      </w:r>
      <w:r>
        <w:rPr>
          <w:rFonts w:ascii="Arial" w:cs="Arial" w:eastAsia="Arial" w:hAnsi="Arial"/>
          <w:sz w:val="18"/>
          <w:szCs w:val="18"/>
          <w:u w:val="single" w:color="auto"/>
          <w:color w:val="auto"/>
        </w:rPr>
        <w:t>Initial Term</w:t>
      </w:r>
      <w:r>
        <w:rPr>
          <w:rFonts w:ascii="Arial" w:cs="Arial" w:eastAsia="Arial" w:hAnsi="Arial"/>
          <w:sz w:val="18"/>
          <w:szCs w:val="18"/>
          <w:color w:val="auto"/>
        </w:rPr>
        <w:t>”). Upon</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expiry of the Initial Term, this Agreement shall terminate without any notice of termination being required, unless the parties agree in writing to extend the Agreement for an additional period to be agreed upon in writing by the parties (the “</w:t>
      </w:r>
      <w:r>
        <w:rPr>
          <w:rFonts w:ascii="Arial" w:cs="Arial" w:eastAsia="Arial" w:hAnsi="Arial"/>
          <w:sz w:val="18"/>
          <w:szCs w:val="18"/>
          <w:u w:val="single" w:color="auto"/>
          <w:color w:val="auto"/>
        </w:rPr>
        <w:t>Extended Term</w:t>
      </w:r>
      <w:r>
        <w:rPr>
          <w:rFonts w:ascii="Arial" w:cs="Arial" w:eastAsia="Arial" w:hAnsi="Arial"/>
          <w:sz w:val="18"/>
          <w:szCs w:val="18"/>
          <w:color w:val="auto"/>
        </w:rPr>
        <w:t>”). At least six (6) months prior to expiry of the Initial Term, the parties will discuss the desirability of an Extended Term.</w:t>
      </w:r>
    </w:p>
    <w:p>
      <w:pPr>
        <w:spacing w:after="0" w:line="187" w:lineRule="exact"/>
        <w:rPr>
          <w:sz w:val="20"/>
          <w:szCs w:val="20"/>
          <w:color w:val="auto"/>
        </w:rPr>
      </w:pPr>
    </w:p>
    <w:p>
      <w:pPr>
        <w:ind w:left="640" w:right="60" w:hanging="647"/>
        <w:spacing w:after="0" w:line="264"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Termination for Breach</w:t>
      </w:r>
      <w:r>
        <w:rPr>
          <w:rFonts w:ascii="Arial" w:cs="Arial" w:eastAsia="Arial" w:hAnsi="Arial"/>
          <w:sz w:val="18"/>
          <w:szCs w:val="18"/>
          <w:color w:val="auto"/>
        </w:rPr>
        <w:t>. Without prejudice to the rights and remedies of Veracyte and Genzyme under this Agreement, either party may terminate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immediately by written notice to the other party if the other party either commits a breach of this Agreement or otherwise defaults in the performance of any of its duties or obligations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under this Agreement and such breach is not caused by a force majeure (as described in Section 12.3) and (i) such breach or default is material and curing such breach or default is temporarily or permanently impossible, or (ii) in all other cases if the breach is not remedied within thirty (30) days after receipt of written notice of termination pursuant to this Section 11.2.</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Either party may terminate this Agreement effective immediately by written notice to the other party if the other party:</w:t>
      </w:r>
    </w:p>
    <w:p>
      <w:pPr>
        <w:sectPr>
          <w:pgSz w:w="11900" w:h="16838" w:orient="portrait"/>
          <w:cols w:equalWidth="0" w:num="1">
            <w:col w:w="11420"/>
          </w:cols>
          <w:pgMar w:left="240" w:top="125" w:right="239" w:bottom="0" w:gutter="0" w:footer="0" w:header="0"/>
        </w:sectPr>
      </w:pPr>
    </w:p>
    <w:bookmarkStart w:id="151" w:name="page152"/>
    <w:bookmarkEnd w:id="151"/>
    <w:p>
      <w:pPr>
        <w:ind w:left="1940" w:hanging="635"/>
        <w:spacing w:after="0"/>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becomes insolvent, or has filed a request to be declared insolvent, or has been granted moratorium on payment;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makes an assignment for the benefit of creditors;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ceases to do business;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commences any dissolution, liquidation or winding up;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has a receiver, trustee administrator or examiner or liquidator appointed over all or a substantial part of its assets.</w:t>
      </w:r>
    </w:p>
    <w:p>
      <w:pPr>
        <w:spacing w:after="0" w:line="225" w:lineRule="exact"/>
        <w:rPr>
          <w:sz w:val="20"/>
          <w:szCs w:val="20"/>
          <w:color w:val="auto"/>
        </w:rPr>
      </w:pPr>
    </w:p>
    <w:p>
      <w:pPr>
        <w:ind w:left="640" w:right="20" w:hanging="647"/>
        <w:spacing w:after="0" w:line="255"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Termination Upon Change of Control</w:t>
      </w:r>
      <w:r>
        <w:rPr>
          <w:rFonts w:ascii="Arial" w:cs="Arial" w:eastAsia="Arial" w:hAnsi="Arial"/>
          <w:sz w:val="18"/>
          <w:szCs w:val="18"/>
          <w:color w:val="auto"/>
        </w:rPr>
        <w:t>. Either party will have the right to immediately terminate this Agreement by written notice to the other party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in the event of a Change of Control of the other party. A party shall provide notice to the other party not less than sixty (60) days prior to its proposed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party undergoing the Change of Control is advised by its legal counsel that it is precluded from providing the other party with this prior notice under applicable laws or regulations, then the party undergoing the Change of Control shall deliver such notice immediately after consummation of the Change of Control. The above notice shall contain the following information regarding the person or entity that will assume control:</w:t>
      </w:r>
    </w:p>
    <w:p>
      <w:pPr>
        <w:spacing w:after="0" w:line="193" w:lineRule="exact"/>
        <w:rPr>
          <w:sz w:val="20"/>
          <w:szCs w:val="20"/>
          <w:color w:val="auto"/>
        </w:rPr>
      </w:pPr>
    </w:p>
    <w:p>
      <w:pPr>
        <w:ind w:left="1940" w:hanging="635"/>
        <w:spacing w:after="0"/>
        <w:tabs>
          <w:tab w:leader="none" w:pos="1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 and legal composition of the person or entity;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information regarding such person or entity;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general description of the transfer transaction.</w:t>
      </w:r>
    </w:p>
    <w:p>
      <w:pPr>
        <w:spacing w:after="0" w:line="225" w:lineRule="exact"/>
        <w:rPr>
          <w:sz w:val="20"/>
          <w:szCs w:val="20"/>
          <w:color w:val="auto"/>
        </w:rPr>
      </w:pPr>
    </w:p>
    <w:p>
      <w:pPr>
        <w:ind w:left="680" w:right="640" w:firstLine="11"/>
        <w:spacing w:after="0" w:line="277" w:lineRule="auto"/>
        <w:rPr>
          <w:sz w:val="20"/>
          <w:szCs w:val="20"/>
          <w:color w:val="auto"/>
        </w:rPr>
      </w:pPr>
      <w:r>
        <w:rPr>
          <w:rFonts w:ascii="Arial" w:cs="Arial" w:eastAsia="Arial" w:hAnsi="Arial"/>
          <w:sz w:val="18"/>
          <w:szCs w:val="18"/>
          <w:color w:val="auto"/>
        </w:rPr>
        <w:t>In addition, the party that is subject to the Change of Control shall provide the other party with such other information as may be reasonably requested by that party after the receipt of such notice.</w:t>
      </w:r>
    </w:p>
    <w:p>
      <w:pPr>
        <w:spacing w:after="0" w:line="170" w:lineRule="exact"/>
        <w:rPr>
          <w:sz w:val="20"/>
          <w:szCs w:val="20"/>
          <w:color w:val="auto"/>
        </w:rPr>
      </w:pPr>
    </w:p>
    <w:p>
      <w:pPr>
        <w:ind w:left="640" w:right="20" w:hanging="647"/>
        <w:spacing w:after="0" w:line="238" w:lineRule="auto"/>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Except as may be provided otherwise in</w:t>
      </w:r>
      <w:r>
        <w:rPr>
          <w:rFonts w:ascii="Arial" w:cs="Arial" w:eastAsia="Arial" w:hAnsi="Arial"/>
          <w:sz w:val="18"/>
          <w:szCs w:val="18"/>
          <w:u w:val="single" w:color="auto"/>
          <w:color w:val="auto"/>
        </w:rPr>
        <w:t xml:space="preserve"> Exhibit A</w:t>
      </w:r>
      <w:r>
        <w:rPr>
          <w:rFonts w:ascii="Arial" w:cs="Arial" w:eastAsia="Arial" w:hAnsi="Arial"/>
          <w:sz w:val="18"/>
          <w:szCs w:val="18"/>
          <w:color w:val="auto"/>
        </w:rPr>
        <w:t>, beginning on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Effective Date,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either party will have the right to terminate this Agreement on a Country-by-Country basis without cause: (i) by giving the other party six (6) months prior written notice and (ii) if such termination is by Veracyte, by paying the termination fee, if any, provided in </w:t>
      </w:r>
      <w:r>
        <w:rPr>
          <w:rFonts w:ascii="Arial" w:cs="Arial" w:eastAsia="Arial" w:hAnsi="Arial"/>
          <w:sz w:val="18"/>
          <w:szCs w:val="18"/>
          <w:u w:val="single" w:color="auto"/>
          <w:color w:val="auto"/>
        </w:rPr>
        <w:t>Exhibit A</w:t>
      </w:r>
      <w:r>
        <w:rPr>
          <w:rFonts w:ascii="Arial" w:cs="Arial" w:eastAsia="Arial" w:hAnsi="Arial"/>
          <w:sz w:val="18"/>
          <w:szCs w:val="18"/>
          <w:color w:val="auto"/>
        </w:rPr>
        <w:t>. For the purposes of clarity, it is the understanding of the parties that during the notice period described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above, the rights and obligations of the parties shall continue in full force and effect until the applicable date of termination of the Agreement.</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Termination by Genzyme on a Country-by-Country Basis for Regulatory Action</w:t>
      </w:r>
      <w:r>
        <w:rPr>
          <w:rFonts w:ascii="Arial" w:cs="Arial" w:eastAsia="Arial" w:hAnsi="Arial"/>
          <w:sz w:val="16"/>
          <w:szCs w:val="16"/>
          <w:color w:val="auto"/>
        </w:rPr>
        <w:t>.</w:t>
      </w:r>
    </w:p>
    <w:p>
      <w:pPr>
        <w:spacing w:after="0" w:line="225" w:lineRule="exact"/>
        <w:rPr>
          <w:sz w:val="20"/>
          <w:szCs w:val="20"/>
          <w:color w:val="auto"/>
        </w:rPr>
      </w:pPr>
    </w:p>
    <w:p>
      <w:pPr>
        <w:jc w:val="center"/>
        <w:ind w:left="620"/>
        <w:spacing w:after="0"/>
        <w:tabs>
          <w:tab w:leader="none" w:pos="160" w:val="left"/>
        </w:tabs>
        <w:rPr>
          <w:sz w:val="20"/>
          <w:szCs w:val="20"/>
          <w:color w:val="auto"/>
        </w:rPr>
      </w:pPr>
      <w:r>
        <w:rPr>
          <w:rFonts w:ascii="Arial" w:cs="Arial" w:eastAsia="Arial" w:hAnsi="Arial"/>
          <w:sz w:val="18"/>
          <w:szCs w:val="18"/>
          <w:color w:val="auto"/>
        </w:rPr>
        <w:t>11.6.1</w:t>
      </w:r>
      <w:r>
        <w:rPr>
          <w:sz w:val="20"/>
          <w:szCs w:val="20"/>
          <w:color w:val="auto"/>
        </w:rPr>
        <w:tab/>
      </w:r>
      <w:r>
        <w:rPr>
          <w:rFonts w:ascii="Arial" w:cs="Arial" w:eastAsia="Arial" w:hAnsi="Arial"/>
          <w:sz w:val="16"/>
          <w:szCs w:val="16"/>
          <w:color w:val="auto"/>
        </w:rPr>
        <w:t>Within sixty (60) days following the occurrence of a Country Regulatory Event, Genzyme may provide Veracyte with written notice of such</w:t>
      </w:r>
    </w:p>
    <w:p>
      <w:pPr>
        <w:spacing w:after="0" w:line="23" w:lineRule="exact"/>
        <w:rPr>
          <w:sz w:val="20"/>
          <w:szCs w:val="20"/>
          <w:color w:val="auto"/>
        </w:rPr>
      </w:pPr>
    </w:p>
    <w:p>
      <w:pPr>
        <w:ind w:left="1300"/>
        <w:spacing w:after="0" w:line="252" w:lineRule="auto"/>
        <w:rPr>
          <w:sz w:val="20"/>
          <w:szCs w:val="20"/>
          <w:color w:val="auto"/>
        </w:rPr>
      </w:pPr>
      <w:r>
        <w:rPr>
          <w:rFonts w:ascii="Arial" w:cs="Arial" w:eastAsia="Arial" w:hAnsi="Arial"/>
          <w:sz w:val="18"/>
          <w:szCs w:val="18"/>
          <w:color w:val="auto"/>
        </w:rPr>
        <w:t>Country Regulatory Event (a “</w:t>
      </w:r>
      <w:r>
        <w:rPr>
          <w:rFonts w:ascii="Arial" w:cs="Arial" w:eastAsia="Arial" w:hAnsi="Arial"/>
          <w:sz w:val="18"/>
          <w:szCs w:val="18"/>
          <w:u w:val="single" w:color="auto"/>
          <w:color w:val="auto"/>
        </w:rPr>
        <w:t>CRE Notice</w:t>
      </w:r>
      <w:r>
        <w:rPr>
          <w:rFonts w:ascii="Arial" w:cs="Arial" w:eastAsia="Arial" w:hAnsi="Arial"/>
          <w:sz w:val="18"/>
          <w:szCs w:val="18"/>
          <w:color w:val="auto"/>
        </w:rPr>
        <w:t>”). Such CRE Notice shall provide details regarding the event that constitutes a Country Regulatory Event, the date of such occurrence and the basis for why any Country Regulatory Event could constitute a Qualified Country Regulatory Event. Upon the receipt of a CRE Notice, Veracyte will have six (6) months to work in good faith to resolve, cure, or abate such Country Regulatory Event to the reasonable satisfaction of Genzyme. If Veracyte is unable to resolve, cure or abate such Country Regulatory Event during such six (6) month period and such Country Regulatory Event constitutes a Qualified Country Regulatory Event, then Genzyme will have the right, no later than eight (8) months following the occurrence of such a Qualified Country Regulatory Event, to terminate any further rights and obligations under this Agreement with regards to such Country, with thirty (30) days prior written notice to Veracyte (a “</w:t>
      </w:r>
      <w:r>
        <w:rPr>
          <w:rFonts w:ascii="Arial" w:cs="Arial" w:eastAsia="Arial" w:hAnsi="Arial"/>
          <w:sz w:val="18"/>
          <w:szCs w:val="18"/>
          <w:u w:val="single" w:color="auto"/>
          <w:color w:val="auto"/>
        </w:rPr>
        <w:t>Country Regulatory Termination</w:t>
      </w:r>
      <w:r>
        <w:rPr>
          <w:rFonts w:ascii="Arial" w:cs="Arial" w:eastAsia="Arial" w:hAnsi="Arial"/>
          <w:sz w:val="18"/>
          <w:szCs w:val="18"/>
          <w:color w:val="auto"/>
        </w:rPr>
        <w:t>”).</w:t>
      </w:r>
    </w:p>
    <w:p>
      <w:pPr>
        <w:spacing w:after="0" w:line="192" w:lineRule="exact"/>
        <w:rPr>
          <w:sz w:val="20"/>
          <w:szCs w:val="20"/>
          <w:color w:val="auto"/>
        </w:rPr>
      </w:pPr>
    </w:p>
    <w:p>
      <w:pPr>
        <w:ind w:left="1280" w:right="60" w:hanging="647"/>
        <w:spacing w:after="0" w:line="264" w:lineRule="auto"/>
        <w:tabs>
          <w:tab w:leader="none" w:pos="1260" w:val="left"/>
        </w:tabs>
        <w:rPr>
          <w:sz w:val="20"/>
          <w:szCs w:val="20"/>
          <w:color w:val="auto"/>
        </w:rPr>
      </w:pPr>
      <w:r>
        <w:rPr>
          <w:rFonts w:ascii="Arial" w:cs="Arial" w:eastAsia="Arial" w:hAnsi="Arial"/>
          <w:sz w:val="18"/>
          <w:szCs w:val="18"/>
          <w:color w:val="auto"/>
        </w:rPr>
        <w:t>11.6.2</w:t>
        <w:tab/>
        <w:t>For the purposes of clarity, it is the understanding of the parties that during any notice period described above prior to the effective date of a Country Regulatory Termination, the rights and obligations of the parties shall continue in full force and effect until the applicable date of termination rights and obligations regarding such Country.</w:t>
      </w:r>
    </w:p>
    <w:p>
      <w:pPr>
        <w:spacing w:after="0" w:line="181" w:lineRule="exact"/>
        <w:rPr>
          <w:sz w:val="20"/>
          <w:szCs w:val="20"/>
          <w:color w:val="auto"/>
        </w:rPr>
      </w:pPr>
    </w:p>
    <w:p>
      <w:pPr>
        <w:ind w:left="1280" w:right="80" w:hanging="647"/>
        <w:spacing w:after="0" w:line="264" w:lineRule="auto"/>
        <w:tabs>
          <w:tab w:leader="none" w:pos="1260" w:val="left"/>
        </w:tabs>
        <w:rPr>
          <w:sz w:val="20"/>
          <w:szCs w:val="20"/>
          <w:color w:val="auto"/>
        </w:rPr>
      </w:pPr>
      <w:r>
        <w:rPr>
          <w:rFonts w:ascii="Arial" w:cs="Arial" w:eastAsia="Arial" w:hAnsi="Arial"/>
          <w:sz w:val="18"/>
          <w:szCs w:val="18"/>
          <w:color w:val="auto"/>
        </w:rPr>
        <w:t>11.6.3</w:t>
        <w:tab/>
        <w:t>If Genzyme elects to exercise such Country Regulatory Termination right with regards to a Country, no further CS Royalties, DPO Promotion Fees or LC Promotion Fees, as applicable, will be payable for Net Revenues achieved in such Country after the effective date of the Country Regulatory Termination for such Country.</w:t>
      </w:r>
    </w:p>
    <w:p>
      <w:pPr>
        <w:spacing w:after="0" w:line="181" w:lineRule="exact"/>
        <w:rPr>
          <w:sz w:val="20"/>
          <w:szCs w:val="20"/>
          <w:color w:val="auto"/>
        </w:rPr>
      </w:pPr>
    </w:p>
    <w:p>
      <w:pPr>
        <w:ind w:left="1280" w:right="660" w:hanging="647"/>
        <w:spacing w:after="0" w:line="277" w:lineRule="auto"/>
        <w:tabs>
          <w:tab w:leader="none" w:pos="1260" w:val="left"/>
        </w:tabs>
        <w:rPr>
          <w:sz w:val="20"/>
          <w:szCs w:val="20"/>
          <w:color w:val="auto"/>
        </w:rPr>
      </w:pPr>
      <w:r>
        <w:rPr>
          <w:rFonts w:ascii="Arial" w:cs="Arial" w:eastAsia="Arial" w:hAnsi="Arial"/>
          <w:sz w:val="18"/>
          <w:szCs w:val="18"/>
          <w:color w:val="auto"/>
        </w:rPr>
        <w:t>11.6.4</w:t>
        <w:tab/>
        <w:t>Any Country for which Genzyme terminates its rights and obligations pursuant to this Section 11.6 shall be automatically become a Removed Country as of the effective date of such termination.</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11.6.5</w:t>
      </w:r>
      <w:r>
        <w:rPr>
          <w:sz w:val="20"/>
          <w:szCs w:val="20"/>
          <w:color w:val="auto"/>
        </w:rPr>
        <w:tab/>
      </w:r>
      <w:r>
        <w:rPr>
          <w:rFonts w:ascii="Arial" w:cs="Arial" w:eastAsia="Arial" w:hAnsi="Arial"/>
          <w:sz w:val="16"/>
          <w:szCs w:val="16"/>
          <w:color w:val="auto"/>
        </w:rPr>
        <w:t>For purposes of this Section 11.6:</w:t>
      </w:r>
    </w:p>
    <w:p>
      <w:pPr>
        <w:spacing w:after="0" w:line="225" w:lineRule="exact"/>
        <w:rPr>
          <w:sz w:val="20"/>
          <w:szCs w:val="20"/>
          <w:color w:val="auto"/>
        </w:rPr>
      </w:pPr>
    </w:p>
    <w:p>
      <w:pPr>
        <w:ind w:left="1960" w:right="40" w:hanging="655"/>
        <w:spacing w:after="0" w:line="257" w:lineRule="auto"/>
        <w:tabs>
          <w:tab w:leader="none" w:pos="19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Country Regulatory Event</w:t>
      </w:r>
      <w:r>
        <w:rPr>
          <w:rFonts w:ascii="Arial" w:cs="Arial" w:eastAsia="Arial" w:hAnsi="Arial"/>
          <w:sz w:val="18"/>
          <w:szCs w:val="18"/>
          <w:color w:val="auto"/>
        </w:rPr>
        <w:t>” shall mean, with respect to any Country, the occurrence of any of the following: (1) any Regulatory Authority in that Country pursuing an enforcement action (i) against Veracyte or its Affiliates (to the extent that such Affiliates are offering the Test pursuant this Agreement in such Country) that impacts the ability to commercialize the Test or (ii) directly related to the Test; or (2) any Regulatory Authority in that Country issuing a warning letter (i) against Veracyte or its Affiliates (to the extent that such Affiliates are providing services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160"/>
        <w:spacing w:after="0" w:line="277" w:lineRule="auto"/>
        <w:rPr>
          <w:sz w:val="20"/>
          <w:szCs w:val="20"/>
          <w:color w:val="auto"/>
        </w:rPr>
      </w:pPr>
      <w:r>
        <w:rPr>
          <w:rFonts w:ascii="Arial" w:cs="Arial" w:eastAsia="Arial" w:hAnsi="Arial"/>
          <w:sz w:val="18"/>
          <w:szCs w:val="18"/>
          <w:color w:val="auto"/>
        </w:rPr>
        <w:t>Genzyme pursuant to this Agreement in such Country) that impacts the ability to commercialize the Test or (ii) directly related to the Test; and</w:t>
      </w:r>
    </w:p>
    <w:p>
      <w:pPr>
        <w:sectPr>
          <w:pgSz w:w="11900" w:h="16838" w:orient="portrait"/>
          <w:cols w:equalWidth="0" w:num="1">
            <w:col w:w="11420"/>
          </w:cols>
          <w:pgMar w:left="240" w:top="125" w:right="239" w:bottom="0" w:gutter="0" w:footer="0" w:header="0"/>
        </w:sectPr>
      </w:pPr>
    </w:p>
    <w:bookmarkStart w:id="152" w:name="page153"/>
    <w:bookmarkEnd w:id="152"/>
    <w:p>
      <w:pPr>
        <w:ind w:left="1960" w:hanging="655"/>
        <w:spacing w:after="0" w:line="257" w:lineRule="auto"/>
        <w:tabs>
          <w:tab w:leader="none" w:pos="19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Country Regulatory Event</w:t>
      </w:r>
      <w:r>
        <w:rPr>
          <w:rFonts w:ascii="Arial" w:cs="Arial" w:eastAsia="Arial" w:hAnsi="Arial"/>
          <w:sz w:val="18"/>
          <w:szCs w:val="18"/>
          <w:color w:val="auto"/>
        </w:rPr>
        <w:t>” shall mean a Country Regulatory Event that both (a) materially and adversely affects the ability of the parties to commercialize the Test in the Country where the Country Regulatory Event occurs, and (b) leads to the actual average monthly volume of FNAs received by Veracyte for the Test in such Country during the six (6) months following the date of the occurrence of the Country Regulatory Event being at least fifty percent (50%) less than the average monthly volume for the six (6) months prior to such date.</w:t>
      </w:r>
    </w:p>
    <w:p>
      <w:pPr>
        <w:spacing w:after="0" w:line="188" w:lineRule="exact"/>
        <w:rPr>
          <w:sz w:val="20"/>
          <w:szCs w:val="20"/>
          <w:color w:val="auto"/>
        </w:rPr>
      </w:pPr>
    </w:p>
    <w:p>
      <w:pPr>
        <w:ind w:left="640" w:hanging="647"/>
        <w:spacing w:after="0" w:line="267" w:lineRule="auto"/>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u w:val="single" w:color="auto"/>
          <w:color w:val="auto"/>
        </w:rPr>
        <w:t>Termination by Veracyte on a Country-by-Country Basis for Failure to Maintain Sales Force</w:t>
      </w:r>
      <w:r>
        <w:rPr>
          <w:rFonts w:ascii="Arial" w:cs="Arial" w:eastAsia="Arial" w:hAnsi="Arial"/>
          <w:sz w:val="17"/>
          <w:szCs w:val="17"/>
          <w:color w:val="auto"/>
        </w:rPr>
        <w:t>. In addition to any other remedies that may be available</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Veracyte, if at any time (a) following twelve (12) months after Veracyte or Genzyme receives reimbursement from payers covering about twenty percent (20%) of the County’s population and any required Marketing Authorization for the Test in a Country, should Genzyme fail to use its Commercially Reasonable Efforts to (i) if such Country is in the Comprehensive Services Territory, market, promote, detail and sell the Test in any such Country as provided herein (other than due to a force majeure event, a recall, or a supply shortage) or (ii) if such Country is in the Dedicated Promotion Only Territory, market, promote and detail the Test in any such Country as provided herein (other than due to a force majeure event, a recall, or a supply shortage), or (b) following the Effective Date, should Genzyme fail to continue to employ a direct sales force in any Country, then, in either case, Veracyte will have the right to deliver a notice to Genzyme (a “</w:t>
      </w:r>
      <w:r>
        <w:rPr>
          <w:rFonts w:ascii="Arial" w:cs="Arial" w:eastAsia="Arial" w:hAnsi="Arial"/>
          <w:sz w:val="17"/>
          <w:szCs w:val="17"/>
          <w:u w:val="single" w:color="auto"/>
          <w:color w:val="auto"/>
        </w:rPr>
        <w:t>Country Removal Notice</w:t>
      </w:r>
      <w:r>
        <w:rPr>
          <w:rFonts w:ascii="Arial" w:cs="Arial" w:eastAsia="Arial" w:hAnsi="Arial"/>
          <w:sz w:val="17"/>
          <w:szCs w:val="17"/>
          <w:color w:val="auto"/>
        </w:rPr>
        <w:t>”). Such Country Removal Notice shall identify the Country (or Countries) where Veracyte reasonably believes in good faith that Genzyme failed to use its Commercially Reasonable Efforts to market, promote, detail and, if applicable, sell the Test or fail to continue to employ a direct sales force including sufficient detail for Genzyme to understand and attempt to cure its failure to perform and any information regarding the market opportunity in such Country. Within one hundred twenty (120) business days following receipt of such Country Removal Notice, if Genzyme (i) has failed to undertake in good faith its obligations to use its Commercially Reasonable Efforts to market, promote, detail and, if applicable, sell the Test in the Country that is subject of such Country Removal Notice, and (ii) such failure is not due primarily to any breach of this Agreement by Veracyte, then such Country shall be a Removed Country. For purposes of clarity, Genzyme will not be owed any additional DPO Promotion Fees and Veracyte will not be owed any additional CS Royalties with regard to such Removed Country based on Net Revenue recognized from such Country on and after the date such Country becomes a Removed Country.</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Effects of Expiration or Termination</w:t>
      </w:r>
      <w:r>
        <w:rPr>
          <w:rFonts w:ascii="Arial" w:cs="Arial" w:eastAsia="Arial" w:hAnsi="Arial"/>
          <w:sz w:val="16"/>
          <w:szCs w:val="16"/>
          <w:color w:val="auto"/>
        </w:rPr>
        <w:t>.</w:t>
      </w:r>
    </w:p>
    <w:p>
      <w:pPr>
        <w:spacing w:after="0" w:line="225" w:lineRule="exact"/>
        <w:rPr>
          <w:sz w:val="20"/>
          <w:szCs w:val="20"/>
          <w:color w:val="auto"/>
        </w:rPr>
      </w:pPr>
    </w:p>
    <w:p>
      <w:pPr>
        <w:jc w:val="center"/>
        <w:ind w:left="640"/>
        <w:spacing w:after="0"/>
        <w:tabs>
          <w:tab w:leader="none" w:pos="160" w:val="left"/>
        </w:tabs>
        <w:rPr>
          <w:sz w:val="20"/>
          <w:szCs w:val="20"/>
          <w:color w:val="auto"/>
        </w:rPr>
      </w:pPr>
      <w:r>
        <w:rPr>
          <w:rFonts w:ascii="Arial" w:cs="Arial" w:eastAsia="Arial" w:hAnsi="Arial"/>
          <w:sz w:val="18"/>
          <w:szCs w:val="18"/>
          <w:color w:val="auto"/>
        </w:rPr>
        <w:t>11.8.1</w:t>
      </w:r>
      <w:r>
        <w:rPr>
          <w:sz w:val="20"/>
          <w:szCs w:val="20"/>
          <w:color w:val="auto"/>
        </w:rPr>
        <w:tab/>
      </w:r>
      <w:r>
        <w:rPr>
          <w:rFonts w:ascii="Arial" w:cs="Arial" w:eastAsia="Arial" w:hAnsi="Arial"/>
          <w:sz w:val="16"/>
          <w:szCs w:val="16"/>
          <w:color w:val="auto"/>
        </w:rPr>
        <w:t>Notwithstanding anything to the contrary in this or any other agreement between the parties, all rights and obligations of the parties set forth</w:t>
      </w:r>
    </w:p>
    <w:p>
      <w:pPr>
        <w:spacing w:after="0" w:line="23" w:lineRule="exact"/>
        <w:rPr>
          <w:sz w:val="20"/>
          <w:szCs w:val="20"/>
          <w:color w:val="auto"/>
        </w:rPr>
      </w:pPr>
    </w:p>
    <w:p>
      <w:pPr>
        <w:ind w:left="1300" w:right="620"/>
        <w:spacing w:after="0" w:line="261" w:lineRule="auto"/>
        <w:rPr>
          <w:sz w:val="20"/>
          <w:szCs w:val="20"/>
          <w:color w:val="auto"/>
        </w:rPr>
      </w:pPr>
      <w:r>
        <w:rPr>
          <w:rFonts w:ascii="Arial" w:cs="Arial" w:eastAsia="Arial" w:hAnsi="Arial"/>
          <w:sz w:val="18"/>
          <w:szCs w:val="18"/>
          <w:color w:val="auto"/>
        </w:rPr>
        <w:t>herein that expressly or by their nature survive expiration or termination of this Agreement (or survive termination of the rights and obligations with regards to a particular Country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86" w:lineRule="auto"/>
        <w:rPr>
          <w:sz w:val="20"/>
          <w:szCs w:val="20"/>
          <w:color w:val="auto"/>
        </w:rPr>
      </w:pPr>
      <w:r>
        <w:rPr>
          <w:rFonts w:ascii="Arial" w:cs="Arial" w:eastAsia="Arial" w:hAnsi="Arial"/>
          <w:sz w:val="17"/>
          <w:szCs w:val="17"/>
          <w:color w:val="auto"/>
        </w:rPr>
        <w:t>under this Agreement) (including without limitation Sections 1, 3.4, 3.6.1 (last sentence), 3.7, 6.2, 6.3, 7, 9.8, 10, 11.8, and 12) shall continue in full force and effect subsequent to and notwithstanding the expiration or termination of this Agreement until they are satisfied or by their nature expired and shall bind the parties and their legal representatives, successors, and permitted assigns.</w:t>
      </w:r>
    </w:p>
    <w:p>
      <w:pPr>
        <w:spacing w:after="0" w:line="166" w:lineRule="exact"/>
        <w:rPr>
          <w:sz w:val="20"/>
          <w:szCs w:val="20"/>
          <w:color w:val="auto"/>
        </w:rPr>
      </w:pPr>
    </w:p>
    <w:p>
      <w:pPr>
        <w:ind w:left="1280" w:right="60" w:hanging="647"/>
        <w:spacing w:after="0" w:line="277" w:lineRule="auto"/>
        <w:tabs>
          <w:tab w:leader="none" w:pos="1260" w:val="left"/>
        </w:tabs>
        <w:rPr>
          <w:sz w:val="20"/>
          <w:szCs w:val="20"/>
          <w:color w:val="auto"/>
        </w:rPr>
      </w:pPr>
      <w:r>
        <w:rPr>
          <w:rFonts w:ascii="Arial" w:cs="Arial" w:eastAsia="Arial" w:hAnsi="Arial"/>
          <w:sz w:val="18"/>
          <w:szCs w:val="18"/>
          <w:color w:val="auto"/>
        </w:rPr>
        <w:t>11.8.2</w:t>
        <w:tab/>
        <w:t>Expiration or termination of this Agreement for any reason shall be without prejudice to the rights and remedies of either party with respect to any antecedent breach of any of the provisions of this Agreement.</w:t>
      </w:r>
    </w:p>
    <w:p>
      <w:pPr>
        <w:spacing w:after="0" w:line="170" w:lineRule="exact"/>
        <w:rPr>
          <w:sz w:val="20"/>
          <w:szCs w:val="20"/>
          <w:color w:val="auto"/>
        </w:rPr>
      </w:pPr>
    </w:p>
    <w:p>
      <w:pPr>
        <w:ind w:left="1280" w:hanging="647"/>
        <w:spacing w:after="0" w:line="255" w:lineRule="auto"/>
        <w:tabs>
          <w:tab w:leader="none" w:pos="1260" w:val="left"/>
        </w:tabs>
        <w:rPr>
          <w:sz w:val="20"/>
          <w:szCs w:val="20"/>
          <w:color w:val="auto"/>
        </w:rPr>
      </w:pPr>
      <w:r>
        <w:rPr>
          <w:rFonts w:ascii="Arial" w:cs="Arial" w:eastAsia="Arial" w:hAnsi="Arial"/>
          <w:sz w:val="18"/>
          <w:szCs w:val="18"/>
          <w:color w:val="auto"/>
        </w:rPr>
        <w:t>11.8.3</w:t>
        <w:tab/>
        <w:t xml:space="preserve">Upon termination of this Agreement, Genzyme shall cooperate in good faith with Veracyte or its designee in transitioning all customer support, promotional and other activities and responsibilities for the Test in the Territories, as set forth hereunder, to Veracyte or its designee as requested by Veracyte. The parties agree to cause such transition to occur as quickly as practicable after the effective date of such termination. After expiration or termination of this Agreement, Veracyte shall retain the right to use any training materials and Ad/Prom Materials related to the Test developed during the Term;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Veracyte shall have no further right to use Genzyme’s name or Trademarks.</w:t>
      </w:r>
    </w:p>
    <w:p>
      <w:pPr>
        <w:spacing w:after="0" w:line="193" w:lineRule="exact"/>
        <w:rPr>
          <w:sz w:val="20"/>
          <w:szCs w:val="20"/>
          <w:color w:val="auto"/>
        </w:rPr>
      </w:pPr>
    </w:p>
    <w:p>
      <w:pPr>
        <w:ind w:left="640" w:right="160" w:hanging="647"/>
        <w:spacing w:after="0" w:line="264" w:lineRule="auto"/>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In the event of any dispute arising between the parties relating to, arising out of, or in any way connected with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any term or condition hereof, or the performance by either party of its obligations hereunder, such dispute shall be referred to the Steering Committee and the parties shall follow the dispute resolution procedures set forth in Section 5.3 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 MISCELLANEOUS PROVISIONS</w:t>
      </w:r>
    </w:p>
    <w:p>
      <w:pPr>
        <w:spacing w:after="0" w:line="229" w:lineRule="exact"/>
        <w:rPr>
          <w:sz w:val="20"/>
          <w:szCs w:val="20"/>
          <w:color w:val="auto"/>
        </w:rPr>
      </w:pPr>
    </w:p>
    <w:p>
      <w:pPr>
        <w:jc w:val="both"/>
        <w:ind w:left="640" w:right="420" w:hanging="647"/>
        <w:spacing w:after="0" w:line="264"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Independent Status of the Parties</w:t>
      </w:r>
      <w:r>
        <w:rPr>
          <w:rFonts w:ascii="Arial" w:cs="Arial" w:eastAsia="Arial" w:hAnsi="Arial"/>
          <w:sz w:val="18"/>
          <w:szCs w:val="18"/>
          <w:color w:val="auto"/>
        </w:rPr>
        <w:t>. Veracyte and Genzyme are independent entities each acting in its own name of for its own account. Without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explicit prior written authorization, neither party shall have the authority to bind, commit or incur any liability on behalf of the other party or to otherwise act in any way as an agency, representative or partner of the other party.</w:t>
      </w:r>
    </w:p>
    <w:p>
      <w:pPr>
        <w:spacing w:after="0" w:line="181"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or otherwise transferred by either party without the prior written consent of the other party;</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either party may assign this Agreement to any of its Affiliates or to a successor to the portion of its business related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(whether by merger, a sale or transfer of all or substantially all of its assets relating to this Agreement, a sale of its capital stock, or otherwise), including, in the case of Genzyme, the transfer to an Affiliate of the entire sales and marketing organization used to promote, market and detail Thyrogen. Subject to the foregoing, this Agreement shall be binding upon and inure to the benefit of the parties hereto and their respective permitted successors and assigns.</w:t>
      </w:r>
    </w:p>
    <w:p>
      <w:pPr>
        <w:spacing w:after="0" w:line="193"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Force Majeure</w:t>
      </w:r>
      <w:r>
        <w:rPr>
          <w:rFonts w:ascii="Arial" w:cs="Arial" w:eastAsia="Arial" w:hAnsi="Arial"/>
          <w:sz w:val="18"/>
          <w:szCs w:val="18"/>
          <w:color w:val="auto"/>
        </w:rPr>
        <w:t>. The performance of either party under this Agreement may be suspended to the extent and for the period of time that such party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prevented or delayed from fulfilling its obligations due to causes beyond its reasonable control (including,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spacing w:after="0" w:line="312" w:lineRule="auto"/>
        <w:rPr>
          <w:sz w:val="20"/>
          <w:szCs w:val="20"/>
          <w:color w:val="auto"/>
        </w:rPr>
      </w:pPr>
      <w:r>
        <w:rPr>
          <w:rFonts w:ascii="Arial" w:cs="Arial" w:eastAsia="Arial" w:hAnsi="Arial"/>
          <w:sz w:val="16"/>
          <w:szCs w:val="16"/>
          <w:color w:val="auto"/>
        </w:rPr>
        <w:t xml:space="preserve">limitation, acts of God, acts of civil or military authority including governmental priorities, strikes or other labor disturbances, fires, floods, epidemics, wars, terrorism, or riots);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non-performing party uses Commercially Reasonable Efforts to avoid or remove such causes of non-performance and continues performance hereunder with reasonable dispatch as soon as such causes are removed. After thirty</w:t>
      </w:r>
    </w:p>
    <w:p>
      <w:pPr>
        <w:sectPr>
          <w:pgSz w:w="11900" w:h="16838" w:orient="portrait"/>
          <w:cols w:equalWidth="0" w:num="1">
            <w:col w:w="11400"/>
          </w:cols>
          <w:pgMar w:left="240" w:top="125" w:right="259" w:bottom="0" w:gutter="0" w:footer="0" w:header="0"/>
        </w:sectPr>
      </w:pPr>
    </w:p>
    <w:bookmarkStart w:id="153" w:name="page154"/>
    <w:bookmarkEnd w:id="153"/>
    <w:p>
      <w:pPr>
        <w:ind w:left="660" w:right="220" w:hanging="4"/>
        <w:spacing w:after="0" w:line="277" w:lineRule="auto"/>
        <w:tabs>
          <w:tab w:leader="none" w:pos="10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consecutive calendar days of suspension on the part of one party, the other party may, at its sole discretion, terminate this Agreement without further liability.</w:t>
      </w:r>
    </w:p>
    <w:p>
      <w:pPr>
        <w:spacing w:after="0" w:line="170" w:lineRule="exact"/>
        <w:rPr>
          <w:sz w:val="20"/>
          <w:szCs w:val="20"/>
          <w:color w:val="auto"/>
        </w:rPr>
      </w:pPr>
    </w:p>
    <w:p>
      <w:pPr>
        <w:ind w:left="640" w:hanging="647"/>
        <w:spacing w:after="0" w:line="297"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To the extent any clause, term or provision of this Agreement shall be judged to be invalid or unenforceable for any reason whatsoever,</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invalidity or unenforceability shall not affect the validity or enforceability of the balance of such clause, term or provision or any other clause, term or provision hereof. The remaining provisions of this Agreement will remain binding and enforceable, and shall be interpreted so as best to reasonably effect the intent of the parties. The parties further agree that any such invalid or unenforceable provisions will be deemed replaced with valid and enforceable provisions that achieve, to the extent possible, the business purposes and intent of such invalid and unenforceable provisions.</w:t>
      </w:r>
    </w:p>
    <w:p>
      <w:pPr>
        <w:spacing w:after="0" w:line="158" w:lineRule="exact"/>
        <w:rPr>
          <w:sz w:val="20"/>
          <w:szCs w:val="20"/>
          <w:color w:val="auto"/>
        </w:rPr>
      </w:pPr>
    </w:p>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Agreement shall be governed by and construed in accordance with the laws of the state of New York,</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including all matters of construction, validity, performance and enforcement.</w:t>
      </w:r>
    </w:p>
    <w:p>
      <w:pPr>
        <w:spacing w:after="0" w:line="170" w:lineRule="exact"/>
        <w:rPr>
          <w:sz w:val="20"/>
          <w:szCs w:val="20"/>
          <w:color w:val="auto"/>
        </w:rPr>
      </w:pPr>
    </w:p>
    <w:p>
      <w:pPr>
        <w:ind w:left="640" w:right="240" w:hanging="647"/>
        <w:spacing w:after="0" w:line="312" w:lineRule="auto"/>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Relationship of Parties</w:t>
      </w:r>
      <w:r>
        <w:rPr>
          <w:rFonts w:ascii="Arial" w:cs="Arial" w:eastAsia="Arial" w:hAnsi="Arial"/>
          <w:sz w:val="16"/>
          <w:szCs w:val="16"/>
          <w:color w:val="auto"/>
        </w:rPr>
        <w:t>. The parties hereto are acting and performing as independent contractors, and nothing in this Agreement creates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relationship of partnership, joint venture, sales agency or principal and agent. Neither party is the agent of the other, and neither party may hold itself out as such to any other person. All financial obligations associated with each party’s business shall be the sole responsibility of such party.</w:t>
      </w:r>
    </w:p>
    <w:p>
      <w:pPr>
        <w:spacing w:after="0" w:line="147" w:lineRule="exact"/>
        <w:rPr>
          <w:sz w:val="20"/>
          <w:szCs w:val="20"/>
          <w:color w:val="auto"/>
        </w:rPr>
      </w:pPr>
    </w:p>
    <w:p>
      <w:pPr>
        <w:ind w:left="640" w:hanging="647"/>
        <w:spacing w:after="0" w:line="270" w:lineRule="auto"/>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u w:val="single" w:color="auto"/>
          <w:color w:val="auto"/>
        </w:rPr>
        <w:t>Public Announcements</w:t>
      </w:r>
      <w:r>
        <w:rPr>
          <w:rFonts w:ascii="Arial" w:cs="Arial" w:eastAsia="Arial" w:hAnsi="Arial"/>
          <w:sz w:val="17"/>
          <w:szCs w:val="17"/>
          <w:color w:val="auto"/>
        </w:rPr>
        <w:t>. The form and content of any public announcement to be made by one party regarding the execution or existence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or the subject matter contained herein, shall be subject to the prior written consent of the other party (which consent shall not be unreasonably withheld, delayed or conditioned), except as may be required by applicable law (including, without limitation, disclosure requirements of the SEC, NYSE, or any other stock exchange or NASDAQ), in which case the party making the disclosure shall give the other party reasonable advance notice and review of any such disclosure. Following the dissemination of such initial public announcement, neither party (nor any of their Affiliates) shall issue any press release or make any public announcement with respect to this Agreement and the transactions contemplated hereby without prior consultation with the other party, except as may be required by applicable law upon the advice of counsel. Each party shall provide the other party with a reasonable opportunity to review the release or other public announcement prior to disclosure. Notwithstanding the foregoing, each the parties may each disclose to third parties the information contained in any press release that was previously approved by both of the parties without the need for further approval by the other party.</w:t>
      </w:r>
    </w:p>
    <w:p>
      <w:pPr>
        <w:spacing w:after="0" w:line="178"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u w:val="single" w:color="auto"/>
          <w:color w:val="auto"/>
        </w:rPr>
        <w:t>No Implied Licenses</w:t>
      </w:r>
      <w:r>
        <w:rPr>
          <w:rFonts w:ascii="Arial" w:cs="Arial" w:eastAsia="Arial" w:hAnsi="Arial"/>
          <w:sz w:val="18"/>
          <w:szCs w:val="18"/>
          <w:color w:val="auto"/>
        </w:rPr>
        <w:t>. Each of the parties hereby acknowledges and agrees that, except as otherwise explicitly provided in this Agreement, it does</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have, assert or acquire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right, title or interest in or to any Intellectual Property Rights or other proprietary rights of the other party or its Affiliates by entering into this Agreement.</w:t>
      </w:r>
    </w:p>
    <w:p>
      <w:pPr>
        <w:spacing w:after="0" w:line="170" w:lineRule="exact"/>
        <w:rPr>
          <w:sz w:val="20"/>
          <w:szCs w:val="20"/>
          <w:color w:val="auto"/>
        </w:rPr>
      </w:pPr>
    </w:p>
    <w:p>
      <w:pPr>
        <w:jc w:val="both"/>
        <w:ind w:left="640" w:right="500" w:hanging="647"/>
        <w:spacing w:after="0" w:line="264" w:lineRule="auto"/>
        <w:tabs>
          <w:tab w:leader="none" w:pos="6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hereunder shall be delivered as follows: (a) personally; (b) by facsimile and confirmed by either first class mail (postage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prepaid) or overnight courier service; (c) by registered or certified mail (postage prepaid); or (d) by overnight courier service, to the following addresses of the respective parties:</w:t>
      </w:r>
    </w:p>
    <w:p>
      <w:pPr>
        <w:sectPr>
          <w:pgSz w:w="11900" w:h="16838" w:orient="portrait"/>
          <w:cols w:equalWidth="0" w:num="1">
            <w:col w:w="11380"/>
          </w:cols>
          <w:pgMar w:left="240" w:top="126" w:right="279" w:bottom="315"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 Genzyme: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4480"/>
        <w:spacing w:after="0"/>
        <w:rPr>
          <w:sz w:val="20"/>
          <w:szCs w:val="20"/>
          <w:color w:val="auto"/>
        </w:rPr>
      </w:pPr>
      <w:r>
        <w:rPr>
          <w:rFonts w:ascii="Arial" w:cs="Arial" w:eastAsia="Arial" w:hAnsi="Arial"/>
          <w:sz w:val="16"/>
          <w:szCs w:val="16"/>
          <w:b w:val="1"/>
          <w:bCs w:val="1"/>
          <w:color w:val="auto"/>
        </w:rPr>
        <w:t>With a copy to:</w:t>
      </w:r>
    </w:p>
    <w:p>
      <w:pPr>
        <w:spacing w:after="0" w:line="200" w:lineRule="exact"/>
        <w:rPr>
          <w:sz w:val="20"/>
          <w:szCs w:val="20"/>
          <w:color w:val="auto"/>
        </w:rPr>
      </w:pPr>
    </w:p>
    <w:p>
      <w:pPr>
        <w:sectPr>
          <w:pgSz w:w="11900" w:h="16838" w:orient="portrait"/>
          <w:cols w:equalWidth="0" w:num="2">
            <w:col w:w="5000" w:space="720"/>
            <w:col w:w="5660"/>
          </w:cols>
          <w:pgMar w:left="240" w:top="126" w:right="279" w:bottom="315"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Genzyme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 Endocrine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(617) 761-8667</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Genzyme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(617) 252-7553</w:t>
      </w:r>
    </w:p>
    <w:p>
      <w:pPr>
        <w:spacing w:after="0" w:line="211" w:lineRule="exact"/>
        <w:rPr>
          <w:sz w:val="20"/>
          <w:szCs w:val="20"/>
          <w:color w:val="auto"/>
        </w:rPr>
      </w:pPr>
    </w:p>
    <w:p>
      <w:pPr>
        <w:sectPr>
          <w:pgSz w:w="11900" w:h="16838" w:orient="portrait"/>
          <w:cols w:equalWidth="0" w:num="2">
            <w:col w:w="5000" w:space="720"/>
            <w:col w:w="5660"/>
          </w:cols>
          <w:pgMar w:left="240" w:top="126" w:right="279" w:bottom="315"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 Veracyte:</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Arial" w:cs="Arial" w:eastAsia="Arial" w:hAnsi="Arial"/>
          <w:sz w:val="16"/>
          <w:szCs w:val="16"/>
          <w:b w:val="1"/>
          <w:bCs w:val="1"/>
          <w:color w:val="auto"/>
        </w:rPr>
        <w:t>With copy to:</w:t>
      </w:r>
    </w:p>
    <w:p>
      <w:pPr>
        <w:spacing w:after="0" w:line="200" w:lineRule="exact"/>
        <w:rPr>
          <w:sz w:val="20"/>
          <w:szCs w:val="20"/>
          <w:color w:val="auto"/>
        </w:rPr>
      </w:pPr>
    </w:p>
    <w:p>
      <w:pPr>
        <w:sectPr>
          <w:pgSz w:w="11900" w:h="16838" w:orient="portrait"/>
          <w:cols w:equalWidth="0" w:num="2">
            <w:col w:w="5000" w:space="720"/>
            <w:col w:w="5660"/>
          </w:cols>
          <w:pgMar w:left="240" w:top="126" w:right="279" w:bottom="315"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7000 Shoreline Court, Suite 250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(650) 243-6301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7000 Shoreline Court, Suite 250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(650) 243-6301</w:t>
      </w:r>
    </w:p>
    <w:p>
      <w:pPr>
        <w:spacing w:after="0" w:line="200" w:lineRule="exact"/>
        <w:rPr>
          <w:sz w:val="20"/>
          <w:szCs w:val="20"/>
          <w:color w:val="auto"/>
        </w:rPr>
      </w:pPr>
    </w:p>
    <w:p>
      <w:pPr>
        <w:sectPr>
          <w:pgSz w:w="11900" w:h="16838" w:orient="portrait"/>
          <w:cols w:equalWidth="0" w:num="2">
            <w:col w:w="5000" w:space="720"/>
            <w:col w:w="5660"/>
          </w:cols>
          <w:pgMar w:left="240" w:top="126" w:right="279" w:bottom="315" w:gutter="0" w:footer="0" w:header="0"/>
          <w:type w:val="continuous"/>
        </w:sectPr>
      </w:pPr>
    </w:p>
    <w:p>
      <w:pPr>
        <w:spacing w:after="0" w:line="11" w:lineRule="exact"/>
        <w:rPr>
          <w:sz w:val="20"/>
          <w:szCs w:val="20"/>
          <w:color w:val="auto"/>
        </w:rPr>
      </w:pPr>
    </w:p>
    <w:p>
      <w:pPr>
        <w:ind w:left="680" w:right="40"/>
        <w:spacing w:after="0" w:line="264" w:lineRule="auto"/>
        <w:rPr>
          <w:sz w:val="20"/>
          <w:szCs w:val="20"/>
          <w:color w:val="auto"/>
        </w:rPr>
      </w:pPr>
      <w:r>
        <w:rPr>
          <w:rFonts w:ascii="Arial" w:cs="Arial" w:eastAsia="Arial" w:hAnsi="Arial"/>
          <w:sz w:val="18"/>
          <w:szCs w:val="18"/>
          <w:color w:val="auto"/>
        </w:rPr>
        <w:t>Notices shall be effective upon receipt if personally delivered or delivered by facsimile and confirmed by first class mail, on the third business day following the date of registered or certified mailing, or on the first business day following the date of delivery to the overnight courier. A party may change its address listed above by written notice to the other party.</w:t>
      </w:r>
    </w:p>
    <w:p>
      <w:pPr>
        <w:spacing w:after="0" w:line="181" w:lineRule="exact"/>
        <w:rPr>
          <w:sz w:val="20"/>
          <w:szCs w:val="20"/>
          <w:color w:val="auto"/>
        </w:rPr>
      </w:pPr>
    </w:p>
    <w:p>
      <w:pPr>
        <w:ind w:left="640" w:right="520" w:hanging="647"/>
        <w:spacing w:after="0" w:line="264" w:lineRule="auto"/>
        <w:tabs>
          <w:tab w:leader="none" w:pos="62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8"/>
          <w:szCs w:val="18"/>
          <w:u w:val="single" w:color="auto"/>
          <w:color w:val="auto"/>
        </w:rPr>
        <w:t>Exchange Controls</w:t>
      </w:r>
      <w:r>
        <w:rPr>
          <w:rFonts w:ascii="Arial" w:cs="Arial" w:eastAsia="Arial" w:hAnsi="Arial"/>
          <w:sz w:val="18"/>
          <w:szCs w:val="18"/>
          <w:color w:val="auto"/>
        </w:rPr>
        <w:t>. All payments due hereunder shall be paid in United States dollars. If at any time legal restrictions prevent the prompt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remittance of part or all payments with respect to any Country in which the Test is sold, payment shall be made through such lawful means or methods as the parties may determine in good faith.</w:t>
      </w:r>
    </w:p>
    <w:p>
      <w:pPr>
        <w:spacing w:after="0" w:line="181" w:lineRule="exact"/>
        <w:rPr>
          <w:sz w:val="20"/>
          <w:szCs w:val="20"/>
          <w:color w:val="auto"/>
        </w:rPr>
      </w:pPr>
    </w:p>
    <w:p>
      <w:pPr>
        <w:jc w:val="both"/>
        <w:ind w:left="640" w:right="160" w:hanging="647"/>
        <w:spacing w:after="0" w:line="273" w:lineRule="auto"/>
        <w:tabs>
          <w:tab w:leader="none" w:pos="6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Exhibits hereto, contains the entire understanding of the parties with respect to the subject</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matter hereof. All express or implied agreements and understandings, either oral or written, heretofore made are expressly merged in and made a part of this Agreement, including without limitation the Letter of Agreement (including without limitation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thereto) dated November 7, 2014 but excluding the Joint Defense Agreement dated as of January 28, 2011, which shall continue in full force and effect in accordance with its terms. This Agreement may be amended, or any term hereof modified, only by a written instrument duly executed by both parties hereto. Each of the parties hereby acknowledges that this Agreement is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6" w:right="279" w:bottom="315" w:gutter="0" w:footer="0" w:header="0"/>
          <w:type w:val="continuous"/>
        </w:sectPr>
      </w:pPr>
    </w:p>
    <w:bookmarkStart w:id="154" w:name="page155"/>
    <w:bookmarkEnd w:id="154"/>
    <w:p>
      <w:pPr>
        <w:ind w:left="660"/>
        <w:spacing w:after="0"/>
        <w:rPr>
          <w:sz w:val="20"/>
          <w:szCs w:val="20"/>
          <w:color w:val="auto"/>
        </w:rPr>
      </w:pPr>
      <w:r>
        <w:rPr>
          <w:rFonts w:ascii="Arial" w:cs="Arial" w:eastAsia="Arial" w:hAnsi="Arial"/>
          <w:sz w:val="18"/>
          <w:szCs w:val="18"/>
          <w:color w:val="auto"/>
        </w:rPr>
        <w:t>result of mutual negotiation and therefore any ambiguity in their respective terms shall not be construed against the drafting party.</w:t>
      </w:r>
    </w:p>
    <w:p>
      <w:pPr>
        <w:spacing w:after="0" w:line="225"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captions to the several Sections hereof are not a part of this Agreement, but are merely guides or labels to assist in locating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reading the several Sections hereof.</w:t>
      </w:r>
    </w:p>
    <w:p>
      <w:pPr>
        <w:spacing w:after="0" w:line="170" w:lineRule="exact"/>
        <w:rPr>
          <w:sz w:val="20"/>
          <w:szCs w:val="20"/>
          <w:color w:val="auto"/>
        </w:rPr>
      </w:pPr>
    </w:p>
    <w:p>
      <w:pPr>
        <w:jc w:val="both"/>
        <w:ind w:left="640" w:right="60" w:hanging="647"/>
        <w:spacing w:after="0" w:line="259" w:lineRule="auto"/>
        <w:tabs>
          <w:tab w:leader="none" w:pos="62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Except as expressly provided herein, the waiver by either party hereto of any right hereunder or of any failure to perform or any breach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other party shall not be deemed a waiver of any other right hereunder or of any other failure to perform or breach by said other party, whether of a similar nature or otherwise, nor shall any singular or partial exercise of such right preclude any further exercise thereof or the exercise of any other such right.</w:t>
      </w:r>
    </w:p>
    <w:p>
      <w:pPr>
        <w:spacing w:after="0" w:line="187" w:lineRule="exact"/>
        <w:rPr>
          <w:sz w:val="20"/>
          <w:szCs w:val="20"/>
          <w:color w:val="auto"/>
        </w:rPr>
      </w:pPr>
    </w:p>
    <w:p>
      <w:pPr>
        <w:ind w:left="640" w:right="260" w:hanging="647"/>
        <w:spacing w:after="0" w:line="277" w:lineRule="auto"/>
        <w:tabs>
          <w:tab w:leader="none" w:pos="62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constitute one and the same instrument. Signature pages may be exchanged by facsimile.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Veracyte and Genzyme have each caused this Agreement to be executed by their respective duly authorized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VERACYTE, INC.</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GENZYME CORPORATION</w:t>
            </w:r>
          </w:p>
        </w:tc>
      </w:tr>
      <w:tr>
        <w:trPr>
          <w:trHeight w:val="648"/>
        </w:trPr>
        <w:tc>
          <w:tcPr>
            <w:tcW w:w="5720" w:type="dxa"/>
            <w:vAlign w:val="bottom"/>
            <w:gridSpan w:val="3"/>
          </w:tcPr>
          <w:p>
            <w:pPr>
              <w:spacing w:after="0"/>
              <w:rPr>
                <w:sz w:val="20"/>
                <w:szCs w:val="20"/>
                <w:color w:val="auto"/>
              </w:rPr>
            </w:pPr>
            <w:r>
              <w:rPr>
                <w:rFonts w:ascii="Arial" w:cs="Arial" w:eastAsia="Arial" w:hAnsi="Arial"/>
                <w:sz w:val="18"/>
                <w:szCs w:val="18"/>
                <w:color w:val="auto"/>
              </w:rPr>
              <w:t>/s/ Bonnie Anderson</w:t>
            </w:r>
          </w:p>
        </w:tc>
        <w:tc>
          <w:tcPr>
            <w:tcW w:w="5700" w:type="dxa"/>
            <w:vAlign w:val="bottom"/>
          </w:tcPr>
          <w:p>
            <w:pPr>
              <w:spacing w:after="0"/>
              <w:rPr>
                <w:sz w:val="20"/>
                <w:szCs w:val="20"/>
                <w:color w:val="auto"/>
              </w:rPr>
            </w:pPr>
            <w:r>
              <w:rPr>
                <w:rFonts w:ascii="Arial" w:cs="Arial" w:eastAsia="Arial" w:hAnsi="Arial"/>
                <w:sz w:val="18"/>
                <w:szCs w:val="18"/>
                <w:color w:val="auto"/>
              </w:rPr>
              <w:t>/s/ David Meeker</w:t>
            </w:r>
          </w:p>
        </w:tc>
      </w:tr>
      <w:tr>
        <w:trPr>
          <w:trHeight w:val="195"/>
        </w:trPr>
        <w:tc>
          <w:tcPr>
            <w:tcW w:w="2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Bonnie Anderson</w:t>
            </w:r>
          </w:p>
        </w:tc>
        <w:tc>
          <w:tcPr>
            <w:tcW w:w="2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Meeker</w:t>
            </w: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color w:val="auto"/>
              </w:rPr>
              <w:t>Date: February 13, 2015</w:t>
            </w:r>
          </w:p>
        </w:tc>
        <w:tc>
          <w:tcPr>
            <w:tcW w:w="5700" w:type="dxa"/>
            <w:vAlign w:val="bottom"/>
          </w:tcPr>
          <w:p>
            <w:pPr>
              <w:spacing w:after="0"/>
              <w:rPr>
                <w:sz w:val="20"/>
                <w:szCs w:val="20"/>
                <w:color w:val="auto"/>
              </w:rPr>
            </w:pPr>
            <w:r>
              <w:rPr>
                <w:rFonts w:ascii="Arial" w:cs="Arial" w:eastAsia="Arial" w:hAnsi="Arial"/>
                <w:sz w:val="18"/>
                <w:szCs w:val="18"/>
                <w:color w:val="auto"/>
              </w:rPr>
              <w:t>Date: February 13, 2015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EX-U.S. CO-PROMOTION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 Specific Terms</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Brazil</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Territory</w:t>
      </w:r>
      <w:r>
        <w:rPr>
          <w:rFonts w:ascii="Arial" w:cs="Arial" w:eastAsia="Arial" w:hAnsi="Arial"/>
          <w:sz w:val="18"/>
          <w:szCs w:val="18"/>
          <w:color w:val="auto"/>
        </w:rPr>
        <w:t>: Dedicated Promotion Only Territory</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Genzyme Activities</w:t>
      </w:r>
      <w:r>
        <w:rPr>
          <w:rFonts w:ascii="Arial" w:cs="Arial" w:eastAsia="Arial" w:hAnsi="Arial"/>
          <w:sz w:val="18"/>
          <w:szCs w:val="18"/>
          <w:color w:val="auto"/>
        </w:rPr>
        <w:t>: Genzyme will promote the Test through current Thyrogen CSAs at the same call points as Thyrogen. Genzyme will provide limited training.</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3"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Veracyte Activities</w:t>
      </w:r>
      <w:r>
        <w:rPr>
          <w:rFonts w:ascii="Arial" w:cs="Arial" w:eastAsia="Arial" w:hAnsi="Arial"/>
          <w:sz w:val="18"/>
          <w:szCs w:val="18"/>
          <w:color w:val="auto"/>
        </w:rPr>
        <w:t>: Veracyte will be responsible for performing the Test, managing clinical studies, billing and reimbursement. Veracyte will cover expenses, including the cost of materials.</w:t>
      </w:r>
    </w:p>
    <w:p>
      <w:pPr>
        <w:spacing w:after="0" w:line="170" w:lineRule="exact"/>
        <w:rPr>
          <w:rFonts w:ascii="Arial" w:cs="Arial" w:eastAsia="Arial" w:hAnsi="Arial"/>
          <w:sz w:val="18"/>
          <w:szCs w:val="18"/>
          <w:color w:val="auto"/>
        </w:rPr>
      </w:pPr>
    </w:p>
    <w:p>
      <w:pPr>
        <w:ind w:left="980" w:right="42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Country Payment Rate</w:t>
      </w:r>
      <w:r>
        <w:rPr>
          <w:rFonts w:ascii="Arial" w:cs="Arial" w:eastAsia="Arial" w:hAnsi="Arial"/>
          <w:sz w:val="18"/>
          <w:szCs w:val="18"/>
          <w:color w:val="auto"/>
        </w:rPr>
        <w:t>: Veracyte will pay twenty-five percent (25%) of Net Revenue over a five (5) year period commencing on January 1, 2015.</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Country Commitment Date</w:t>
      </w:r>
      <w:r>
        <w:rPr>
          <w:rFonts w:ascii="Arial" w:cs="Arial" w:eastAsia="Arial" w:hAnsi="Arial"/>
          <w:sz w:val="18"/>
          <w:szCs w:val="18"/>
          <w:color w:val="auto"/>
        </w:rPr>
        <w:t>: January 1, 2015.</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7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Account Management</w:t>
      </w:r>
      <w:r>
        <w:rPr>
          <w:rFonts w:ascii="Arial" w:cs="Arial" w:eastAsia="Arial" w:hAnsi="Arial"/>
          <w:sz w:val="18"/>
          <w:szCs w:val="18"/>
          <w:color w:val="auto"/>
        </w:rPr>
        <w:t>: Veracyte, either itself or through its subcontractors, will be solely responsible for Healthcare Professional account conversion and set-up, account management and account support.</w:t>
      </w:r>
    </w:p>
    <w:p>
      <w:pPr>
        <w:spacing w:after="0" w:line="170" w:lineRule="exact"/>
        <w:rPr>
          <w:rFonts w:ascii="Arial" w:cs="Arial" w:eastAsia="Arial" w:hAnsi="Arial"/>
          <w:sz w:val="18"/>
          <w:szCs w:val="18"/>
          <w:color w:val="auto"/>
        </w:rPr>
      </w:pPr>
    </w:p>
    <w:p>
      <w:pPr>
        <w:ind w:left="980" w:right="440" w:hanging="324"/>
        <w:spacing w:after="0" w:line="308" w:lineRule="auto"/>
        <w:tabs>
          <w:tab w:leader="none" w:pos="993"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Sampling Program</w:t>
      </w:r>
      <w:r>
        <w:rPr>
          <w:rFonts w:ascii="Arial" w:cs="Arial" w:eastAsia="Arial" w:hAnsi="Arial"/>
          <w:sz w:val="17"/>
          <w:szCs w:val="17"/>
          <w:color w:val="auto"/>
        </w:rPr>
        <w:t>: Veracyte, either itself or through its subcontractors, will manage and provide a sampling program for the Test in which Veracyte will provide Collection Kits to Healthcare Professionals in accordance with the Annual Commercial Plan.</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Sales Force</w:t>
      </w:r>
      <w:r>
        <w:rPr>
          <w:rFonts w:ascii="Arial" w:cs="Arial" w:eastAsia="Arial" w:hAnsi="Arial"/>
          <w:sz w:val="18"/>
          <w:szCs w:val="18"/>
          <w:color w:val="auto"/>
        </w:rPr>
        <w:t>: *** FTEs in Genzyme’s sales force.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Marketing Authorization</w:t>
      </w:r>
      <w:r>
        <w:rPr>
          <w:rFonts w:ascii="Arial" w:cs="Arial" w:eastAsia="Arial" w:hAnsi="Arial"/>
          <w:sz w:val="18"/>
          <w:szCs w:val="18"/>
          <w:color w:val="auto"/>
        </w:rPr>
        <w:t>: Genzyme will hold the ANVISA registration for the Test in Brazil.</w:t>
      </w:r>
    </w:p>
    <w:p>
      <w:pPr>
        <w:spacing w:after="0" w:line="225" w:lineRule="exact"/>
        <w:rPr>
          <w:rFonts w:ascii="Arial" w:cs="Arial" w:eastAsia="Arial" w:hAnsi="Arial"/>
          <w:sz w:val="18"/>
          <w:szCs w:val="18"/>
          <w:color w:val="auto"/>
        </w:rPr>
      </w:pPr>
    </w:p>
    <w:p>
      <w:pPr>
        <w:ind w:left="980" w:right="140" w:hanging="324"/>
        <w:spacing w:after="0" w:line="255"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 If, pursuant to Section 11.5, Veracyte terminates this Agreement with respect to Brazil, and if Veracyte generates at least one hundred (100) Afirma Gene Expression Classifier billable results during the twelve (12) months immediately prior to the notice of termination, then Veracyte will pay to Genzyme $300,000 if the termination takes place in the fourth year of the agreement and $200,000 if the termination takes place in the fifth year of the agreement. Veracyte shall pay the termination fee within sixty (60) days of the termination effective date. If such billable Afirma Gene Expression Classifier billable results have not been obtained, Veracyte shall not be required to pay any termination fee to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62" w:gutter="0" w:footer="0" w:header="0"/>
        </w:sectPr>
      </w:pPr>
    </w:p>
    <w:bookmarkStart w:id="155" w:name="page156"/>
    <w:bookmarkEnd w:id="155"/>
    <w:p>
      <w:pPr>
        <w:ind w:left="584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48"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Singapore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Territory</w:t>
      </w:r>
      <w:r>
        <w:rPr>
          <w:rFonts w:ascii="Arial" w:cs="Arial" w:eastAsia="Arial" w:hAnsi="Arial"/>
          <w:sz w:val="18"/>
          <w:szCs w:val="18"/>
          <w:color w:val="auto"/>
        </w:rPr>
        <w:t>: Dedicated Promotion Only Territory</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Genzyme Activities</w:t>
      </w:r>
      <w:r>
        <w:rPr>
          <w:rFonts w:ascii="Arial" w:cs="Arial" w:eastAsia="Arial" w:hAnsi="Arial"/>
          <w:sz w:val="18"/>
          <w:szCs w:val="18"/>
          <w:color w:val="auto"/>
        </w:rPr>
        <w:t>: Genzyme will promote the Test through current Thyrogen CSAs at the same call points as Thyrogen in Singapore. Genzyme will provide limited training.</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3"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Veracyte Activities</w:t>
      </w:r>
      <w:r>
        <w:rPr>
          <w:rFonts w:ascii="Arial" w:cs="Arial" w:eastAsia="Arial" w:hAnsi="Arial"/>
          <w:sz w:val="18"/>
          <w:szCs w:val="18"/>
          <w:color w:val="auto"/>
        </w:rPr>
        <w:t>: Veracyte will be responsible for performing the Test, managing clinical studies, billing and reimbursement. Veracyte will cover expenses, including the cost of materials.</w:t>
      </w:r>
    </w:p>
    <w:p>
      <w:pPr>
        <w:spacing w:after="0" w:line="170" w:lineRule="exact"/>
        <w:rPr>
          <w:rFonts w:ascii="Arial" w:cs="Arial" w:eastAsia="Arial" w:hAnsi="Arial"/>
          <w:sz w:val="18"/>
          <w:szCs w:val="18"/>
          <w:color w:val="auto"/>
        </w:rPr>
      </w:pPr>
    </w:p>
    <w:p>
      <w:pPr>
        <w:jc w:val="both"/>
        <w:ind w:left="980" w:right="180" w:hanging="324"/>
        <w:spacing w:after="0" w:line="264"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Country Payment Rate</w:t>
      </w:r>
      <w:r>
        <w:rPr>
          <w:rFonts w:ascii="Arial" w:cs="Arial" w:eastAsia="Arial" w:hAnsi="Arial"/>
          <w:sz w:val="18"/>
          <w:szCs w:val="18"/>
          <w:color w:val="auto"/>
        </w:rPr>
        <w:t>: Veracyte will pay twenty-five percent (25%) of Net Revenue over a five (5) year period for billable tests received from Parkway clinics in Singapore, Malaysia, Thailand, Philippines, Vietnam, Brunei, Myanmar, Cambodia or Indonesia commencing on January 1, 2015.</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Country Commitment Date</w:t>
      </w:r>
      <w:r>
        <w:rPr>
          <w:rFonts w:ascii="Arial" w:cs="Arial" w:eastAsia="Arial" w:hAnsi="Arial"/>
          <w:sz w:val="18"/>
          <w:szCs w:val="18"/>
          <w:color w:val="auto"/>
        </w:rPr>
        <w:t>: January 1, 2015.</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77"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Account Management</w:t>
      </w:r>
      <w:r>
        <w:rPr>
          <w:rFonts w:ascii="Arial" w:cs="Arial" w:eastAsia="Arial" w:hAnsi="Arial"/>
          <w:sz w:val="18"/>
          <w:szCs w:val="18"/>
          <w:color w:val="auto"/>
        </w:rPr>
        <w:t>: Veracyte, either itself or through its subcontractors, will be solely responsible for Healthcare Professional account conversion and set-up, account management and account support.</w:t>
      </w:r>
    </w:p>
    <w:p>
      <w:pPr>
        <w:spacing w:after="0" w:line="170" w:lineRule="exact"/>
        <w:rPr>
          <w:rFonts w:ascii="Arial" w:cs="Arial" w:eastAsia="Arial" w:hAnsi="Arial"/>
          <w:sz w:val="18"/>
          <w:szCs w:val="18"/>
          <w:color w:val="auto"/>
        </w:rPr>
      </w:pPr>
    </w:p>
    <w:p>
      <w:pPr>
        <w:ind w:left="980" w:right="480" w:hanging="324"/>
        <w:spacing w:after="0" w:line="308" w:lineRule="auto"/>
        <w:tabs>
          <w:tab w:leader="none" w:pos="993"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Sampling Program</w:t>
      </w:r>
      <w:r>
        <w:rPr>
          <w:rFonts w:ascii="Arial" w:cs="Arial" w:eastAsia="Arial" w:hAnsi="Arial"/>
          <w:sz w:val="17"/>
          <w:szCs w:val="17"/>
          <w:color w:val="auto"/>
        </w:rPr>
        <w:t>: Veracyte, either itself or through its subcontractors, will manage and provide a sampling program for the Test in which Veracyte will provide Collection Kits to Healthcare Professionals in accordance with the Annual Commercial Plan.</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Sales Force</w:t>
      </w:r>
      <w:r>
        <w:rPr>
          <w:rFonts w:ascii="Arial" w:cs="Arial" w:eastAsia="Arial" w:hAnsi="Arial"/>
          <w:sz w:val="18"/>
          <w:szCs w:val="18"/>
          <w:color w:val="auto"/>
        </w:rPr>
        <w:t>: *** FTEs in Genzyme’s sales force.</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“Veracyte” and “Afirma” are registered Trademarks of Veracyte.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“Genzyme” and “Thyrogen” are registered Trademarks of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Confidential material redacted and filed separately with the Commission.</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Patents &amp; Patent Applications (U.S.)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Application</w:t>
            </w: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Application</w:t>
            </w:r>
          </w:p>
        </w:tc>
        <w:tc>
          <w:tcPr>
            <w:tcW w:w="20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Publication Number</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Publication</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2060" w:type="dxa"/>
            <w:vAlign w:val="bottom"/>
            <w:gridSpan w:val="2"/>
            <w:vMerge w:val="continue"/>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3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61/199,585</w:t>
            </w:r>
          </w:p>
        </w:tc>
        <w:tc>
          <w:tcPr>
            <w:tcW w:w="24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11/17/2008</w:t>
            </w:r>
          </w:p>
        </w:tc>
        <w:tc>
          <w:tcPr>
            <w:tcW w:w="2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ind w:left="280"/>
              <w:spacing w:after="0" w:line="195" w:lineRule="exact"/>
              <w:rPr>
                <w:sz w:val="20"/>
                <w:szCs w:val="20"/>
                <w:color w:val="auto"/>
              </w:rPr>
            </w:pPr>
            <w:r>
              <w:rPr>
                <w:rFonts w:ascii="Arial" w:cs="Arial" w:eastAsia="Arial" w:hAnsi="Arial"/>
                <w:sz w:val="18"/>
                <w:szCs w:val="18"/>
                <w:color w:val="auto"/>
              </w:rPr>
              <w:t>Not Yet Available</w:t>
            </w:r>
          </w:p>
        </w:tc>
        <w:tc>
          <w:tcPr>
            <w:tcW w:w="2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Not Yet Available</w:t>
            </w:r>
          </w:p>
        </w:tc>
        <w:tc>
          <w:tcPr>
            <w:tcW w:w="220" w:type="dxa"/>
            <w:vAlign w:val="bottom"/>
            <w:tcBorders>
              <w:top w:val="single" w:sz="8" w:color="CCEEFF"/>
            </w:tcBorders>
            <w:shd w:val="clear" w:color="auto" w:fill="CCEEFF"/>
          </w:tcPr>
          <w:p>
            <w:pPr>
              <w:spacing w:after="0"/>
              <w:rPr>
                <w:sz w:val="16"/>
                <w:szCs w:val="16"/>
                <w:color w:val="auto"/>
              </w:rPr>
            </w:pPr>
          </w:p>
        </w:tc>
        <w:tc>
          <w:tcPr>
            <w:tcW w:w="38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Methods and Compositions of Molecular Profiling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 Diagnosis of Cancer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61/270,812</w:t>
            </w:r>
          </w:p>
        </w:tc>
        <w:tc>
          <w:tcPr>
            <w:tcW w:w="24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7/13/2009</w:t>
            </w:r>
          </w:p>
        </w:tc>
        <w:tc>
          <w:tcPr>
            <w:tcW w:w="240" w:type="dxa"/>
            <w:vAlign w:val="bottom"/>
          </w:tcPr>
          <w:p>
            <w:pPr>
              <w:spacing w:after="0"/>
              <w:rPr>
                <w:sz w:val="17"/>
                <w:szCs w:val="17"/>
                <w:color w:val="auto"/>
              </w:rPr>
            </w:pPr>
          </w:p>
        </w:tc>
        <w:tc>
          <w:tcPr>
            <w:tcW w:w="20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3"/>
              </w:rPr>
              <w:t>Methods and Compositions of Molecular Profiling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for Diagnosis of Cancer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12/592,065</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11/17/2009</w:t>
            </w:r>
          </w:p>
        </w:tc>
        <w:tc>
          <w:tcPr>
            <w:tcW w:w="2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US2010/0131432</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5/27/2010</w:t>
            </w:r>
          </w:p>
        </w:tc>
        <w:tc>
          <w:tcPr>
            <w:tcW w:w="220" w:type="dxa"/>
            <w:vAlign w:val="bottom"/>
            <w:shd w:val="clear" w:color="auto" w:fill="CCEEFF"/>
          </w:tcPr>
          <w:p>
            <w:pPr>
              <w:spacing w:after="0"/>
              <w:rPr>
                <w:sz w:val="17"/>
                <w:szCs w:val="17"/>
                <w:color w:val="auto"/>
              </w:rPr>
            </w:pPr>
          </w:p>
        </w:tc>
        <w:tc>
          <w:tcPr>
            <w:tcW w:w="3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Methods and Compositions of Molecular Profiling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Disease Diagnostics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8"/>
                <w:szCs w:val="18"/>
                <w:color w:val="auto"/>
              </w:rPr>
              <w:t>Not Yet Available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386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Not Yet Available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61/176,471</w:t>
            </w:r>
          </w:p>
        </w:tc>
        <w:tc>
          <w:tcPr>
            <w:tcW w:w="24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91"/>
              </w:rPr>
              <w:t>5/7/2009</w:t>
            </w:r>
          </w:p>
        </w:tc>
        <w:tc>
          <w:tcPr>
            <w:tcW w:w="240" w:type="dxa"/>
            <w:vAlign w:val="bottom"/>
          </w:tcPr>
          <w:p>
            <w:pPr>
              <w:spacing w:after="0"/>
              <w:rPr>
                <w:sz w:val="17"/>
                <w:szCs w:val="17"/>
                <w:color w:val="auto"/>
              </w:rPr>
            </w:pPr>
          </w:p>
        </w:tc>
        <w:tc>
          <w:tcPr>
            <w:tcW w:w="20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Methods and Compositions for Diagnosis of Thyroid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Conditions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13/318,751</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11/3/2011</w:t>
            </w:r>
          </w:p>
        </w:tc>
        <w:tc>
          <w:tcPr>
            <w:tcW w:w="2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Methods and Compositions for Diagnosis of Thyroid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Conditions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61/333,717</w:t>
            </w:r>
          </w:p>
        </w:tc>
        <w:tc>
          <w:tcPr>
            <w:tcW w:w="24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5/11/2010</w:t>
            </w:r>
          </w:p>
        </w:tc>
        <w:tc>
          <w:tcPr>
            <w:tcW w:w="240" w:type="dxa"/>
            <w:vAlign w:val="bottom"/>
          </w:tcPr>
          <w:p>
            <w:pPr>
              <w:spacing w:after="0"/>
              <w:rPr>
                <w:sz w:val="17"/>
                <w:szCs w:val="17"/>
                <w:color w:val="auto"/>
              </w:rPr>
            </w:pPr>
          </w:p>
        </w:tc>
        <w:tc>
          <w:tcPr>
            <w:tcW w:w="20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3"/>
              </w:rPr>
              <w:t>Molecular Classification of Thyroid Nodules Using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High-Dimensionality Genomic Data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Not Yet Available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61/389,810</w:t>
            </w:r>
          </w:p>
        </w:tc>
        <w:tc>
          <w:tcPr>
            <w:tcW w:w="24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10/5/2010</w:t>
            </w:r>
          </w:p>
        </w:tc>
        <w:tc>
          <w:tcPr>
            <w:tcW w:w="240" w:type="dxa"/>
            <w:vAlign w:val="bottom"/>
          </w:tcPr>
          <w:p>
            <w:pPr>
              <w:spacing w:after="0"/>
              <w:rPr>
                <w:sz w:val="17"/>
                <w:szCs w:val="17"/>
                <w:color w:val="auto"/>
              </w:rPr>
            </w:pPr>
          </w:p>
        </w:tc>
        <w:tc>
          <w:tcPr>
            <w:tcW w:w="20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1"/>
              </w:rPr>
              <w:t>Methods and Compositions for Diagnosing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Conditions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13/105,756</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5/11/2011</w:t>
            </w:r>
          </w:p>
        </w:tc>
        <w:tc>
          <w:tcPr>
            <w:tcW w:w="2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Methods and Compositions for Diagnosing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Conditions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61/568,870</w:t>
            </w:r>
          </w:p>
        </w:tc>
        <w:tc>
          <w:tcPr>
            <w:tcW w:w="240" w:type="dxa"/>
            <w:vAlign w:val="bottom"/>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12/9/2011</w:t>
            </w:r>
          </w:p>
        </w:tc>
        <w:tc>
          <w:tcPr>
            <w:tcW w:w="240" w:type="dxa"/>
            <w:vAlign w:val="bottom"/>
          </w:tcPr>
          <w:p>
            <w:pPr>
              <w:spacing w:after="0"/>
              <w:rPr>
                <w:sz w:val="17"/>
                <w:szCs w:val="17"/>
                <w:color w:val="auto"/>
              </w:rPr>
            </w:pPr>
          </w:p>
        </w:tc>
        <w:tc>
          <w:tcPr>
            <w:tcW w:w="20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Not Yet Available</w:t>
            </w:r>
          </w:p>
        </w:tc>
        <w:tc>
          <w:tcPr>
            <w:tcW w:w="16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2"/>
              </w:rPr>
              <w:t>Not Yet Available</w:t>
            </w: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2"/>
              </w:rPr>
              <w:t>Methods and Compositions for Classification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8"/>
              </w:rPr>
              <w:t>Samples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Not Yet Available</w:t>
            </w: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Not Yet Available</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18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8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95" w:gutter="0" w:footer="0" w:header="0"/>
        </w:sectPr>
      </w:pPr>
    </w:p>
    <w:bookmarkStart w:id="156" w:name="page157"/>
    <w:bookmarkEnd w:id="156"/>
    <w:p>
      <w:pPr>
        <w:jc w:val="center"/>
        <w:ind w:right="4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Customer Support</w:t>
      </w:r>
    </w:p>
    <w:p>
      <w:pPr>
        <w:spacing w:after="0" w:line="22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each Country, Veracyte will provide reasonable first level customer support to end users for the Test.</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each Country, Veracyte will provide a dedicated phone line for end users to call. Opening hours of the hot line will be adapted for local needs. Call hours will be mutually determined.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714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Coverage Time</w:t>
            </w:r>
          </w:p>
        </w:tc>
        <w:tc>
          <w:tcPr>
            <w:tcW w:w="260" w:type="dxa"/>
            <w:vAlign w:val="bottom"/>
            <w:tcBorders>
              <w:top w:val="single" w:sz="8" w:color="CCEEFF"/>
            </w:tcBorders>
            <w:shd w:val="clear" w:color="auto" w:fill="CCEEFF"/>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International : 8:00 AM to 5:00 PM (GMT+02:00) Mon- Thu office hours.</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Service Language</w:t>
            </w:r>
          </w:p>
        </w:tc>
        <w:tc>
          <w:tcPr>
            <w:tcW w:w="7140" w:type="dxa"/>
            <w:vAlign w:val="bottom"/>
          </w:tcPr>
          <w:p>
            <w:pPr>
              <w:spacing w:after="0"/>
              <w:rPr>
                <w:sz w:val="20"/>
                <w:szCs w:val="20"/>
                <w:color w:val="auto"/>
              </w:rPr>
            </w:pPr>
            <w:r>
              <w:rPr>
                <w:rFonts w:ascii="Arial" w:cs="Arial" w:eastAsia="Arial" w:hAnsi="Arial"/>
                <w:sz w:val="18"/>
                <w:szCs w:val="18"/>
                <w:color w:val="auto"/>
              </w:rPr>
              <w:t>Local languages in each Country</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Recall time in during coverage time</w:t>
            </w: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Within 3 hours</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Initial Response time</w:t>
            </w:r>
          </w:p>
        </w:tc>
        <w:tc>
          <w:tcPr>
            <w:tcW w:w="7140" w:type="dxa"/>
            <w:vAlign w:val="bottom"/>
          </w:tcPr>
          <w:p>
            <w:pPr>
              <w:spacing w:after="0"/>
              <w:rPr>
                <w:sz w:val="20"/>
                <w:szCs w:val="20"/>
                <w:color w:val="auto"/>
              </w:rPr>
            </w:pPr>
            <w:r>
              <w:rPr>
                <w:rFonts w:ascii="Arial" w:cs="Arial" w:eastAsia="Arial" w:hAnsi="Arial"/>
                <w:sz w:val="18"/>
                <w:szCs w:val="18"/>
                <w:color w:val="auto"/>
              </w:rPr>
              <w:t>Within 24 hours</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incidents</w:t>
            </w: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480" w:type="dxa"/>
            <w:vAlign w:val="bottom"/>
          </w:tcPr>
          <w:p>
            <w:pPr>
              <w:spacing w:after="0"/>
              <w:rPr>
                <w:sz w:val="18"/>
                <w:szCs w:val="18"/>
                <w:color w:val="auto"/>
              </w:rPr>
            </w:pPr>
          </w:p>
        </w:tc>
      </w:tr>
      <w:tr>
        <w:trPr>
          <w:trHeight w:val="348"/>
        </w:trPr>
        <w:tc>
          <w:tcPr>
            <w:tcW w:w="34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1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Pharmacovigilance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Veracyte will report Safety Information pertaining to the Subject Products in accordance with the procedures described in this Exhibit E. These procedures do not restrict Genzyme’s ability to take any action it deems appropriate or required under applicable law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DEFINITIONS</w:t>
      </w:r>
    </w:p>
    <w:p>
      <w:pPr>
        <w:spacing w:after="0" w:line="229" w:lineRule="exact"/>
        <w:rPr>
          <w:sz w:val="20"/>
          <w:szCs w:val="20"/>
          <w:color w:val="auto"/>
        </w:rPr>
      </w:pPr>
    </w:p>
    <w:p>
      <w:pPr>
        <w:ind w:left="900" w:right="280" w:hanging="647"/>
        <w:spacing w:after="0" w:line="277" w:lineRule="auto"/>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Adverse Event</w:t>
      </w:r>
      <w:r>
        <w:rPr>
          <w:rFonts w:ascii="Arial" w:cs="Arial" w:eastAsia="Arial" w:hAnsi="Arial"/>
          <w:sz w:val="18"/>
          <w:szCs w:val="18"/>
          <w:color w:val="auto"/>
        </w:rPr>
        <w:t>” shall mean any untoward medical occurrence in a patient or clinical investigation subject using a Subject Product, whether or not related to the Subject Product.</w:t>
      </w:r>
    </w:p>
    <w:p>
      <w:pPr>
        <w:spacing w:after="0" w:line="170" w:lineRule="exact"/>
        <w:rPr>
          <w:sz w:val="20"/>
          <w:szCs w:val="20"/>
          <w:color w:val="auto"/>
        </w:rPr>
      </w:pPr>
    </w:p>
    <w:p>
      <w:pPr>
        <w:ind w:left="900" w:right="380" w:hanging="647"/>
        <w:spacing w:after="0" w:line="277" w:lineRule="auto"/>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Safety Information</w:t>
      </w:r>
      <w:r>
        <w:rPr>
          <w:rFonts w:ascii="Arial" w:cs="Arial" w:eastAsia="Arial" w:hAnsi="Arial"/>
          <w:sz w:val="18"/>
          <w:szCs w:val="18"/>
          <w:color w:val="auto"/>
        </w:rPr>
        <w:t>” shall mean all information on the Subject Products relating to known or potential risks to humans obtained or otherwise received from any source. This includes but is not limited to:</w:t>
      </w:r>
    </w:p>
    <w:p>
      <w:pPr>
        <w:spacing w:after="0" w:line="170" w:lineRule="exact"/>
        <w:rPr>
          <w:sz w:val="20"/>
          <w:szCs w:val="20"/>
          <w:color w:val="auto"/>
        </w:rPr>
      </w:pPr>
    </w:p>
    <w:p>
      <w:pPr>
        <w:ind w:left="1960" w:right="720" w:hanging="655"/>
        <w:spacing w:after="0" w:line="277" w:lineRule="auto"/>
        <w:tabs>
          <w:tab w:leader="none" w:pos="19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reported deaths of patients, Adverse Events and incidents (see definitions below), irrespective of any suspected causal relationship to the Subject Product;</w:t>
      </w:r>
    </w:p>
    <w:p>
      <w:pPr>
        <w:spacing w:after="0" w:line="170" w:lineRule="exact"/>
        <w:rPr>
          <w:rFonts w:ascii="Arial" w:cs="Arial" w:eastAsia="Arial" w:hAnsi="Arial"/>
          <w:sz w:val="18"/>
          <w:szCs w:val="18"/>
          <w:color w:val="auto"/>
        </w:rPr>
      </w:pPr>
    </w:p>
    <w:p>
      <w:pPr>
        <w:ind w:left="1960" w:right="60" w:hanging="655"/>
        <w:spacing w:after="0" w:line="264" w:lineRule="auto"/>
        <w:tabs>
          <w:tab w:leader="none" w:pos="19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information (regardless of the fact whether it is associated or not with an Adverse Event) regarding Misuse, Abuse, medication errors, Overdose, lack of efficacy, Off-Label Use, potential transmission of infectious agent via the Subject Product and Occupational Exposure;</w:t>
      </w:r>
    </w:p>
    <w:p>
      <w:pPr>
        <w:spacing w:after="0" w:line="181" w:lineRule="exact"/>
        <w:rPr>
          <w:rFonts w:ascii="Arial" w:cs="Arial" w:eastAsia="Arial" w:hAnsi="Arial"/>
          <w:sz w:val="18"/>
          <w:szCs w:val="18"/>
          <w:color w:val="auto"/>
        </w:rPr>
      </w:pPr>
    </w:p>
    <w:p>
      <w:pPr>
        <w:ind w:left="3240" w:right="80" w:hanging="639"/>
        <w:spacing w:after="0" w:line="342" w:lineRule="auto"/>
        <w:tabs>
          <w:tab w:leader="none" w:pos="3261"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Overdose</w:t>
      </w:r>
      <w:r>
        <w:rPr>
          <w:rFonts w:ascii="Arial" w:cs="Arial" w:eastAsia="Arial" w:hAnsi="Arial"/>
          <w:sz w:val="16"/>
          <w:szCs w:val="16"/>
          <w:color w:val="auto"/>
        </w:rPr>
        <w:t>” shall mean the administration of a quantity of a medicinal product given per administration or cumulatively, which is above the maximum recommended dose according to the authorized product information.</w:t>
      </w:r>
    </w:p>
    <w:p>
      <w:pPr>
        <w:spacing w:after="0" w:line="123" w:lineRule="exact"/>
        <w:rPr>
          <w:rFonts w:ascii="Arial" w:cs="Arial" w:eastAsia="Arial" w:hAnsi="Arial"/>
          <w:sz w:val="16"/>
          <w:szCs w:val="16"/>
          <w:color w:val="auto"/>
        </w:rPr>
      </w:pPr>
    </w:p>
    <w:p>
      <w:pPr>
        <w:ind w:left="3240" w:right="220" w:hanging="639"/>
        <w:spacing w:after="0" w:line="277" w:lineRule="auto"/>
        <w:tabs>
          <w:tab w:leader="none" w:pos="3271"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Off-Label Use</w:t>
      </w:r>
      <w:r>
        <w:rPr>
          <w:rFonts w:ascii="Arial" w:cs="Arial" w:eastAsia="Arial" w:hAnsi="Arial"/>
          <w:sz w:val="18"/>
          <w:szCs w:val="18"/>
          <w:color w:val="auto"/>
        </w:rPr>
        <w:t>” shall mean situations where the medicinal product is intentionally used for a medical purpose not in accordance with the authorized product information.</w:t>
      </w:r>
    </w:p>
    <w:p>
      <w:pPr>
        <w:spacing w:after="0" w:line="170" w:lineRule="exact"/>
        <w:rPr>
          <w:rFonts w:ascii="Arial" w:cs="Arial" w:eastAsia="Arial" w:hAnsi="Arial"/>
          <w:sz w:val="18"/>
          <w:szCs w:val="18"/>
          <w:color w:val="auto"/>
        </w:rPr>
      </w:pPr>
    </w:p>
    <w:p>
      <w:pPr>
        <w:ind w:left="3240" w:right="440" w:hanging="639"/>
        <w:spacing w:after="0" w:line="277" w:lineRule="auto"/>
        <w:tabs>
          <w:tab w:leader="none" w:pos="32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Misuse</w:t>
      </w:r>
      <w:r>
        <w:rPr>
          <w:rFonts w:ascii="Arial" w:cs="Arial" w:eastAsia="Arial" w:hAnsi="Arial"/>
          <w:sz w:val="18"/>
          <w:szCs w:val="18"/>
          <w:color w:val="auto"/>
        </w:rPr>
        <w:t>” shall mean situations where the medicinal product is intentionally and inappropriately used not in accordance with the authorized product information.</w:t>
      </w:r>
    </w:p>
    <w:p>
      <w:pPr>
        <w:spacing w:after="0" w:line="170" w:lineRule="exact"/>
        <w:rPr>
          <w:rFonts w:ascii="Arial" w:cs="Arial" w:eastAsia="Arial" w:hAnsi="Arial"/>
          <w:sz w:val="18"/>
          <w:szCs w:val="18"/>
          <w:color w:val="auto"/>
        </w:rPr>
      </w:pPr>
    </w:p>
    <w:p>
      <w:pPr>
        <w:ind w:left="3240" w:right="660" w:hanging="639"/>
        <w:spacing w:after="0" w:line="277" w:lineRule="auto"/>
        <w:tabs>
          <w:tab w:leader="none" w:pos="3257"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Abuse</w:t>
      </w:r>
      <w:r>
        <w:rPr>
          <w:rFonts w:ascii="Arial" w:cs="Arial" w:eastAsia="Arial" w:hAnsi="Arial"/>
          <w:sz w:val="18"/>
          <w:szCs w:val="18"/>
          <w:color w:val="auto"/>
        </w:rPr>
        <w:t>” shall mean the persistent or sporadic, intentional excessive use of a medicinal product, which is accompanied by harmful physical or psychological effects.</w:t>
      </w:r>
    </w:p>
    <w:p>
      <w:pPr>
        <w:spacing w:after="0" w:line="170" w:lineRule="exact"/>
        <w:rPr>
          <w:rFonts w:ascii="Arial" w:cs="Arial" w:eastAsia="Arial" w:hAnsi="Arial"/>
          <w:sz w:val="18"/>
          <w:szCs w:val="18"/>
          <w:color w:val="auto"/>
        </w:rPr>
      </w:pPr>
    </w:p>
    <w:p>
      <w:pPr>
        <w:ind w:left="3240" w:right="380" w:hanging="639"/>
        <w:spacing w:after="0" w:line="277" w:lineRule="auto"/>
        <w:tabs>
          <w:tab w:leader="none" w:pos="32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Occupational Exposure</w:t>
      </w:r>
      <w:r>
        <w:rPr>
          <w:rFonts w:ascii="Arial" w:cs="Arial" w:eastAsia="Arial" w:hAnsi="Arial"/>
          <w:sz w:val="18"/>
          <w:szCs w:val="18"/>
          <w:color w:val="auto"/>
        </w:rPr>
        <w:t>” shall mean the exposure to a medicinal product, as a result of one’s professional or non-professional occupation.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exposure of pregnancy to the Subject Product via the mother, father or both;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information related to studies initiated by independent investigators (“</w:t>
      </w:r>
      <w:r>
        <w:rPr>
          <w:rFonts w:ascii="Arial" w:cs="Arial" w:eastAsia="Arial" w:hAnsi="Arial"/>
          <w:sz w:val="18"/>
          <w:szCs w:val="18"/>
          <w:u w:val="single" w:color="auto"/>
          <w:color w:val="auto"/>
        </w:rPr>
        <w:t>IST</w:t>
      </w:r>
      <w:r>
        <w:rPr>
          <w:rFonts w:ascii="Arial" w:cs="Arial" w:eastAsia="Arial" w:hAnsi="Arial"/>
          <w:sz w:val="18"/>
          <w:szCs w:val="18"/>
          <w:color w:val="auto"/>
        </w:rPr>
        <w:t>”), e.g. also inclusive of awareness of:</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study protocol amendments for safety reasons or any other safety information related to IST;</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other changes to the conduct of the study, its procedures or study documents for safety reasons; or</w:t>
      </w:r>
    </w:p>
    <w:p>
      <w:pPr>
        <w:spacing w:after="0" w:line="225" w:lineRule="exact"/>
        <w:rPr>
          <w:rFonts w:ascii="Arial" w:cs="Arial" w:eastAsia="Arial" w:hAnsi="Arial"/>
          <w:sz w:val="18"/>
          <w:szCs w:val="18"/>
          <w:color w:val="auto"/>
        </w:rPr>
      </w:pPr>
    </w:p>
    <w:p>
      <w:pPr>
        <w:ind w:left="3240" w:right="60" w:hanging="639"/>
        <w:spacing w:after="0" w:line="264" w:lineRule="auto"/>
        <w:tabs>
          <w:tab w:leader="none" w:pos="32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results of assessment of partial or complete safety data or benefit-risk assessments or medical opinions related to an IST regardless by whom (external to Genzyme) these assessments were performed or medical opinions were given;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Safety Information associated with a suspected or confirmed counterfeit Subject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-2156460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TRANSMISSION OF SAFETY INFORMATION AND FOLLOW-UP</w:t>
      </w:r>
    </w:p>
    <w:p>
      <w:pPr>
        <w:sectPr>
          <w:pgSz w:w="11900" w:h="16838" w:orient="portrait"/>
          <w:cols w:equalWidth="0" w:num="1">
            <w:col w:w="11460"/>
          </w:cols>
          <w:pgMar w:left="240" w:top="121" w:right="199" w:bottom="90" w:gutter="0" w:footer="0" w:header="0"/>
        </w:sectPr>
      </w:pPr>
    </w:p>
    <w:bookmarkStart w:id="157" w:name="page158"/>
    <w:bookmarkEnd w:id="157"/>
    <w:p>
      <w:pPr>
        <w:ind w:left="900" w:right="180" w:hanging="647"/>
        <w:spacing w:after="0" w:line="254" w:lineRule="auto"/>
        <w:tabs>
          <w:tab w:leader="none" w:pos="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Veracyte shall transmit Safety Information in or coming into its possession or control to Genzyme within twenty-four (24) hours after receiving such information via e-mail. Veracyte shall provide the following information: patient identifiers, reporter name and contact information, the Subject Product(s) (drug, dose, route, date of administration), and information regarding the Adverse Event to Genzyme by email in any of the following forms: (i) CIOMS I, (ii) Med Watch, (iii) AE reporting form (electronic or hardcopy) or (iv) any other form specifically agreed to between Veracyte and Genzyme in writing. The communication shall be in English and all such documents shall be in an electronic format that allows for “copy &amp; paste” of the Safety Information from the document into the Genzyme safety database. Such communications should be directed from the relevant Veracyte contact person indicated below, by specifying date of receipt and contact details from the complainant (to allow Genzyme to follow up), to:</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cl-Partners-CPV@sanofi.com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Veracyte Contact Person</w:t>
      </w: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Kevin Lenn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Kevin@veracyte.com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650-243-6330</w:t>
      </w:r>
    </w:p>
    <w:p>
      <w:pPr>
        <w:spacing w:after="0" w:line="211" w:lineRule="exact"/>
        <w:rPr>
          <w:sz w:val="20"/>
          <w:szCs w:val="20"/>
          <w:color w:val="auto"/>
        </w:rPr>
      </w:pPr>
    </w:p>
    <w:p>
      <w:pPr>
        <w:ind w:left="900" w:right="120" w:hanging="647"/>
        <w:spacing w:after="0" w:line="264" w:lineRule="auto"/>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Veracyte will provide monthly listings of any Safety Information received during the month from all sources and countries for reconciliation purposes. The reconciliation report will include both initial and follow-up Safety Information and will include Veracyte’s report identifiers. The reconciliation report format will be agreed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Genzyme. The report will include information which meets the criteria for Safety Information as defined above in Section 1.</w:t>
      </w:r>
    </w:p>
    <w:p>
      <w:pPr>
        <w:spacing w:after="0" w:line="225" w:lineRule="exact"/>
        <w:rPr>
          <w:sz w:val="20"/>
          <w:szCs w:val="20"/>
          <w:color w:val="auto"/>
        </w:rPr>
      </w:pPr>
    </w:p>
    <w:p>
      <w:pPr>
        <w:ind w:left="900" w:right="160" w:hanging="647"/>
        <w:spacing w:after="0" w:line="264" w:lineRule="auto"/>
        <w:tabs>
          <w:tab w:leader="none" w:pos="8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Genzyme, as the holder of the Marketing Authorization(s) for the Subject Product(s), shall be responsible for the investigation and follow-up of Individual Case Safety Reports (“</w:t>
      </w:r>
      <w:r>
        <w:rPr>
          <w:rFonts w:ascii="Arial" w:cs="Arial" w:eastAsia="Arial" w:hAnsi="Arial"/>
          <w:sz w:val="18"/>
          <w:szCs w:val="18"/>
          <w:u w:val="single" w:color="auto"/>
          <w:color w:val="auto"/>
        </w:rPr>
        <w:t>ICSRs</w:t>
      </w:r>
      <w:r>
        <w:rPr>
          <w:rFonts w:ascii="Arial" w:cs="Arial" w:eastAsia="Arial" w:hAnsi="Arial"/>
          <w:sz w:val="18"/>
          <w:szCs w:val="18"/>
          <w:color w:val="auto"/>
        </w:rPr>
        <w:t>”), for submitting expedited and periodic safety reports to Regulatory Authorities in accordance with applicable laws, and for responding to all local Regulatory Authority’s queries.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RECORDS</w:t>
      </w:r>
    </w:p>
    <w:p>
      <w:pPr>
        <w:spacing w:after="0" w:line="229"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VERACYTE shall establish and maintain:</w:t>
      </w:r>
    </w:p>
    <w:p>
      <w:pPr>
        <w:spacing w:after="0" w:line="225" w:lineRule="exact"/>
        <w:rPr>
          <w:sz w:val="20"/>
          <w:szCs w:val="20"/>
          <w:color w:val="auto"/>
        </w:rPr>
      </w:pPr>
    </w:p>
    <w:p>
      <w:pPr>
        <w:jc w:val="both"/>
        <w:ind w:left="1960" w:right="360" w:hanging="655"/>
        <w:spacing w:after="0" w:line="264" w:lineRule="auto"/>
        <w:tabs>
          <w:tab w:leader="none" w:pos="195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adequate policies and Standard Operating Procedures to ascertain compliance with the obligations towards the transmission of Safety Information as stipulated under Section 2 above. Veracyte will disclose any of such policies and/or Standard Operating Procedures to Genzyme when requested; and</w:t>
      </w:r>
    </w:p>
    <w:p>
      <w:pPr>
        <w:spacing w:after="0" w:line="181" w:lineRule="exact"/>
        <w:rPr>
          <w:rFonts w:ascii="Arial" w:cs="Arial" w:eastAsia="Arial" w:hAnsi="Arial"/>
          <w:sz w:val="18"/>
          <w:szCs w:val="18"/>
          <w:color w:val="auto"/>
        </w:rPr>
      </w:pPr>
    </w:p>
    <w:p>
      <w:pPr>
        <w:ind w:left="1960" w:right="140" w:hanging="655"/>
        <w:spacing w:after="0" w:line="277" w:lineRule="auto"/>
        <w:tabs>
          <w:tab w:leader="none" w:pos="1967" w:val="left"/>
        </w:tabs>
        <w:numPr>
          <w:ilvl w:val="0"/>
          <w:numId w:val="73"/>
        </w:numPr>
        <w:rPr>
          <w:rFonts w:ascii="Arial" w:cs="Arial" w:eastAsia="Arial" w:hAnsi="Arial"/>
          <w:sz w:val="18"/>
          <w:szCs w:val="18"/>
          <w:color w:val="auto"/>
        </w:rPr>
      </w:pPr>
      <w:r>
        <w:rPr>
          <w:rFonts w:ascii="Arial" w:cs="Arial" w:eastAsia="Arial" w:hAnsi="Arial"/>
          <w:sz w:val="18"/>
          <w:szCs w:val="18"/>
          <w:color w:val="auto"/>
        </w:rPr>
        <w:t>job descriptions and training records for personnel having responsibilities in respect of the handling of Safety Information for the Subject Products.</w:t>
      </w:r>
    </w:p>
    <w:p>
      <w:pPr>
        <w:spacing w:after="0" w:line="170" w:lineRule="exact"/>
        <w:rPr>
          <w:sz w:val="20"/>
          <w:szCs w:val="20"/>
          <w:color w:val="auto"/>
        </w:rPr>
      </w:pPr>
    </w:p>
    <w:p>
      <w:pPr>
        <w:jc w:val="both"/>
        <w:ind w:left="900" w:right="60" w:hanging="647"/>
        <w:spacing w:after="0" w:line="264"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Veracyte shall make the records as described above in Section 3.1 available to Genzyme and to any third party designated by Genzyme, and shall provide copies of these records to Genzyme and/or any third party designated by it, within three (3) business days of receiving a request for such records.</w:t>
      </w:r>
    </w:p>
    <w:p>
      <w:pPr>
        <w:spacing w:after="0" w:line="181" w:lineRule="exact"/>
        <w:rPr>
          <w:sz w:val="20"/>
          <w:szCs w:val="20"/>
          <w:color w:val="auto"/>
        </w:rPr>
      </w:pPr>
    </w:p>
    <w:p>
      <w:pPr>
        <w:ind w:left="900" w:right="140" w:hanging="647"/>
        <w:spacing w:after="0" w:line="277" w:lineRule="auto"/>
        <w:tabs>
          <w:tab w:leader="none" w:pos="8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Veracyte shall maintain the records as described above in Section 3.1 for a period of at least three (3) years after the expiration or termination of the Agreement, or such longer period as may be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TRAINING</w:t>
      </w:r>
    </w:p>
    <w:p>
      <w:pPr>
        <w:spacing w:after="0" w:line="229" w:lineRule="exact"/>
        <w:rPr>
          <w:sz w:val="20"/>
          <w:szCs w:val="20"/>
          <w:color w:val="auto"/>
        </w:rPr>
      </w:pPr>
    </w:p>
    <w:p>
      <w:pPr>
        <w:jc w:val="both"/>
        <w:ind w:left="900" w:right="60" w:hanging="647"/>
        <w:spacing w:after="0" w:line="259"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Veracyte shall ensure training to its personnel involved in the handling of Safety Information within a reasonable period following the Effective Date, to ensure compliance with the procedures contained in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Veracyte agrees to ensure that all relevant members of their staff are adequately kept informed on the processes for the handling of Safety Information, as defined in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in any subsequent amendment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AUDIT</w:t>
      </w:r>
    </w:p>
    <w:p>
      <w:pPr>
        <w:spacing w:after="0" w:line="229" w:lineRule="exact"/>
        <w:rPr>
          <w:sz w:val="20"/>
          <w:szCs w:val="20"/>
          <w:color w:val="auto"/>
        </w:rPr>
      </w:pPr>
    </w:p>
    <w:p>
      <w:pPr>
        <w:ind w:left="900" w:hanging="647"/>
        <w:spacing w:after="0" w:line="259" w:lineRule="auto"/>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Genzyme, or an Affiliate on its behalf, has the right to audit Veracyte’s pharmacovigilance records to confirm compliance with the relevant provisions hereof and of applicable law. Such audit may be either a documentary audit or otherwise, and will be performed at reasonable times and places, upon reasonable notice, and at Genzyme’s sole expense, either with Genzyme or an Affiliate’s internal auditors or other individuals or a third party qualified by experience; provided that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00" w:right="820"/>
        <w:spacing w:after="0" w:line="277" w:lineRule="auto"/>
        <w:rPr>
          <w:sz w:val="20"/>
          <w:szCs w:val="20"/>
          <w:color w:val="auto"/>
        </w:rPr>
      </w:pPr>
      <w:r>
        <w:rPr>
          <w:rFonts w:ascii="Arial" w:cs="Arial" w:eastAsia="Arial" w:hAnsi="Arial"/>
          <w:sz w:val="18"/>
          <w:szCs w:val="18"/>
          <w:color w:val="auto"/>
        </w:rPr>
        <w:t>is reasonably acceptable to vendor. Veracyte agrees to provide Genzyme, or an Affiliate on its behalf, with access to relevant systems, documentation and individuals for purposes of conducting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8" w:name="page159"/>
    <w:bookmarkEnd w:id="158"/>
    <w:p>
      <w:pPr>
        <w:spacing w:after="0"/>
        <w:rPr>
          <w:rFonts w:ascii="Arial" w:cs="Arial" w:eastAsia="Arial" w:hAnsi="Arial"/>
          <w:sz w:val="22"/>
          <w:szCs w:val="22"/>
          <w:color w:val="0000EE"/>
        </w:rPr>
      </w:pPr>
      <w:hyperlink w:anchor="page1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333-191992) pertaining to the 2013 Stock Incentive Plan and the 2008 Stock Plan dated October 30, 2013, of our report dated March 24, 2015, with respect to the consolidated financial statements of Veracyte, Inc. in this Annual Report (Form 10-K) for the year ended December 31,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60" w:name="page161"/>
    <w:bookmarkEnd w:id="160"/>
    <w:p>
      <w:pPr>
        <w:spacing w:after="0"/>
        <w:rPr>
          <w:rFonts w:ascii="Arial" w:cs="Arial" w:eastAsia="Arial" w:hAnsi="Arial"/>
          <w:sz w:val="22"/>
          <w:szCs w:val="22"/>
          <w:color w:val="0000EE"/>
        </w:rPr>
      </w:pPr>
      <w:hyperlink w:anchor="page1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477"/>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333-191992) of Veracyte, Inc. of our report dated March 20, 2014 relating to the financial statements of Veracyte, Inc., which appears in this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1">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62" w:name="page163"/>
    <w:bookmarkEnd w:id="162"/>
    <w:p>
      <w:pPr>
        <w:spacing w:after="0"/>
        <w:rPr>
          <w:rFonts w:ascii="Arial" w:cs="Arial" w:eastAsia="Arial" w:hAnsi="Arial"/>
          <w:sz w:val="22"/>
          <w:szCs w:val="22"/>
          <w:color w:val="0000EE"/>
        </w:rPr>
      </w:pPr>
      <w:hyperlink w:anchor="page1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720" w:hanging="361"/>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487"/>
        <w:spacing w:after="0" w:line="259" w:lineRule="auto"/>
        <w:tabs>
          <w:tab w:leader="none" w:pos="908"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0"/>
        <w:spacing w:after="0" w:line="259" w:lineRule="auto"/>
        <w:tabs>
          <w:tab w:leader="none" w:pos="1453" w:val="left"/>
        </w:tabs>
        <w:numPr>
          <w:ilvl w:val="7"/>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44"/>
        <w:spacing w:after="0" w:line="332" w:lineRule="auto"/>
        <w:tabs>
          <w:tab w:leader="none" w:pos="1547" w:val="left"/>
        </w:tabs>
        <w:numPr>
          <w:ilvl w:val="8"/>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4"/>
        <w:spacing w:after="0" w:line="259" w:lineRule="auto"/>
        <w:tabs>
          <w:tab w:leader="none" w:pos="1309" w:val="left"/>
        </w:tabs>
        <w:numPr>
          <w:ilvl w:val="6"/>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PRINCIPAL EXECUTIVE OFFICER'S CERTIFICATION PURSUANT TO SECTION 302 OF THE SARBANES-OXLEY ACT OF 2002</w:t>
        </w:r>
      </w:hyperlink>
    </w:p>
    <w:p>
      <w:pPr>
        <w:sectPr>
          <w:pgSz w:w="11900" w:h="16838" w:orient="portrait"/>
          <w:cols w:equalWidth="0" w:num="1">
            <w:col w:w="10219"/>
          </w:cols>
          <w:pgMar w:left="240" w:top="821" w:right="1440" w:bottom="1440" w:gutter="0" w:footer="0" w:header="0"/>
        </w:sectPr>
      </w:pPr>
    </w:p>
    <w:bookmarkStart w:id="164" w:name="page165"/>
    <w:bookmarkEnd w:id="164"/>
    <w:p>
      <w:pPr>
        <w:spacing w:after="0"/>
        <w:rPr>
          <w:rFonts w:ascii="Arial" w:cs="Arial" w:eastAsia="Arial" w:hAnsi="Arial"/>
          <w:sz w:val="22"/>
          <w:szCs w:val="22"/>
          <w:color w:val="0000EE"/>
        </w:rPr>
      </w:pPr>
      <w:hyperlink w:anchor="page1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720" w:hanging="361"/>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487"/>
        <w:spacing w:after="0" w:line="259" w:lineRule="auto"/>
        <w:tabs>
          <w:tab w:leader="none" w:pos="908" w:val="left"/>
        </w:tabs>
        <w:numPr>
          <w:ilvl w:val="3"/>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0"/>
        <w:spacing w:after="0" w:line="259" w:lineRule="auto"/>
        <w:tabs>
          <w:tab w:leader="none" w:pos="1453" w:val="left"/>
        </w:tabs>
        <w:numPr>
          <w:ilvl w:val="7"/>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44"/>
        <w:spacing w:after="0" w:line="332" w:lineRule="auto"/>
        <w:tabs>
          <w:tab w:leader="none" w:pos="1547" w:val="left"/>
        </w:tabs>
        <w:numPr>
          <w:ilvl w:val="8"/>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4"/>
        <w:spacing w:after="0" w:line="259" w:lineRule="auto"/>
        <w:tabs>
          <w:tab w:leader="none" w:pos="1309" w:val="left"/>
        </w:tabs>
        <w:numPr>
          <w:ilvl w:val="6"/>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5">
        <w:r>
          <w:rPr>
            <w:rFonts w:ascii="Arial" w:cs="Arial" w:eastAsia="Arial" w:hAnsi="Arial"/>
            <w:sz w:val="16"/>
            <w:szCs w:val="16"/>
            <w:u w:val="single" w:color="auto"/>
            <w:color w:val="0000EE"/>
          </w:rPr>
          <w:t>PRINCIPAL FINANCIAL OFFICER'S 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66" w:name="page167"/>
    <w:bookmarkEnd w:id="166"/>
    <w:p>
      <w:pPr>
        <w:spacing w:after="0"/>
        <w:rPr>
          <w:rFonts w:ascii="Arial" w:cs="Arial" w:eastAsia="Arial" w:hAnsi="Arial"/>
          <w:sz w:val="22"/>
          <w:szCs w:val="22"/>
          <w:color w:val="0000EE"/>
        </w:rPr>
      </w:pPr>
      <w:hyperlink w:anchor="page1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1" w:right="359" w:bottom="1440" w:gutter="0" w:footer="0" w:header="0"/>
        </w:sectPr>
      </w:pPr>
    </w:p>
    <w:bookmarkStart w:id="168" w:name="page169"/>
    <w:bookmarkEnd w:id="168"/>
    <w:p>
      <w:pPr>
        <w:spacing w:after="0"/>
        <w:rPr>
          <w:rFonts w:ascii="Arial" w:cs="Arial" w:eastAsia="Arial" w:hAnsi="Arial"/>
          <w:sz w:val="22"/>
          <w:szCs w:val="22"/>
          <w:color w:val="0000EE"/>
        </w:rPr>
      </w:pPr>
      <w:hyperlink w:anchor="page1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9">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
      <w:numFmt w:val="bullet"/>
      <w:start w:val="1"/>
    </w:lvl>
    <w:lvl w:ilvl="1">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5"/>
    </w:lvl>
  </w:abstractNum>
  <w:abstractNum w:abstractNumId="29">
    <w:nsid w:val="520EEDD1"/>
    <w:multiLevelType w:val="hybridMultilevel"/>
    <w:lvl w:ilvl="0">
      <w:lvlJc w:val="left"/>
      <w:lvlText w:val="(%1)"/>
      <w:numFmt w:val="decimal"/>
      <w:start w:val="5"/>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lowerLetter"/>
      <w:start w:val="1"/>
    </w:lvl>
    <w:lvl w:ilvl="1">
      <w:lvlJc w:val="left"/>
      <w:lvlText w:val="%2."/>
      <w:numFmt w:val="decimal"/>
      <w:start w:val="1"/>
    </w:lvl>
  </w:abstractNum>
  <w:abstractNum w:abstractNumId="34">
    <w:nsid w:val="275AC794"/>
    <w:multiLevelType w:val="hybridMultilevel"/>
    <w:lvl w:ilvl="0">
      <w:lvlJc w:val="left"/>
      <w:lvlText w:val="%1."/>
      <w:numFmt w:val="decimal"/>
      <w:start w:val="2"/>
    </w:lvl>
  </w:abstractNum>
  <w:abstractNum w:abstractNumId="35">
    <w:nsid w:val="39386575"/>
    <w:multiLevelType w:val="hybridMultilevel"/>
    <w:lvl w:ilvl="0">
      <w:lvlJc w:val="left"/>
      <w:lvlText w:val="%1."/>
      <w:numFmt w:val="decimal"/>
      <w:start w:val="3"/>
    </w:lvl>
  </w:abstractNum>
  <w:abstractNum w:abstractNumId="36">
    <w:nsid w:val="1CF10FD8"/>
    <w:multiLevelType w:val="hybridMultilevel"/>
    <w:lvl w:ilvl="0">
      <w:lvlJc w:val="left"/>
      <w:lvlText w:val="(%1)"/>
      <w:numFmt w:val="lowerLetter"/>
      <w:start w:val="2"/>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lowerLetter"/>
      <w:start w:val="3"/>
    </w:lvl>
  </w:abstractNum>
  <w:abstractNum w:abstractNumId="41">
    <w:nsid w:val="15B5AF5C"/>
    <w:multiLevelType w:val="hybridMultilevel"/>
    <w:lvl w:ilvl="0">
      <w:lvlJc w:val="left"/>
      <w:lvlText w:val="%1."/>
      <w:numFmt w:val="upperLetter"/>
      <w:start w:val="1"/>
    </w:lvl>
  </w:abstractNum>
  <w:abstractNum w:abstractNumId="42">
    <w:nsid w:val="741226BB"/>
    <w:multiLevelType w:val="hybridMultilevel"/>
    <w:lvl w:ilvl="0">
      <w:lvlJc w:val="left"/>
      <w:lvlText w:val="(%1)"/>
      <w:numFmt w:val="upperLetter"/>
      <w:start w:val="3"/>
    </w:lvl>
  </w:abstractNum>
  <w:abstractNum w:abstractNumId="43">
    <w:nsid w:val="D34B6A8"/>
    <w:multiLevelType w:val="hybridMultilevel"/>
    <w:lvl w:ilvl="0">
      <w:lvlJc w:val="left"/>
      <w:lvlText w:val="(%1)"/>
      <w:numFmt w:val="lowerLetter"/>
      <w:start w:val="1"/>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decimal"/>
      <w:start w:val="2"/>
    </w:lvl>
  </w:abstractNum>
  <w:abstractNum w:abstractNumId="46">
    <w:nsid w:val="61574095"/>
    <w:multiLevelType w:val="hybridMultilevel"/>
    <w:lvl w:ilvl="0">
      <w:lvlJc w:val="left"/>
      <w:lvlText w:val="(%1)"/>
      <w:numFmt w:val="lowerRoman"/>
      <w:start w:val="3"/>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7"/>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2"/>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4"/>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2"/>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1"/>
    </w:lvl>
  </w:abstractNum>
  <w:abstractNum w:abstractNumId="60">
    <w:nsid w:val="6590700B"/>
    <w:multiLevelType w:val="hybridMultilevel"/>
    <w:lvl w:ilvl="0">
      <w:lvlJc w:val="left"/>
      <w:lvlText w:val="(%1)"/>
      <w:numFmt w:val="upperLetter"/>
      <w:start w:val="2"/>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Roman"/>
      <w:start w:val="1"/>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2"/>
    </w:lvl>
  </w:abstractNum>
  <w:abstractNum w:abstractNumId="67">
    <w:nsid w:val="168E121F"/>
    <w:multiLevelType w:val="hybridMultilevel"/>
    <w:lvl w:ilvl="0">
      <w:lvlJc w:val="left"/>
      <w:lvlText w:val="(%1)"/>
      <w:numFmt w:val="decimal"/>
      <w:start w:val="30"/>
    </w:lvl>
  </w:abstractNum>
  <w:abstractNum w:abstractNumId="68">
    <w:nsid w:val="1EBA5D23"/>
    <w:multiLevelType w:val="hybridMultilevel"/>
    <w:lvl w:ilvl="0">
      <w:lvlJc w:val="left"/>
      <w:lvlText w:val="%1."/>
      <w:numFmt w:val="decimal"/>
      <w:start w:val="1"/>
    </w:lvl>
    <w:lvl w:ilvl="1">
      <w:lvlJc w:val="left"/>
      <w:lvlText w:val="%2."/>
      <w:numFmt w:val="lowerLetter"/>
      <w:start w:val="1"/>
    </w:lvl>
  </w:abstractNum>
  <w:abstractNum w:abstractNumId="69">
    <w:nsid w:val="661E3F1E"/>
    <w:multiLevelType w:val="hybridMultilevel"/>
    <w:lvl w:ilvl="0">
      <w:lvlJc w:val="left"/>
      <w:lvlText w:val="%1."/>
      <w:numFmt w:val="decimal"/>
      <w:start w:val="2"/>
    </w:lvl>
    <w:lvl w:ilvl="1">
      <w:lvlJc w:val="left"/>
      <w:lvlText w:val="%2."/>
      <w:numFmt w:val="lowerLetter"/>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lowerLetter"/>
      <w:start w:val="1"/>
    </w:lvl>
    <w:lvl w:ilvl="1">
      <w:lvlJc w:val="left"/>
      <w:lvlText w:val="(%2)"/>
      <w:numFmt w:val="lowerRoman"/>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74">
    <w:nsid w:val="613EFDC5"/>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75">
    <w:nsid w:val="BF72B14"/>
    <w:multiLevelType w:val="hybridMultilevel"/>
    <w:lvl w:ilvl="0">
      <w:lvlJc w:val="left"/>
      <w:lvlText w:val="(%1)"/>
      <w:numFmt w:val="decimal"/>
      <w:start w:val="1"/>
    </w:lvl>
    <w:lvl w:ilvl="1">
      <w:lvlJc w:val="left"/>
      <w:lvlText w:val="(%2)"/>
      <w:numFmt w:val="decimal"/>
      <w:start w:val="2"/>
    </w:lvl>
  </w:abstractNum>
  <w:abstractNum w:abstractNumId="76">
    <w:nsid w:val="11447B73"/>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2019-12-29T18:11:58Z</dcterms:created>
  <dcterms:modified xsi:type="dcterms:W3CDTF">2019-12-29T18:11:58Z</dcterms:modified>
</cp:coreProperties>
</file>