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356"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0" w:hanging="45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020" w:right="140" w:hanging="551"/>
        <w:spacing w:after="0" w:line="223" w:lineRule="exact"/>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4"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460" w:hanging="45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460" w:hanging="450"/>
        <w:spacing w:after="0" w:line="29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980"/>
          </w:cols>
          <w:pgMar w:left="360" w:top="292"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on Tuesday, June 11, 2019, at 10:00 a.m., Pacific Time, at 6000 Shoreline Court, 3rd Floor, South San Francisco, California 94080.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to be acted upon are described in the accompanying Notice of Annual Meeting and Proxy Statement.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After reading the Proxy Statement, please vote promptly to ensure that your shares will be represented.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please vote by telephone or the internet, or sign and return a proxy card to ensure your representation at the meeting. Your vote is important.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200" w:lineRule="exact"/>
        <w:rPr>
          <w:sz w:val="20"/>
          <w:szCs w:val="20"/>
          <w:color w:val="auto"/>
        </w:rPr>
      </w:pPr>
    </w:p>
    <w:p>
      <w:pPr>
        <w:spacing w:after="0" w:line="30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118110</wp:posOffset>
            </wp:positionV>
            <wp:extent cx="183515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15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0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Tuesday, June 11, 2019</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Annual Meeting of Stockholders of Veracyte, Inc., a Delaware corporation, will be held at 6000 Shoreline Court, 3rd Floor, South San Francisco, California 94080, on Tuesday, June 11, 2019, at 10:00 a.m., Pacific Time, for the following purposes:</w:t>
      </w:r>
    </w:p>
    <w:p>
      <w:pPr>
        <w:spacing w:after="0" w:line="170"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III directors to serve until the 2022 Annual Meeting of Stockholders or until their successors are duly elected and qualified;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2019;</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by us to our named executive officers as disclosed in this Proxy Statement;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select, on a non-binding advisory basis, whether future advisory votes on the compensation paid by us to our named executive officers should be held every one, two or three years;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as of the close of business on April 12, 2019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in person. You may vote on the internet, by telephone or by mailing the enclosed proxy card or voting instruction form. Please review the instructions on page 2 of the Proxy Statement and your proxy card or voting instruction form regarding each of these voting options.</w:t>
      </w:r>
    </w:p>
    <w:p>
      <w:pPr>
        <w:spacing w:after="0" w:line="3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117475</wp:posOffset>
            </wp:positionV>
            <wp:extent cx="183515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1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11, 2019.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https://materials.proxyvote.com.</w:t>
      </w:r>
    </w:p>
    <w:p>
      <w:pPr>
        <w:sectPr>
          <w:pgSz w:w="11900" w:h="16838" w:orient="portrait"/>
          <w:cols w:equalWidth="0" w:num="1">
            <w:col w:w="11420"/>
          </w:cols>
          <w:pgMar w:left="240" w:top="657"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FOR 2019 ANNUAL MEETING OF STOCKHOLDERS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10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27"/>
        </w:trPr>
        <w:tc>
          <w:tcPr>
            <w:tcW w:w="10240" w:type="dxa"/>
            <w:vAlign w:val="bottom"/>
            <w:vMerge w:val="restart"/>
          </w:tcPr>
          <w:p>
            <w:pPr>
              <w:spacing w:after="0"/>
              <w:rPr>
                <w:sz w:val="20"/>
                <w:szCs w:val="20"/>
                <w:color w:val="auto"/>
              </w:rPr>
            </w:pPr>
            <w:r>
              <w:rPr>
                <w:rFonts w:ascii="Arial" w:cs="Arial" w:eastAsia="Arial" w:hAnsi="Arial"/>
                <w:sz w:val="18"/>
                <w:szCs w:val="18"/>
                <w:b w:val="1"/>
                <w:bCs w:val="1"/>
                <w:color w:val="auto"/>
              </w:rPr>
              <w:t>GENERAL INFORMATION</w:t>
            </w: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240" w:type="dxa"/>
            <w:vAlign w:val="bottom"/>
            <w:vMerge w:val="continue"/>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Information about Solicitation and Voting</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Questions and Answers about the Proxy Materials and the Annual Meeting</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Directors and Nominees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 Nominations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 Qualifications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 Independence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Compensation Committee Interlocks and Insider Participation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Board Meetings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Board Committees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Corporate Governance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Certain Relationships and Related Transactions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Related Party Transaction Approval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2018 Director Compensation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Approach to Executive Compensation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Summary Compensation Table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2018 Outstanding Equity Awards at Fiscal Year-End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Equity Compensation Plan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Independent Registered Public Accounting Firm Fees and Services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Pre-approval Policies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Required Vote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PROPOSAL 3 ADVISORY VOTE ON THE COMPENSATION OF OUR NAMED EXECUTIVE OFFICERS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52"/>
        </w:trPr>
        <w:tc>
          <w:tcPr>
            <w:tcW w:w="10240" w:type="dxa"/>
            <w:vAlign w:val="bottom"/>
          </w:tcPr>
          <w:p>
            <w:pPr>
              <w:spacing w:after="0"/>
              <w:rPr>
                <w:sz w:val="20"/>
                <w:szCs w:val="20"/>
                <w:color w:val="auto"/>
              </w:rPr>
            </w:pPr>
            <w:r>
              <w:rPr>
                <w:rFonts w:ascii="Arial" w:cs="Arial" w:eastAsia="Arial" w:hAnsi="Arial"/>
                <w:sz w:val="18"/>
                <w:szCs w:val="18"/>
                <w:b w:val="1"/>
                <w:bCs w:val="1"/>
                <w:color w:val="auto"/>
              </w:rPr>
              <w:t>PROPOSAL 4 ADVISORY VOTE ON THE FREQUENCY OF FUTURE ADVISORY VOTES ON THE COMPENSATION OF</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240" w:type="dxa"/>
            <w:vAlign w:val="bottom"/>
          </w:tcPr>
          <w:p>
            <w:pPr>
              <w:spacing w:after="0"/>
              <w:rPr>
                <w:sz w:val="20"/>
                <w:szCs w:val="20"/>
                <w:color w:val="auto"/>
              </w:rPr>
            </w:pPr>
            <w:r>
              <w:rPr>
                <w:rFonts w:ascii="Arial" w:cs="Arial" w:eastAsia="Arial" w:hAnsi="Arial"/>
                <w:sz w:val="18"/>
                <w:szCs w:val="18"/>
                <w:b w:val="1"/>
                <w:bCs w:val="1"/>
                <w:color w:val="auto"/>
              </w:rPr>
              <w:t>OUR NAMED EXECUTIVE OFFICERS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Section 16(A) Beneficial Ownership Reporting Compliance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Stockholder Proposals for the 2020 Annual Meeting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"Householding" - Stockholders Sharing the Same Last Name and Address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(“Proxy Statement”) is furnished in connection with the solicitation by the Board of Directors of Veracyte, Inc., a Delaware corporation (“we,” “us,” “our” or “Veracyte”), of proxies in the accompanying form to be used at our Annual Meeting of Stockholders to be held at 6000 Shoreline Court, 3rd Floor, South San Francisco, California 94080, on Tuesday, June 11, 2019, at 10:00 a.m., Pacific Time, and any postponement or adjournment thereof (the “Annual Meeting”).</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Notice of Internet Availability of Proxy Materials and this Proxy Statement for the Annual Meeting and the accompanying form of proxy were first distributed and made available on the Internet to stockholders on or about April 24, 2019. Our annual report on Form 10-K for the year ended December 31, 2018 (the “Annual Report”) is available with this Proxy Statement by following the instructions in the Notice of Internet Availability of Proxy Materials.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 proposals will be voted on at the Annual Meeting:</w:t>
      </w:r>
    </w:p>
    <w:p>
      <w:pPr>
        <w:spacing w:after="0" w:line="252" w:lineRule="exact"/>
        <w:rPr>
          <w:sz w:val="20"/>
          <w:szCs w:val="20"/>
          <w:color w:val="auto"/>
        </w:rPr>
      </w:pPr>
    </w:p>
    <w:p>
      <w:pPr>
        <w:ind w:left="1620" w:right="20" w:firstLine="9"/>
        <w:spacing w:after="0" w:line="324"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III directors to serve until the 2022 Annual Meeting or until their successors are duly elected and qualified;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2019;</w:t>
      </w:r>
    </w:p>
    <w:p>
      <w:pPr>
        <w:spacing w:after="0" w:line="277" w:lineRule="exact"/>
        <w:rPr>
          <w:rFonts w:ascii="Arial" w:cs="Arial" w:eastAsia="Arial" w:hAnsi="Arial"/>
          <w:sz w:val="17"/>
          <w:szCs w:val="17"/>
          <w:color w:val="auto"/>
        </w:rPr>
      </w:pPr>
    </w:p>
    <w:p>
      <w:pPr>
        <w:ind w:left="1620" w:firstLine="9"/>
        <w:spacing w:after="0" w:line="324"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our named executive officers, as disclosed in this Proxy Statement; and</w:t>
      </w:r>
    </w:p>
    <w:p>
      <w:pPr>
        <w:spacing w:after="0" w:line="224" w:lineRule="exact"/>
        <w:rPr>
          <w:rFonts w:ascii="Arial" w:cs="Arial" w:eastAsia="Arial" w:hAnsi="Arial"/>
          <w:sz w:val="18"/>
          <w:szCs w:val="18"/>
          <w:color w:val="auto"/>
        </w:rPr>
      </w:pPr>
    </w:p>
    <w:p>
      <w:pPr>
        <w:ind w:left="1620" w:firstLine="9"/>
        <w:spacing w:after="0" w:line="449"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selection, on a non-binding advisory basis, of whether future advisory votes on the compensation of our named executive officers should be held every one, two or three years.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election of each of the nominated Class III directors;</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“FOR” ratification of the appointment of Ernst &amp; Young LLP as our independent registered public accounting firm for 2019;</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5" w:name="page6"/>
    <w:bookmarkEnd w:id="5"/>
    <w:p>
      <w:pPr>
        <w:ind w:left="1620" w:hanging="323"/>
        <w:spacing w:after="0" w:line="387" w:lineRule="auto"/>
        <w:rPr>
          <w:sz w:val="20"/>
          <w:szCs w:val="20"/>
          <w:color w:val="auto"/>
        </w:rPr>
      </w:pPr>
      <w:r>
        <w:rPr>
          <w:rFonts w:ascii="Arial" w:cs="Arial" w:eastAsia="Arial" w:hAnsi="Arial"/>
          <w:sz w:val="18"/>
          <w:szCs w:val="18"/>
          <w:color w:val="auto"/>
        </w:rPr>
        <w:t>“FOR” the approval, on a non-binding advisory basis, of the compensation of our named executive officers, as disclosed in this Proxy Statement; and</w:t>
      </w:r>
    </w:p>
    <w:p>
      <w:pPr>
        <w:spacing w:after="0" w:line="170" w:lineRule="exact"/>
        <w:rPr>
          <w:sz w:val="20"/>
          <w:szCs w:val="20"/>
          <w:color w:val="auto"/>
        </w:rPr>
      </w:pPr>
    </w:p>
    <w:p>
      <w:pPr>
        <w:ind w:left="1620"/>
        <w:spacing w:after="0" w:line="387" w:lineRule="auto"/>
        <w:rPr>
          <w:sz w:val="20"/>
          <w:szCs w:val="20"/>
          <w:color w:val="auto"/>
        </w:rPr>
      </w:pPr>
      <w:r>
        <w:rPr>
          <w:rFonts w:ascii="Arial" w:cs="Arial" w:eastAsia="Arial" w:hAnsi="Arial"/>
          <w:sz w:val="18"/>
          <w:szCs w:val="18"/>
          <w:color w:val="auto"/>
        </w:rPr>
        <w:t>“FOR” the selection of “one year” as the frequency with which we will hold an advisory vote to approve the compensation to be paid to our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of record at the close of business on April 12, 2019 (the “Record Date”) may vote at the Annual Meeting. Each stockholder is entitled to one vote for each share of our common stock held as of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As a stockholder of record, you may vote at the Annual Meeting or vote by telephone, by Internet, or by filling out and returning the proxy card.</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Beneficial Owner. </w:t>
      </w:r>
      <w:r>
        <w:rPr>
          <w:rFonts w:ascii="Arial" w:cs="Arial" w:eastAsia="Arial" w:hAnsi="Arial"/>
          <w:sz w:val="17"/>
          <w:szCs w:val="17"/>
          <w:color w:val="auto"/>
        </w:rPr>
        <w:t>If your shares are held in a brokerage account or by a bank or other nominee, you are considered the “beneficial owner”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Stockholders of record may submit proxies by completing, signing and dating each proxy card received and returning it in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Sign your name exactly as it appears on the proxy. If you return your signed proxy but do not indicate your voting preferences, your shares will be voted on your behalf “FOR” the election of the nominees for Class III director and “FOR” the ratification of the independent registered public accounting firm for 2019, “FOR” the compensation of our named executive officers and as “ONE YEAR” for the frequency of advisory votes on the compensation of our named executive officers.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spacing w:after="0" w:line="189" w:lineRule="exact"/>
        <w:rPr>
          <w:rFonts w:ascii="Arial" w:cs="Arial" w:eastAsia="Arial" w:hAnsi="Arial"/>
          <w:sz w:val="18"/>
          <w:szCs w:val="18"/>
          <w:b w:val="1"/>
          <w:bCs w:val="1"/>
          <w:color w:val="auto"/>
        </w:rPr>
      </w:pPr>
    </w:p>
    <w:p>
      <w:pPr>
        <w:jc w:val="both"/>
        <w:ind w:left="660" w:hanging="328"/>
        <w:spacing w:after="0" w:line="27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Stockholders of record may submit proxies by following the telephone voting instructions on their proxy cards. Most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spacing w:after="0" w:line="168" w:lineRule="exact"/>
        <w:rPr>
          <w:rFonts w:ascii="Arial" w:cs="Arial" w:eastAsia="Arial" w:hAnsi="Arial"/>
          <w:sz w:val="17"/>
          <w:szCs w:val="17"/>
          <w:b w:val="1"/>
          <w:bCs w:val="1"/>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Stockholders of record may submit proxies by following the internet voting instructions on their proxy cards. Most stockholders who</w:t>
      </w:r>
      <w:r>
        <w:rPr>
          <w:rFonts w:ascii="Arial" w:cs="Arial" w:eastAsia="Arial" w:hAnsi="Arial"/>
          <w:sz w:val="18"/>
          <w:szCs w:val="18"/>
          <w:b w:val="1"/>
          <w:bCs w:val="1"/>
          <w:color w:val="auto"/>
        </w:rPr>
        <w:t xml:space="preserve"> </w:t>
      </w:r>
      <w:r>
        <w:rPr>
          <w:rFonts w:ascii="Arial" w:cs="Arial" w:eastAsia="Arial" w:hAnsi="Arial"/>
          <w:sz w:val="18"/>
          <w:szCs w:val="18"/>
          <w:color w:val="auto"/>
        </w:rPr>
        <w:t>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8" w:right="239" w:bottom="1440" w:gutter="0" w:footer="0" w:header="0"/>
        </w:sectPr>
      </w:pPr>
    </w:p>
    <w:bookmarkStart w:id="6" w:name="page7"/>
    <w:bookmarkEnd w:id="6"/>
    <w:p>
      <w:pPr>
        <w:jc w:val="both"/>
        <w:ind w:left="660" w:hanging="328"/>
        <w:spacing w:after="0" w:line="303"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Person at the Annual Meeting </w:t>
      </w:r>
      <w:r>
        <w:rPr>
          <w:rFonts w:ascii="Arial" w:cs="Arial" w:eastAsia="Arial" w:hAnsi="Arial"/>
          <w:sz w:val="16"/>
          <w:szCs w:val="16"/>
          <w:color w:val="auto"/>
        </w:rPr>
        <w:t>- Shares held in your name as the stockholder of record may be voted at the Annual Meeting. Shares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 submit your proxy or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instructions or vote by telephone or the internet so that your vote will be counted if you later decide not to attend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election of directors, you may vote “FOR” all of the Class III nominees or your vote may be “WITHHELD” with respect to one or more of the nominees.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2, the appointment of Ernst &amp; Young LLP as our independent registered public accounting firm for 2019, you may vote “FOR,” vote “AGAINST” or “ABSTAIN.” Abstentions have the same effect as votes “AGAINST” this proposal.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3, the approval, on a non-binding advisory basis, of the compensation of our named executive officers, you may vote “FOR,” vote “AGAINST” or “ABSTAIN.” Abstentions have the same effect as votes “AGAINST” this proposal.</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Proposal 4, the frequency with which we will hold an advisory vote to approve the compensation to be paid to our named executive officers, you may vote “ONE YEAR,” vote “TWO YEARS,” vote “THREE YEARS,” or “ABSTAIN.” An abstention has no effect on the determination of which voting frequency (“ONE YEAR,” “TWO YEARS” or “THREE YEARS”) receives the highest number of affirmative votes cast.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III nominees to the board of directors, “FOR” the ratification of Ernst &amp; Young LLP as our independent registered public accounting firm for 2019, “FOR” approving, on a non-binding advisory basis, the compensation of our named executive officers, “FOR” selecting “ONE YEAR” as the frequency with which we will hold an advisory vote to approve the compensation to be paid to our named executive officers, and in the discretion of the proxy holders on any other matters that may properly come before the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Proposal 1, the election of directors, the two persons receiving the highest number of “FOR” votes at the Annual Meeting will be elected.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Proposal 2 requires the affirmative “FOR” vote of the holders of a majority of the shares present at the Annual Meeting in person or by proxy and entitled to vote.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Proposal 3 requires the affirmative “FOR” vote of the holders of a majority of the shares present at the Annual Meeting in person or by proxy and entitled to vote. Abstentions have the same effect as votes “AGAINST” this proposal.</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Proposal 4, the say-on-pay frequency receiving the greatest number of votes at the Annual Meeting will be deemed to be the preferred frequency option of our stockholders.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hold shares beneficially in street name and do not provide your broker or nominee with voting instructions, your shares may constitute “broker non-votes.” Broker non-votes occur when shares held by a broker for a beneficial owner are not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7"/>
          <w:szCs w:val="17"/>
          <w:color w:val="auto"/>
        </w:rPr>
        <w:t>voted either because (i) the broker did not receive voting instructions from the beneficial owner, or (ii) the broker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2019, is considered a routine matter. The election of directors, the advisory vote on compensation of our named executive officers and the frequency of such votes are non-routine matters. Broker non-votes are counted for purposes of determining whether a quorum is present, but have no effect on the outcome of the matters voted upon. Accordingly, we encourage you to provide voting instructions to your broker, whether or not you plan to attend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at the Annual Meeting, in person or by proxy, of the holders of a majority of the shares of common stock outstanding on the Record Date will constitute a quorum. As of the close of business on the Record Date, there were 41,638,022 shares of our common stock outstanding. Both abstentions and broker non-votes are counted for the purpose of determining the presence of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directors is currently set at nine and will be reduced to eight immediately following the Annual Meeting. Our board of directors is divided into three classes, each serving staggered, three-year terms:</w:t>
      </w:r>
    </w:p>
    <w:p>
      <w:pPr>
        <w:spacing w:after="0" w:line="170"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 of stockholders to be held in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John L. Bishop, Fred E. Cohen, M.D., D.Phil. and Tina S. Nova, Ph.D. and their terms will expire at the annual meeting of stockholders to be held in 2021;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Class III directors are Karin Eastham, Kevin K. Gordon and Jesse I. Treu, Ph.D. and their terms will expire at the Annual Meeting.</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Two Class III directors will be elected at the Annual Meeting to serve until the annual meeting of stockholders to be held in 2022 or until their successors are duly elected and qualified, with the other classes of directors continuing to serve for the remainder of their respective terms. The two nominees receiving the highest number of affirmative votes will be elected as Class III directors. The nominating and corporate governance committee of the board of directors has recommended, and the board of directors has designated, Karin Eastham and Kevin K. Gordon as the nominees for Class III directors to serve until the 2022 annual meeting of stockholders. Jesse I. Treu, Ph.D., was not nominated to serve as a Class III director.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Names of the Class III nominees and the other members of the board of directors and certain biographical information as of March 31, 2019 are set forth below:</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Age</w:t>
            </w: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Position with Veracyte</w:t>
            </w:r>
          </w:p>
        </w:tc>
        <w:tc>
          <w:tcPr>
            <w:tcW w:w="2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Director Since</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480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4800" w:type="dxa"/>
            <w:vAlign w:val="bottom"/>
          </w:tcPr>
          <w:p>
            <w:pPr>
              <w:ind w:left="60"/>
              <w:spacing w:after="0"/>
              <w:rPr>
                <w:sz w:val="20"/>
                <w:szCs w:val="20"/>
                <w:color w:val="auto"/>
              </w:rPr>
            </w:pPr>
            <w:r>
              <w:rPr>
                <w:rFonts w:ascii="Arial" w:cs="Arial" w:eastAsia="Arial" w:hAnsi="Arial"/>
                <w:sz w:val="18"/>
                <w:szCs w:val="18"/>
                <w:color w:val="auto"/>
              </w:rPr>
              <w:t>Lead Independent Director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2014</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Fred E. Cohen, M.D., D.Phil.</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2007</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 and Director Nominee</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2012</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Robert S. Epstein, M.D., M.S.</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 and Director Nominee</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2016</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Tina S. Nova, Ph.D.</w:t>
            </w: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Jesse I. Treu, Ph.D.</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4800" w:type="dxa"/>
            <w:vAlign w:val="bottom"/>
          </w:tcPr>
          <w:p>
            <w:pPr>
              <w:ind w:left="60"/>
              <w:spacing w:after="0"/>
              <w:rPr>
                <w:sz w:val="20"/>
                <w:szCs w:val="20"/>
                <w:color w:val="auto"/>
              </w:rPr>
            </w:pPr>
            <w:r>
              <w:rPr>
                <w:rFonts w:ascii="Arial" w:cs="Arial" w:eastAsia="Arial" w:hAnsi="Arial"/>
                <w:sz w:val="18"/>
                <w:szCs w:val="18"/>
                <w:color w:val="auto"/>
              </w:rPr>
              <w:t>Director</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2010</w:t>
            </w:r>
          </w:p>
        </w:tc>
      </w:tr>
    </w:tbl>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co-founder, Chief Executive Officer and as a member of our board of directors since February 2008 and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our board of directors since December 2016. From August 2013 to February 2017, she also served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Ms. Anderson currently serves as a member of the board of directors of Castle Biosciences, Inc. and as a trustee emeritus of the Keck Graduate Institute of Applied Life Sciences. Ms. Anderson holds a B.S. in Medical Technology from Indiana University of Pennsylvania.</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John L. Bishop </w:t>
      </w:r>
      <w:r>
        <w:rPr>
          <w:rFonts w:ascii="Arial" w:cs="Arial" w:eastAsia="Arial" w:hAnsi="Arial"/>
          <w:sz w:val="18"/>
          <w:szCs w:val="18"/>
          <w:color w:val="auto"/>
        </w:rPr>
        <w:t>was the Chief Executive Officer and served as a member of the board of directors of Cepheid Inc., a molecular diagnostics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2002, and became the chairman of its board of directors in February 2013. Mr. Bishop retired from Cepheid and resigned from the board of directors following the acquisition of Cepheid by Danaher Corporation in November 2016. Mr. Bishop served as President and a member of the board of directors of Vysis, Inc., a genomic disease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3" w:right="2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t>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served as a member of the board of directors and compensation committee member of Conceptus, Inc. from February 2009 until June 2013 upon its acquisition by Bayer HealthCare LLC and as the chairman of the board of directors of AdvaMedDx, a division of the Advanced Medical Technology Association, a private medical diagnostics industry advocacy group, from December 2013 until April 2017. Mr. Bishop holds a B.S. from the University of Miami.</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Fred E. Cohen, M.D., D.Phil. </w:t>
      </w:r>
      <w:r>
        <w:rPr>
          <w:rFonts w:ascii="Arial" w:cs="Arial" w:eastAsia="Arial" w:hAnsi="Arial"/>
          <w:sz w:val="17"/>
          <w:szCs w:val="17"/>
          <w:color w:val="auto"/>
        </w:rPr>
        <w:t>currently serves as a Co-Founder and Senior Managing Partner at Vida Ventures, a life sciences investment group.</w:t>
      </w:r>
      <w:r>
        <w:rPr>
          <w:rFonts w:ascii="Arial" w:cs="Arial" w:eastAsia="Arial" w:hAnsi="Arial"/>
          <w:sz w:val="17"/>
          <w:szCs w:val="17"/>
          <w:i w:val="1"/>
          <w:iCs w:val="1"/>
          <w:color w:val="auto"/>
        </w:rPr>
        <w:t xml:space="preserve"> </w:t>
      </w:r>
      <w:r>
        <w:rPr>
          <w:rFonts w:ascii="Arial" w:cs="Arial" w:eastAsia="Arial" w:hAnsi="Arial"/>
          <w:sz w:val="17"/>
          <w:szCs w:val="17"/>
          <w:color w:val="auto"/>
        </w:rPr>
        <w:t>From 2001 to 2016, Dr. Cohen was a Partner and Managing Director of TPG Capital, a private investment firm, where he led TPG’s venture efforts in biotechnology and life sciences. From 1986 to 2016, Dr. Cohen also served as a member of the faculty of University of California, San Francisco (“UCSF”). At UCSF, Dr. Cohen served as an internist for hospitalized patients, a consulting endocrinologist and as the Chief of the Division of Endocrinology and Metabolism. His research interests include structure based drug design, prion diseases, computational biology and heteropolymer chemistry. Dr. Cohen received his B.S. degree in Molecular Biophysics and Biochemistry from Yale University, his D.Phil. in Molecular Biophysics from Oxford on a Rhodes Scholarship, his M.D. from Stanford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was elected to the Institute of Medicine of the National Academy of Sciences in 2004 and the American Academy of Arts and Sciences in 2008. Dr. Cohen has served on the board of directors of Intellia Therapeutics, Inc. since January 2019, Genomic Health, Inc. since April 2002, UroGen Pharma Ltd. since May 2017, and CareDx, Inc. since January 2003, as well as on the boards of several privately held companies. Dr. Cohen previously served on the board of directors of BioCryst Pharmaceuticals, Inc. from July 2013 until January 2019, Quintiles Transnational Holdings, Inc. from May 2007 to November 2015, Five Prime Therapeutics, Inc. from May 2002 until May 2018, and Tandem Diabetes Care, Inc from June 2013 until April 2019.</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Karin Eastham </w:t>
      </w:r>
      <w:r>
        <w:rPr>
          <w:rFonts w:ascii="Arial" w:cs="Arial" w:eastAsia="Arial" w:hAnsi="Arial"/>
          <w:sz w:val="17"/>
          <w:szCs w:val="17"/>
          <w:color w:val="auto"/>
        </w:rPr>
        <w:t>serves on the boards of directors of several life sciences companies. From May 2004 to September 2008, Ms. Eastham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has served on the board of directors of Nektar Therapeutics since September 2018, Geron Corporation since March 2009 and Illumina, Inc. since August 2004. Ms. Eastham served as a member of the board of directors of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Robert S. Epstein, M.D., M.S. </w:t>
      </w:r>
      <w:r>
        <w:rPr>
          <w:rFonts w:ascii="Arial" w:cs="Arial" w:eastAsia="Arial" w:hAnsi="Arial"/>
          <w:sz w:val="16"/>
          <w:szCs w:val="16"/>
          <w:color w:val="auto"/>
        </w:rPr>
        <w:t>has served as a strategic consultant to life sciences companies since 2013. From 2010 to 2012, Dr. Epstein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Kevin K. Gordon </w:t>
      </w:r>
      <w:r>
        <w:rPr>
          <w:rFonts w:ascii="Arial" w:cs="Arial" w:eastAsia="Arial" w:hAnsi="Arial"/>
          <w:sz w:val="17"/>
          <w:szCs w:val="17"/>
          <w:color w:val="auto"/>
        </w:rPr>
        <w:t>served as President and Chief Financial Officer of Liquidia Technologies Inc., a clinical biopharmaceutical company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2018 until March 2019. Mr. Gordon served as Executive Vice President and Chief Operating Officer of Quintiles Transnational Holdings Inc., a research, clinical trial and pharmaceutical consulting company, from October 2015 until October 2016 and served as Executive Vice President and Chief Financial Officer from July 2010 until December 2015 (Quintiles Transitional Holdings merged with IMS Health Holdings, Inc., an information and technology services company, in October 2016 to form IQVIA Holdings, Inc., a global biopharmaceutical services provider). Mr. Gordon served as Executive Vice President and Chief Financial Officer of Teleflex Incorporated, a medical device company, from March 2007 until January 2010. Prior to that, Mr. Gordon held various senior corporate development positions at Teleflex Incorporated from 1997 to 2007. From 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992 to 1997, he held various senior positions, including General Manager, Chief Financial Officer and Secretary at Package Machinery Company, a consumer product packaging equipment company. From 1984 to 1992, he held senior manager and other various finance positions at KPMG LLP, an audit, tax and advisory services company. Mr. Gordon holds a B.S. in Accounting from the University of Connecticut.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Managing Member of jVen Capital, LLC, a life sciences investment company, since 2007. He also has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OpGen, Inc., a genetic analysis company, since 2013 and has served as a director since 2009.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and CAS Medical Systems, Inc. from May 2008 until October 2013. Mr. Jones received a B.A. in Biotechnology from the University of Colorado and an M.B.A. from The Wharton School at the University of Pennsylvania.</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Tina S. Nova, Ph.D. </w:t>
      </w:r>
      <w:r>
        <w:rPr>
          <w:rFonts w:ascii="Arial" w:cs="Arial" w:eastAsia="Arial" w:hAnsi="Arial"/>
          <w:sz w:val="17"/>
          <w:szCs w:val="17"/>
          <w:color w:val="auto"/>
        </w:rPr>
        <w:t>has served as President and Chief Executive Officer of Decipher Biosciences, Inc., a molecular diagnostics company, since</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2018. Dr. Nova served as President and Chief Executive Officer of Molecular Stethoscope, Inc., a molecular diagnostics company, from September 2015 to July 2018. Dr. Nova served as senior vice president and general manager of Illumina Inc.’s oncology business unit from July 2014 to August 2015. From March 2000 to April 2014, Dr. Nova founded and served as a member of the board of directors, President and Chief Executive Officer of Genoptix, Inc., a medical laboratory, which was acquired in 2011 by Novartis Pharmaceuticals Corporation, a pharmaceutical company. Dr. Nova also held senior positions with Nanogen, Inc., a molecular diagnostics and biomedical research company, Ligand Pharmaceuticals, Inc., a biopharmaceutical company, and Hybritech, Inc., a monoclonal antibody development company. Dr. Nova has served on the board of directors of OpGen, Inc., since April 2017. Dr. Nova has served on the board of directors of Arena Pharmaceuticals, Inc., since September 2004 and as the chairman of its board of directors since June 2016. Dr. Nova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Jesse I. Treu, Ph.D. </w:t>
      </w:r>
      <w:r>
        <w:rPr>
          <w:rFonts w:ascii="Arial" w:cs="Arial" w:eastAsia="Arial" w:hAnsi="Arial"/>
          <w:sz w:val="17"/>
          <w:szCs w:val="17"/>
          <w:color w:val="auto"/>
        </w:rPr>
        <w:t>was a founding partner and has been a partner at Domain Associates, a venture capital firm, since its inception in 1985. He</w:t>
      </w:r>
      <w:r>
        <w:rPr>
          <w:rFonts w:ascii="Arial" w:cs="Arial" w:eastAsia="Arial" w:hAnsi="Arial"/>
          <w:sz w:val="17"/>
          <w:szCs w:val="17"/>
          <w:i w:val="1"/>
          <w:iCs w:val="1"/>
          <w:color w:val="auto"/>
        </w:rPr>
        <w:t xml:space="preserve"> </w:t>
      </w:r>
      <w:r>
        <w:rPr>
          <w:rFonts w:ascii="Arial" w:cs="Arial" w:eastAsia="Arial" w:hAnsi="Arial"/>
          <w:sz w:val="17"/>
          <w:szCs w:val="17"/>
          <w:color w:val="auto"/>
        </w:rPr>
        <w:t>became partner emeritus in 2018. Dr. Treu has served as a member of the board of directors of 38 early-stage healthcare companies, of which 23 became public companies. Dr. Treu has served as a member of the board of directors of Aldeyra Therapeutics, Inc., since June 2013 and a number of privately-held life sciences and biopharmaceutical companies. Prior to the formation of Domain Associates, Dr. Treu was vice president of the predecessor organization to The Wilkerson Group, a pharmaceutical and medical products consulting company, and its venture capital arm, CW Ventures LLC. While at CW Ventures, Dr. Treu served as president and CEO of Microsonics Inc., a cardiac image processing company. Prior to that, Dr. Treu held executive positions at Technicon Instruments, a diagnostic equipment design and manufacturing company which is now part of Siemens Medical Solutions Diagnostics, and General Electric Company, an infrastructure and financial services company. Dr. Treu holds a B.S. in Physics from Rensselaer Polytechnic Institute and an M.A. and a Ph.D. in Physics from Princeton University.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III Nominees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generally nominates directors whose term is scheduled to expire at the next annual meeting of stockholders and appoints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our Secretary and otherwise comply with the provisions of our Bylaws. To be timely, our Bylaws provide that we must have received the stockholder’s notice not earlier than February 11, 2020 and not later than March 12, 2020. Information required by the Bylaws to be in the notice include the name and contact information for the candidate and the person making the nomination and other information about the nominee that must be disclosed in proxy solicitations under Section 14 of the Securities Exchange Act of 1934 and the related rules and regulations under that Section.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Veracyte, Inc., 6000 Shoreline Court, Suite 300, South San Francisco, California 94080. You may obtain a copy of the full text of this provision of the Bylaws by writing to our Secretary at the above address.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members of our board of directors that, in addition to the experience of those individuals described in their biographies above, led our nominating and corporate governance committee and board of directors to conclude that the director should serve as a member of the board of directors.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Chief Executive Officer and our former President.</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has concluded that Mr. Bishop should serve on our board of directors due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Mr. Gordon should serve on our board of directors due to his significant experience in senior management positions in publicly traded life sciences companies, as well as his extensive senior management experience in the biopharmaceutical industry, including key corporate finance and accounting positions.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Dr. Nova’s knowledge of the life sciences industry and her experience as a chief executive officer and as a board member of other publicly traded and privately held life sciences companies qualifies her to serve on our board of directors.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Dr. Treu should serve on our board of directors due to his extensive management experience in the healthcare industry, and his experience as an investor in and director of numerous publicly traded and private life sciences and healthcare companies. Dr. Treu has not been nominated for re-election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our board of directors is, and each individual who served as a member of our board of directors in 2018 was, an “independent director” within the meaning of Rule 5605 of The Nasdaq Stock Market. Ms. Anderson is not considered independent as she serves as our Chief Executive Officer. For Mr. Bishop, Dr. Cohen, Ms. Eastham, Dr. Epstein, Mr. Gordon, Mr. Jones, Dr. Nova and Dr. Treu, the board of directors considered their relationship and transactions with the Company and security holders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members of our compensation committee during 2018 included Karin Eastham, Fred E. Cohen and Evan Jones. No member of our compensation committee in 2018 was at any time during 2018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held nine meetings during 2018. Each director attended at least 75% of the aggregate number of meetings held by the board of directors and of the committees on which such director served.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nominating and corporate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governance, and regulatory and compliance committees are available on the investor section of our website (www.veracyte.com) under the corporate governance tab.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members of the audit committee are Kevin K. Gordon, its Chair, John L. Bishop and Karin Eastham. The audit committee held six meetings during 2018.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Gordon, Mr. Bishop and Ms. Eastham each are qualified as an “audit committee financial expert” under the definition outlined by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current members of the compensation committee are Karin Eastham, its Chair, Fred E. Cohen and Evan Jones. The compensation committee held ten meetings during 2018. 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current members of the nominating and corporate governance committee are Robert S. Epstein, its Chair, Fred E. Cohen and Jesse I. Treu. The nominating and corporate governance committee held five meetings in 2018.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Dr. Treu is not being nominated for re-election at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current members of the regulatory and compliance committee are Tina S. Nova, its Chair, Robert S. Epstein and Evan Jones. The regulatory and compliance committee held four meetings in 2018. Our regulatory and compliance committee assists our board in meeting its responsibilities with regard to oversight of our compliance with healthcare legal and regulatory requirements applicable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 lead independent director of the board of directors separate from our chief executive officer. Ms. Anderson is our chairman and chief executive officer and Mr. Bishop is the lead independent director of the board of directors. The board of directors believes that this leadership structure reflects the role and responsibilities of the chief executive officer in our business and operations with significant involvement and authority vested in a separate lead independent director of the board. The board of directors retains the authority to modify this structure as it deems appropriate.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strategic biopharmaceutical partnerships, executive development and evaluation, regulatory and legal compliance including those laws and regulations relating to product and service promotional activities, Medicare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officers and employees, including our Chairman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Chairman and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compensation arrangements of our directors and named executive officers discussed elsewhere in this Proxy Statement, the following is a description of transactions since January 1, 2018,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2018 Director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2018, our compensation committee engaged Radford, a part of Aon plc, (“Radford”), to provide an analysis of non-employee director compensation, including equity compensation, and an evaluation of the type of equity instruments being awarded. The following table sets forth cash amounts and the value of equity compensation awarded to, earned by, or paid to our non-employee directors for their service in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b w:val="1"/>
                <w:bCs w:val="1"/>
                <w:color w:val="auto"/>
              </w:rPr>
              <w:t>Fees Earned</w:t>
            </w:r>
          </w:p>
        </w:tc>
        <w:tc>
          <w:tcPr>
            <w:tcW w:w="2120" w:type="dxa"/>
            <w:vAlign w:val="bottom"/>
          </w:tcPr>
          <w:p>
            <w:pPr>
              <w:jc w:val="right"/>
              <w:ind w:right="843"/>
              <w:spacing w:after="0"/>
              <w:rPr>
                <w:sz w:val="20"/>
                <w:szCs w:val="20"/>
                <w:color w:val="auto"/>
              </w:rPr>
            </w:pPr>
            <w:r>
              <w:rPr>
                <w:rFonts w:ascii="Arial" w:cs="Arial" w:eastAsia="Arial" w:hAnsi="Arial"/>
                <w:sz w:val="18"/>
                <w:szCs w:val="18"/>
                <w:b w:val="1"/>
                <w:bCs w:val="1"/>
                <w:color w:val="auto"/>
              </w:rPr>
              <w:t>Option</w:t>
            </w:r>
          </w:p>
        </w:tc>
        <w:tc>
          <w:tcPr>
            <w:tcW w:w="1220" w:type="dxa"/>
            <w:vAlign w:val="bottom"/>
          </w:tcPr>
          <w:p>
            <w:pPr>
              <w:spacing w:after="0"/>
              <w:rPr>
                <w:sz w:val="19"/>
                <w:szCs w:val="19"/>
                <w:color w:val="auto"/>
              </w:rPr>
            </w:pPr>
          </w:p>
        </w:tc>
      </w:tr>
      <w:tr>
        <w:trPr>
          <w:trHeight w:val="248"/>
        </w:trPr>
        <w:tc>
          <w:tcPr>
            <w:tcW w:w="3640" w:type="dxa"/>
            <w:vAlign w:val="bottom"/>
          </w:tcPr>
          <w:p>
            <w:pPr>
              <w:ind w:left="2020"/>
              <w:spacing w:after="0"/>
              <w:rPr>
                <w:sz w:val="20"/>
                <w:szCs w:val="20"/>
                <w:color w:val="auto"/>
              </w:rPr>
            </w:pPr>
            <w:r>
              <w:rPr>
                <w:rFonts w:ascii="Arial" w:cs="Arial" w:eastAsia="Arial" w:hAnsi="Arial"/>
                <w:sz w:val="18"/>
                <w:szCs w:val="18"/>
                <w:b w:val="1"/>
                <w:bCs w:val="1"/>
                <w:color w:val="auto"/>
              </w:rPr>
              <w:t>Name</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 options</w:t>
            </w: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or Paid in Cash ($)</w:t>
            </w:r>
          </w:p>
        </w:tc>
        <w:tc>
          <w:tcPr>
            <w:tcW w:w="2120" w:type="dxa"/>
            <w:vAlign w:val="bottom"/>
          </w:tcPr>
          <w:p>
            <w:pPr>
              <w:jc w:val="right"/>
              <w:ind w:right="483"/>
              <w:spacing w:after="0"/>
              <w:rPr>
                <w:sz w:val="20"/>
                <w:szCs w:val="20"/>
                <w:color w:val="auto"/>
              </w:rPr>
            </w:pPr>
            <w:r>
              <w:rPr>
                <w:rFonts w:ascii="Arial" w:cs="Arial" w:eastAsia="Arial" w:hAnsi="Arial"/>
                <w:sz w:val="18"/>
                <w:szCs w:val="18"/>
                <w:b w:val="1"/>
                <w:bCs w:val="1"/>
                <w:color w:val="auto"/>
              </w:rPr>
              <w:t>Awards ($)(1)(2)</w:t>
            </w: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w:t>
            </w:r>
          </w:p>
        </w:tc>
      </w:tr>
      <w:tr>
        <w:trPr>
          <w:trHeight w:val="27"/>
        </w:trPr>
        <w:tc>
          <w:tcPr>
            <w:tcW w:w="3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3640" w:type="dxa"/>
            <w:vAlign w:val="bottom"/>
          </w:tcPr>
          <w:p>
            <w:pPr>
              <w:ind w:left="40"/>
              <w:spacing w:after="0"/>
              <w:rPr>
                <w:sz w:val="20"/>
                <w:szCs w:val="20"/>
                <w:color w:val="auto"/>
              </w:rPr>
            </w:pPr>
            <w:r>
              <w:rPr>
                <w:rFonts w:ascii="Arial" w:cs="Arial" w:eastAsia="Arial" w:hAnsi="Arial"/>
                <w:sz w:val="20"/>
                <w:szCs w:val="20"/>
                <w:color w:val="auto"/>
              </w:rPr>
              <w:t>John L. Bishop</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75,000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Fred E. Cohen</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51,000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Karin Eastham</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62,000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Robert S. Epstein</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55,000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Kevin K. Gordon</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Evan Jones</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51,000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Tina S. Nova</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87,330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Jesse I. Treu</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45,000</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37,330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20" w:right="180" w:hanging="426"/>
        <w:spacing w:after="0" w:line="25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2018. There can be no assurance that option awards will be exercised (in which case no value will be realized by the individual) or that the value on exercise will approximate the fair value as computed in accordance with ASC 718.</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ind w:left="620" w:right="460" w:hanging="426"/>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2018:</w:t>
      </w:r>
    </w:p>
    <w:p>
      <w:pPr>
        <w:spacing w:after="0" w:line="200" w:lineRule="exact"/>
        <w:rPr>
          <w:sz w:val="20"/>
          <w:szCs w:val="20"/>
          <w:color w:val="auto"/>
        </w:rPr>
      </w:pP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2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r>
      <w:tr>
        <w:trPr>
          <w:trHeight w:val="27"/>
        </w:trPr>
        <w:tc>
          <w:tcPr>
            <w:tcW w:w="3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John L. Bishop</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65,000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Fred E. Cohen</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50,000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Karin Eastham</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90,000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Robert S. Epstein</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65,000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Kevin K. Gordon</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Evan Jones</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60,000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Tina S. Nova</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65,000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Jesse I. Treu</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50,000</w:t>
            </w: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Directors who are employees do not receive any fees for their service on the board of directors or any committee. Our non-employee directors receive an annual cash retainer of $40,000 for their service on our board of directors. Members of our audit committee, compensation committee, nominating and corporate governance committee and regulatory and compliance committee, other than the chair of each such committee, receive an additional annual cash retainer of $10,000, $6,000, $5,000 and $5,000, respectively. The chair of our audit committee, compensation committee, nominating and corporate governance committee and regulatory and compliance committee, each receive an additional annual cash retainer of $20,000, $12,000, $10,000 and $10,000, respectively. Additionally, the individual acting as lead independent director of the board of directors receives an additional annual cash retainer of $25,000.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ectPr>
          <w:pgSz w:w="11900" w:h="16838" w:orient="portrait"/>
          <w:cols w:equalWidth="0" w:num="1">
            <w:col w:w="11420"/>
          </w:cols>
          <w:pgMar w:left="240" w:top="580"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both"/>
        <w:ind w:firstLine="648"/>
        <w:spacing w:after="0" w:line="291" w:lineRule="auto"/>
        <w:rPr>
          <w:sz w:val="20"/>
          <w:szCs w:val="20"/>
          <w:color w:val="auto"/>
        </w:rPr>
      </w:pPr>
      <w:r>
        <w:rPr>
          <w:rFonts w:ascii="Arial" w:cs="Arial" w:eastAsia="Arial" w:hAnsi="Arial"/>
          <w:sz w:val="16"/>
          <w:szCs w:val="16"/>
          <w:color w:val="auto"/>
        </w:rPr>
        <w:t>Any non-employee director who first joins our board of directors is automatically granted an initial stock option to purchase 35,000 shares of our common stock at an exercise price equal to the fair market value of our common stock on the date of grant. The option will vest and become exercisable as to one-third of those shares on each of the first, second and third annual anniversaries of the date of grant. On the first business day after each annual meeting of stockholders, each non-employee director who continues to serve on our board of directors and who has served as a director for at least six months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names of our executive officers, their ages and certain biographical information as of March 31, 2019 are set forth below:</w:t>
      </w:r>
    </w:p>
    <w:p>
      <w:pPr>
        <w:spacing w:after="0" w:line="379"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Age</w:t>
            </w:r>
          </w:p>
        </w:tc>
        <w:tc>
          <w:tcPr>
            <w:tcW w:w="5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Position with Veracyte</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560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Keith Kennedy</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56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Christopher M. Hall</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5600" w:type="dxa"/>
            <w:vAlign w:val="bottom"/>
          </w:tcPr>
          <w:p>
            <w:pPr>
              <w:ind w:left="120"/>
              <w:spacing w:after="0"/>
              <w:rPr>
                <w:sz w:val="20"/>
                <w:szCs w:val="20"/>
                <w:color w:val="auto"/>
              </w:rPr>
            </w:pPr>
            <w:r>
              <w:rPr>
                <w:rFonts w:ascii="Arial" w:cs="Arial" w:eastAsia="Arial" w:hAnsi="Arial"/>
                <w:sz w:val="18"/>
                <w:szCs w:val="18"/>
                <w:color w:val="auto"/>
              </w:rPr>
              <w:t>President and Chief Operating Officer</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Giulia C. Kennedy</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5600" w:type="dxa"/>
            <w:vAlign w:val="bottom"/>
          </w:tcPr>
          <w:p>
            <w:pPr>
              <w:ind w:left="120"/>
              <w:spacing w:after="0"/>
              <w:rPr>
                <w:sz w:val="20"/>
                <w:szCs w:val="20"/>
                <w:color w:val="auto"/>
              </w:rPr>
            </w:pPr>
            <w:r>
              <w:rPr>
                <w:rFonts w:ascii="Arial" w:cs="Arial" w:eastAsia="Arial" w:hAnsi="Arial"/>
                <w:sz w:val="18"/>
                <w:szCs w:val="18"/>
                <w:color w:val="auto"/>
              </w:rPr>
              <w:t>Chief Scientific and Medical Officer</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Ms. Anderson, please refer to “Proposal 1- Election of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Keith Kennedy</w:t>
      </w:r>
      <w:r>
        <w:rPr>
          <w:rFonts w:ascii="Arial" w:cs="Arial" w:eastAsia="Arial" w:hAnsi="Arial"/>
          <w:sz w:val="18"/>
          <w:szCs w:val="18"/>
          <w:color w:val="auto"/>
        </w:rPr>
        <w:t>, has served as our Chief Financial Officer since December 2016 and Secretary since November 2017. Prior to joining us, Mr.</w:t>
      </w:r>
      <w:r>
        <w:rPr>
          <w:rFonts w:ascii="Arial" w:cs="Arial" w:eastAsia="Arial" w:hAnsi="Arial"/>
          <w:sz w:val="18"/>
          <w:szCs w:val="18"/>
          <w:i w:val="1"/>
          <w:iCs w:val="1"/>
          <w:color w:val="auto"/>
        </w:rPr>
        <w:t xml:space="preserve"> </w:t>
      </w:r>
      <w:r>
        <w:rPr>
          <w:rFonts w:ascii="Arial" w:cs="Arial" w:eastAsia="Arial" w:hAnsi="Arial"/>
          <w:sz w:val="18"/>
          <w:szCs w:val="18"/>
          <w:color w:val="auto"/>
        </w:rPr>
        <w:t>Kennedy provided strategic counsel and consulting services from his consulting practice from September 2015 to November 2016, including advisory services to Pennant Park Investment Advisors. Mr. Kennedy served as President, Chief Executive Officer and Director of MCG Capital Corporation, a publicly traded business development company, from April 2014 until its merger with Pennant Park Floating Rate Capital Ltd in August 2015. Mr. Kennedy joined MCG Capital Corporation in February 2012 as an Executive Vice President and Managing Director, served as its Chief Financial Officer and Treasurer from May 2012 to March 2014, and its President from March to April 2014. Prior to MCG, Mr. Kennedy served as a Managing Director at GE Capital, a Manager of Transaction Services at Ernst &amp; Young LLP and as an Officer in the U.S. Air Force. Mr. Kennedy holds a B.S. in Accounting with high distinction from Indiana University and holds an M.B.A. from the College of William &amp; Mary. Mr. Kennedy is a Chartered Financial Analyst and Certified Public Accountant.</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Christopher M. Hall </w:t>
      </w:r>
      <w:r>
        <w:rPr>
          <w:rFonts w:ascii="Arial" w:cs="Arial" w:eastAsia="Arial" w:hAnsi="Arial"/>
          <w:sz w:val="17"/>
          <w:szCs w:val="17"/>
          <w:color w:val="auto"/>
        </w:rPr>
        <w:t>has served as our Chief Operating Officer since September 2014 and in February 2017, he was appointed as our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Mr. Hall served as our Chief Commercial Officer from March 2010 to September 2014. Prior to joining us, Mr. Hall served as Chief Business Officer of Celera 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Business School. On February 25, 2019, Mr. Hall informed us of his intention to retire from his positions as President and Chief Operating Officer on July 1, 2019.</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 xml:space="preserve">Giulia C. Kennedy, Ph.D., </w:t>
      </w:r>
      <w:r>
        <w:rPr>
          <w:rFonts w:ascii="Arial" w:cs="Arial" w:eastAsia="Arial" w:hAnsi="Arial"/>
          <w:sz w:val="16"/>
          <w:szCs w:val="16"/>
          <w:color w:val="auto"/>
        </w:rPr>
        <w:t>has served as our Chief Scientific Officer since September 2008 and became our Chief Medical Officer in January 2018.</w:t>
      </w:r>
      <w:r>
        <w:rPr>
          <w:rFonts w:ascii="Arial" w:cs="Arial" w:eastAsia="Arial" w:hAnsi="Arial"/>
          <w:sz w:val="16"/>
          <w:szCs w:val="16"/>
          <w:i w:val="1"/>
          <w:iCs w:val="1"/>
          <w:color w:val="auto"/>
        </w:rPr>
        <w:t xml:space="preserve"> </w:t>
      </w:r>
      <w:r>
        <w:rPr>
          <w:rFonts w:ascii="Arial" w:cs="Arial" w:eastAsia="Arial" w:hAnsi="Arial"/>
          <w:sz w:val="16"/>
          <w:szCs w:val="16"/>
          <w:color w:val="auto"/>
        </w:rPr>
        <w:t>Dr. Kennedy served as our Senior Vice President of Research and Development 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are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pleased with our strong performance in 2018 - a year in which we delivered robust revenue and genomic test volume growth, continued to deepen and grow our scientific innovation and demonstrated significant financial and operational progress. Additionally, and perhaps more importantly, we expanded the company’s strategy beyond our founding mission of improving the accuracy of diagnosis - to also advance early detection and inform treatment decisions. The foundation is now in place for an exciting future for Veracyte.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accomplishments for 2018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growth of 28%, from $72.0 million in 2017 to $92.0 million in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genetic test volume of 22%, from 26,026 in 2017 to 31,710 in 2018;</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 long-term strategic collaboration with Johnson &amp; Johnson Innovation, LLC and Johnson &amp; Johnson’s Lung Cancer Initiative to advance diagnostics, including a nasal swab test, for early lung cancer detection, and a research collaboration with Loxo Oncology, to advance its development of therapies for patients with genetically defined cancers, including thyroid cancer;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Receiving draft Medicare coverage for the Envisia Genomic Classifier through the MolDX program, with final coverage received in March 2019.</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strong financial and operational performance has translated into strong returns for our stockholders as well, with total stockholder return of 93%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Approach to Executive Compensation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compensation committee, which is solely comprised of independent members of our board of directors, is primarily responsible for setting the compensation of our named executive officers. The independent members of our board of directors approves the compensation of our Chief Executive Officer based on a recommendation of the compensation committee. Our compensation committee retains, and does not delegate, any of its responsibility to determine executive compensation. In carrying out its responsibility to set executive officer compensation, our compensation committee considers input from our management and the committee’s independent compensation consultant. Our compensation committee also annually assesses the performance of our Chief Executive Officer and other executives. In addition, our compensation committee acts on behalf of the board of directors to oversee the compensation policies and practices applicable to all our employees, including the administration of our equity plans.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2018, our compensation committee engaged Radford to provide an analysis of executive pay, including equity compensation, and an evaluation of the type of equity instruments being awarded. The compensation committee analyzes competitive market data on executive compensation levels and practices. This data is drawn from a select group of peer companies, as well as compensation survey data.</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September 2017, the compensation committee, with the assistance of Radford, developed a group of peer companies, as detailed below, to be used as a reference for market positioning and assessing competitive market compensation practices when making decisions for 2018 compensation. In developing this peer group, consideration was given to our industry sector and company size (based on revenue and market capitalization).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companies were selected based on applying a revenue filter of $35.0 million to $300.0 million to reflect businesses of a similar scope and organization maturating, based on the most-recent four quarters at that time. In addition to revenue,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8" w:name="page19"/>
    <w:bookmarkEnd w:id="18"/>
    <w:p>
      <w:pPr>
        <w:ind w:right="2440"/>
        <w:spacing w:after="0" w:line="291" w:lineRule="auto"/>
        <w:rPr>
          <w:sz w:val="20"/>
          <w:szCs w:val="20"/>
          <w:color w:val="auto"/>
        </w:rPr>
      </w:pPr>
      <w:r>
        <w:rPr>
          <w:rFonts w:ascii="Arial" w:cs="Arial" w:eastAsia="Arial" w:hAnsi="Arial"/>
          <w:sz w:val="16"/>
          <w:szCs w:val="16"/>
          <w:color w:val="auto"/>
        </w:rPr>
        <w:t>compensation committee considered each peers market capitalization in a range of $100.0 million and $1.0 billion. The committee included peer's that were deemed to be direct product and talent competitors that may have fallen outside of these</w:t>
      </w:r>
    </w:p>
    <w:p>
      <w:pPr>
        <w:jc w:val="both"/>
        <w:spacing w:after="0" w:line="261" w:lineRule="auto"/>
        <w:rPr>
          <w:sz w:val="20"/>
          <w:szCs w:val="20"/>
          <w:color w:val="auto"/>
        </w:rPr>
      </w:pPr>
      <w:r>
        <w:rPr>
          <w:rFonts w:ascii="Arial" w:cs="Arial" w:eastAsia="Arial" w:hAnsi="Arial"/>
          <w:sz w:val="18"/>
          <w:szCs w:val="18"/>
          <w:color w:val="auto"/>
        </w:rPr>
        <w:t>ranges. The final list included 19 publicly-traded companies that were used by Radford for capturing market information on pay levels, pay mix and equity dilution, to help inform the committee decisions in 2018:</w:t>
      </w:r>
    </w:p>
    <w:p>
      <w:pPr>
        <w:spacing w:after="0" w:line="313" w:lineRule="exact"/>
        <w:rPr>
          <w:sz w:val="20"/>
          <w:szCs w:val="20"/>
          <w:color w:val="auto"/>
        </w:rPr>
      </w:pPr>
    </w:p>
    <w:tbl>
      <w:tblPr>
        <w:tblLayout w:type="fixed"/>
        <w:tblInd w:w="960" w:type="dxa"/>
        <w:tblCellMar>
          <w:top w:w="0" w:type="dxa"/>
          <w:left w:w="0" w:type="dxa"/>
          <w:bottom w:w="0" w:type="dxa"/>
          <w:right w:w="0" w:type="dxa"/>
        </w:tblCellMar>
      </w:tblPr>
      <w:tr>
        <w:trPr>
          <w:trHeight w:val="275"/>
        </w:trPr>
        <w:tc>
          <w:tcPr>
            <w:tcW w:w="3260" w:type="dxa"/>
            <w:vAlign w:val="bottom"/>
            <w:tcBorders>
              <w:top w:val="single" w:sz="8" w:color="8EAADB"/>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92"/>
              </w:rPr>
              <w:t>CareDx</w:t>
            </w:r>
          </w:p>
        </w:tc>
        <w:tc>
          <w:tcPr>
            <w:tcW w:w="3140" w:type="dxa"/>
            <w:vAlign w:val="bottom"/>
            <w:tcBorders>
              <w:top w:val="single" w:sz="8" w:color="8EAADB"/>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91"/>
              </w:rPr>
              <w:t>Cutera</w:t>
            </w:r>
          </w:p>
        </w:tc>
        <w:tc>
          <w:tcPr>
            <w:tcW w:w="3100" w:type="dxa"/>
            <w:vAlign w:val="bottom"/>
            <w:tcBorders>
              <w:top w:val="single" w:sz="8" w:color="8EAADB"/>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Enzo Biochem</w:t>
            </w:r>
          </w:p>
        </w:tc>
      </w:tr>
      <w:tr>
        <w:trPr>
          <w:trHeight w:val="217"/>
        </w:trPr>
        <w:tc>
          <w:tcPr>
            <w:tcW w:w="3260" w:type="dxa"/>
            <w:vAlign w:val="bottom"/>
            <w:tcBorders>
              <w:top w:val="single" w:sz="8" w:color="8EAADB"/>
              <w:right w:val="single" w:sz="8" w:color="8EAADB"/>
            </w:tcBorders>
          </w:tcPr>
          <w:p>
            <w:pPr>
              <w:jc w:val="center"/>
              <w:spacing w:after="0"/>
              <w:rPr>
                <w:sz w:val="20"/>
                <w:szCs w:val="20"/>
                <w:color w:val="auto"/>
              </w:rPr>
            </w:pPr>
            <w:r>
              <w:rPr>
                <w:rFonts w:ascii="Arial" w:cs="Arial" w:eastAsia="Arial" w:hAnsi="Arial"/>
                <w:sz w:val="16"/>
                <w:szCs w:val="16"/>
                <w:color w:val="auto"/>
                <w:w w:val="89"/>
              </w:rPr>
              <w:t>Exact Sciences</w:t>
            </w:r>
          </w:p>
        </w:tc>
        <w:tc>
          <w:tcPr>
            <w:tcW w:w="3140" w:type="dxa"/>
            <w:vAlign w:val="bottom"/>
            <w:tcBorders>
              <w:top w:val="single" w:sz="8" w:color="8EAADB"/>
              <w:right w:val="single" w:sz="8" w:color="8EAADB"/>
            </w:tcBorders>
          </w:tcPr>
          <w:p>
            <w:pPr>
              <w:jc w:val="center"/>
              <w:spacing w:after="0"/>
              <w:rPr>
                <w:sz w:val="20"/>
                <w:szCs w:val="20"/>
                <w:color w:val="auto"/>
              </w:rPr>
            </w:pPr>
            <w:r>
              <w:rPr>
                <w:rFonts w:ascii="Arial" w:cs="Arial" w:eastAsia="Arial" w:hAnsi="Arial"/>
                <w:sz w:val="16"/>
                <w:szCs w:val="16"/>
                <w:color w:val="auto"/>
                <w:w w:val="99"/>
              </w:rPr>
              <w:t>Fluidigm</w:t>
            </w:r>
          </w:p>
        </w:tc>
        <w:tc>
          <w:tcPr>
            <w:tcW w:w="3100" w:type="dxa"/>
            <w:vAlign w:val="bottom"/>
            <w:tcBorders>
              <w:top w:val="single" w:sz="8" w:color="8EAADB"/>
            </w:tcBorders>
          </w:tcPr>
          <w:p>
            <w:pPr>
              <w:jc w:val="center"/>
              <w:spacing w:after="0"/>
              <w:rPr>
                <w:sz w:val="20"/>
                <w:szCs w:val="20"/>
                <w:color w:val="auto"/>
              </w:rPr>
            </w:pPr>
            <w:r>
              <w:rPr>
                <w:rFonts w:ascii="Arial" w:cs="Arial" w:eastAsia="Arial" w:hAnsi="Arial"/>
                <w:sz w:val="16"/>
                <w:szCs w:val="16"/>
                <w:color w:val="auto"/>
                <w:w w:val="92"/>
              </w:rPr>
              <w:t>Foundation Medicine</w:t>
            </w:r>
          </w:p>
        </w:tc>
      </w:tr>
      <w:tr>
        <w:trPr>
          <w:trHeight w:val="33"/>
        </w:trPr>
        <w:tc>
          <w:tcPr>
            <w:tcW w:w="3260" w:type="dxa"/>
            <w:vAlign w:val="bottom"/>
            <w:tcBorders>
              <w:bottom w:val="single" w:sz="8" w:color="8EAADB"/>
              <w:right w:val="single" w:sz="8" w:color="8EAADB"/>
            </w:tcBorders>
          </w:tcPr>
          <w:p>
            <w:pPr>
              <w:spacing w:after="0"/>
              <w:rPr>
                <w:sz w:val="2"/>
                <w:szCs w:val="2"/>
                <w:color w:val="auto"/>
              </w:rPr>
            </w:pPr>
          </w:p>
        </w:tc>
        <w:tc>
          <w:tcPr>
            <w:tcW w:w="3140" w:type="dxa"/>
            <w:vAlign w:val="bottom"/>
            <w:tcBorders>
              <w:bottom w:val="single" w:sz="8" w:color="8EAADB"/>
              <w:right w:val="single" w:sz="8" w:color="8EAADB"/>
            </w:tcBorders>
          </w:tcPr>
          <w:p>
            <w:pPr>
              <w:spacing w:after="0"/>
              <w:rPr>
                <w:sz w:val="2"/>
                <w:szCs w:val="2"/>
                <w:color w:val="auto"/>
              </w:rPr>
            </w:pPr>
          </w:p>
        </w:tc>
        <w:tc>
          <w:tcPr>
            <w:tcW w:w="3100" w:type="dxa"/>
            <w:vAlign w:val="bottom"/>
            <w:tcBorders>
              <w:bottom w:val="single" w:sz="8" w:color="8EAADB"/>
            </w:tcBorders>
          </w:tcPr>
          <w:p>
            <w:pPr>
              <w:spacing w:after="0"/>
              <w:rPr>
                <w:sz w:val="2"/>
                <w:szCs w:val="2"/>
                <w:color w:val="auto"/>
              </w:rPr>
            </w:pPr>
          </w:p>
        </w:tc>
      </w:tr>
      <w:tr>
        <w:trPr>
          <w:trHeight w:val="255"/>
        </w:trPr>
        <w:tc>
          <w:tcPr>
            <w:tcW w:w="3260" w:type="dxa"/>
            <w:vAlign w:val="bottom"/>
            <w:tcBorders>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92"/>
              </w:rPr>
              <w:t>GenMark Diagnostics</w:t>
            </w:r>
          </w:p>
        </w:tc>
        <w:tc>
          <w:tcPr>
            <w:tcW w:w="3140" w:type="dxa"/>
            <w:vAlign w:val="bottom"/>
            <w:tcBorders>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94"/>
              </w:rPr>
              <w:t>Genomic Health</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Intersect ENT</w:t>
            </w:r>
          </w:p>
        </w:tc>
      </w:tr>
      <w:tr>
        <w:trPr>
          <w:trHeight w:val="217"/>
        </w:trPr>
        <w:tc>
          <w:tcPr>
            <w:tcW w:w="3260" w:type="dxa"/>
            <w:vAlign w:val="bottom"/>
            <w:tcBorders>
              <w:top w:val="single" w:sz="8" w:color="8EAADB"/>
              <w:right w:val="single" w:sz="8" w:color="8EAADB"/>
            </w:tcBorders>
          </w:tcPr>
          <w:p>
            <w:pPr>
              <w:jc w:val="center"/>
              <w:spacing w:after="0"/>
              <w:rPr>
                <w:sz w:val="20"/>
                <w:szCs w:val="20"/>
                <w:color w:val="auto"/>
              </w:rPr>
            </w:pPr>
            <w:r>
              <w:rPr>
                <w:rFonts w:ascii="Arial" w:cs="Arial" w:eastAsia="Arial" w:hAnsi="Arial"/>
                <w:sz w:val="16"/>
                <w:szCs w:val="16"/>
                <w:color w:val="auto"/>
                <w:w w:val="97"/>
              </w:rPr>
              <w:t>Invitae</w:t>
            </w:r>
          </w:p>
        </w:tc>
        <w:tc>
          <w:tcPr>
            <w:tcW w:w="3140" w:type="dxa"/>
            <w:vAlign w:val="bottom"/>
            <w:tcBorders>
              <w:top w:val="single" w:sz="8" w:color="8EAADB"/>
              <w:right w:val="single" w:sz="8" w:color="8EAADB"/>
            </w:tcBorders>
          </w:tcPr>
          <w:p>
            <w:pPr>
              <w:jc w:val="center"/>
              <w:spacing w:after="0"/>
              <w:rPr>
                <w:sz w:val="20"/>
                <w:szCs w:val="20"/>
                <w:color w:val="auto"/>
              </w:rPr>
            </w:pPr>
            <w:r>
              <w:rPr>
                <w:rFonts w:ascii="Arial" w:cs="Arial" w:eastAsia="Arial" w:hAnsi="Arial"/>
                <w:sz w:val="16"/>
                <w:szCs w:val="16"/>
                <w:color w:val="auto"/>
                <w:w w:val="99"/>
              </w:rPr>
              <w:t>Luminex</w:t>
            </w:r>
          </w:p>
        </w:tc>
        <w:tc>
          <w:tcPr>
            <w:tcW w:w="3100" w:type="dxa"/>
            <w:vAlign w:val="bottom"/>
            <w:tcBorders>
              <w:top w:val="single" w:sz="8" w:color="8EAADB"/>
            </w:tcBorders>
          </w:tcPr>
          <w:p>
            <w:pPr>
              <w:jc w:val="center"/>
              <w:spacing w:after="0"/>
              <w:rPr>
                <w:sz w:val="20"/>
                <w:szCs w:val="20"/>
                <w:color w:val="auto"/>
              </w:rPr>
            </w:pPr>
            <w:r>
              <w:rPr>
                <w:rFonts w:ascii="Arial" w:cs="Arial" w:eastAsia="Arial" w:hAnsi="Arial"/>
                <w:sz w:val="16"/>
                <w:szCs w:val="16"/>
                <w:color w:val="auto"/>
                <w:w w:val="91"/>
              </w:rPr>
              <w:t>Nanostring Technologies</w:t>
            </w:r>
          </w:p>
        </w:tc>
      </w:tr>
      <w:tr>
        <w:trPr>
          <w:trHeight w:val="33"/>
        </w:trPr>
        <w:tc>
          <w:tcPr>
            <w:tcW w:w="3260" w:type="dxa"/>
            <w:vAlign w:val="bottom"/>
            <w:tcBorders>
              <w:bottom w:val="single" w:sz="8" w:color="8EAADB"/>
              <w:right w:val="single" w:sz="8" w:color="8EAADB"/>
            </w:tcBorders>
          </w:tcPr>
          <w:p>
            <w:pPr>
              <w:spacing w:after="0"/>
              <w:rPr>
                <w:sz w:val="2"/>
                <w:szCs w:val="2"/>
                <w:color w:val="auto"/>
              </w:rPr>
            </w:pPr>
          </w:p>
        </w:tc>
        <w:tc>
          <w:tcPr>
            <w:tcW w:w="3140" w:type="dxa"/>
            <w:vAlign w:val="bottom"/>
            <w:tcBorders>
              <w:bottom w:val="single" w:sz="8" w:color="8EAADB"/>
              <w:right w:val="single" w:sz="8" w:color="8EAADB"/>
            </w:tcBorders>
          </w:tcPr>
          <w:p>
            <w:pPr>
              <w:spacing w:after="0"/>
              <w:rPr>
                <w:sz w:val="2"/>
                <w:szCs w:val="2"/>
                <w:color w:val="auto"/>
              </w:rPr>
            </w:pPr>
          </w:p>
        </w:tc>
        <w:tc>
          <w:tcPr>
            <w:tcW w:w="3100" w:type="dxa"/>
            <w:vAlign w:val="bottom"/>
            <w:tcBorders>
              <w:bottom w:val="single" w:sz="8" w:color="8EAADB"/>
            </w:tcBorders>
          </w:tcPr>
          <w:p>
            <w:pPr>
              <w:spacing w:after="0"/>
              <w:rPr>
                <w:sz w:val="2"/>
                <w:szCs w:val="2"/>
                <w:color w:val="auto"/>
              </w:rPr>
            </w:pPr>
          </w:p>
        </w:tc>
      </w:tr>
      <w:tr>
        <w:trPr>
          <w:trHeight w:val="255"/>
        </w:trPr>
        <w:tc>
          <w:tcPr>
            <w:tcW w:w="3260" w:type="dxa"/>
            <w:vAlign w:val="bottom"/>
            <w:tcBorders>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87"/>
              </w:rPr>
              <w:t>Natera</w:t>
            </w:r>
          </w:p>
        </w:tc>
        <w:tc>
          <w:tcPr>
            <w:tcW w:w="3140" w:type="dxa"/>
            <w:vAlign w:val="bottom"/>
            <w:tcBorders>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90"/>
              </w:rPr>
              <w:t>NeoGenomics</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OraSure Technologies</w:t>
            </w:r>
          </w:p>
        </w:tc>
      </w:tr>
      <w:tr>
        <w:trPr>
          <w:trHeight w:val="217"/>
        </w:trPr>
        <w:tc>
          <w:tcPr>
            <w:tcW w:w="3260" w:type="dxa"/>
            <w:vAlign w:val="bottom"/>
            <w:tcBorders>
              <w:top w:val="single" w:sz="8" w:color="8EAADB"/>
              <w:right w:val="single" w:sz="8" w:color="8EAADB"/>
            </w:tcBorders>
          </w:tcPr>
          <w:p>
            <w:pPr>
              <w:jc w:val="center"/>
              <w:spacing w:after="0"/>
              <w:rPr>
                <w:sz w:val="20"/>
                <w:szCs w:val="20"/>
                <w:color w:val="auto"/>
              </w:rPr>
            </w:pPr>
            <w:r>
              <w:rPr>
                <w:rFonts w:ascii="Arial" w:cs="Arial" w:eastAsia="Arial" w:hAnsi="Arial"/>
                <w:sz w:val="16"/>
                <w:szCs w:val="16"/>
                <w:color w:val="auto"/>
                <w:w w:val="95"/>
              </w:rPr>
              <w:t>Oxford Immunotec Global</w:t>
            </w:r>
          </w:p>
        </w:tc>
        <w:tc>
          <w:tcPr>
            <w:tcW w:w="3140" w:type="dxa"/>
            <w:vAlign w:val="bottom"/>
            <w:tcBorders>
              <w:top w:val="single" w:sz="8" w:color="8EAADB"/>
              <w:right w:val="single" w:sz="8" w:color="8EAADB"/>
            </w:tcBorders>
          </w:tcPr>
          <w:p>
            <w:pPr>
              <w:jc w:val="center"/>
              <w:spacing w:after="0"/>
              <w:rPr>
                <w:sz w:val="20"/>
                <w:szCs w:val="20"/>
                <w:color w:val="auto"/>
              </w:rPr>
            </w:pPr>
            <w:r>
              <w:rPr>
                <w:rFonts w:ascii="Arial" w:cs="Arial" w:eastAsia="Arial" w:hAnsi="Arial"/>
                <w:sz w:val="16"/>
                <w:szCs w:val="16"/>
                <w:color w:val="auto"/>
                <w:w w:val="94"/>
              </w:rPr>
              <w:t>Pacific Biosciences of California</w:t>
            </w:r>
          </w:p>
        </w:tc>
        <w:tc>
          <w:tcPr>
            <w:tcW w:w="3100" w:type="dxa"/>
            <w:vAlign w:val="bottom"/>
            <w:tcBorders>
              <w:top w:val="single" w:sz="8" w:color="8EAADB"/>
            </w:tcBorders>
          </w:tcPr>
          <w:p>
            <w:pPr>
              <w:jc w:val="center"/>
              <w:spacing w:after="0"/>
              <w:rPr>
                <w:sz w:val="20"/>
                <w:szCs w:val="20"/>
                <w:color w:val="auto"/>
              </w:rPr>
            </w:pPr>
            <w:r>
              <w:rPr>
                <w:rFonts w:ascii="Arial" w:cs="Arial" w:eastAsia="Arial" w:hAnsi="Arial"/>
                <w:sz w:val="16"/>
                <w:szCs w:val="16"/>
                <w:color w:val="auto"/>
              </w:rPr>
              <w:t>Quildel</w:t>
            </w:r>
          </w:p>
        </w:tc>
      </w:tr>
      <w:tr>
        <w:trPr>
          <w:trHeight w:val="33"/>
        </w:trPr>
        <w:tc>
          <w:tcPr>
            <w:tcW w:w="3260" w:type="dxa"/>
            <w:vAlign w:val="bottom"/>
            <w:tcBorders>
              <w:bottom w:val="single" w:sz="8" w:color="8EAADB"/>
              <w:right w:val="single" w:sz="8" w:color="8EAADB"/>
            </w:tcBorders>
          </w:tcPr>
          <w:p>
            <w:pPr>
              <w:spacing w:after="0"/>
              <w:rPr>
                <w:sz w:val="2"/>
                <w:szCs w:val="2"/>
                <w:color w:val="auto"/>
              </w:rPr>
            </w:pPr>
          </w:p>
        </w:tc>
        <w:tc>
          <w:tcPr>
            <w:tcW w:w="3140" w:type="dxa"/>
            <w:vAlign w:val="bottom"/>
            <w:tcBorders>
              <w:bottom w:val="single" w:sz="8" w:color="8EAADB"/>
              <w:right w:val="single" w:sz="8" w:color="8EAADB"/>
            </w:tcBorders>
          </w:tcPr>
          <w:p>
            <w:pPr>
              <w:spacing w:after="0"/>
              <w:rPr>
                <w:sz w:val="2"/>
                <w:szCs w:val="2"/>
                <w:color w:val="auto"/>
              </w:rPr>
            </w:pPr>
          </w:p>
        </w:tc>
        <w:tc>
          <w:tcPr>
            <w:tcW w:w="3100" w:type="dxa"/>
            <w:vAlign w:val="bottom"/>
            <w:tcBorders>
              <w:bottom w:val="single" w:sz="8" w:color="8EAADB"/>
            </w:tcBorders>
          </w:tcPr>
          <w:p>
            <w:pPr>
              <w:spacing w:after="0"/>
              <w:rPr>
                <w:sz w:val="2"/>
                <w:szCs w:val="2"/>
                <w:color w:val="auto"/>
              </w:rPr>
            </w:pPr>
          </w:p>
        </w:tc>
      </w:tr>
      <w:tr>
        <w:trPr>
          <w:trHeight w:val="244"/>
        </w:trPr>
        <w:tc>
          <w:tcPr>
            <w:tcW w:w="3260" w:type="dxa"/>
            <w:vAlign w:val="bottom"/>
            <w:tcBorders>
              <w:bottom w:val="single" w:sz="8" w:color="CCEEFF"/>
              <w:right w:val="single" w:sz="8" w:color="8EAADB"/>
            </w:tcBorders>
            <w:shd w:val="clear" w:color="auto" w:fill="CCEEFF"/>
          </w:tcPr>
          <w:p>
            <w:pPr>
              <w:spacing w:after="0"/>
              <w:rPr>
                <w:sz w:val="21"/>
                <w:szCs w:val="21"/>
                <w:color w:val="auto"/>
              </w:rPr>
            </w:pPr>
          </w:p>
        </w:tc>
        <w:tc>
          <w:tcPr>
            <w:tcW w:w="3140" w:type="dxa"/>
            <w:vAlign w:val="bottom"/>
            <w:tcBorders>
              <w:bottom w:val="single" w:sz="8" w:color="CCEEFF"/>
              <w:right w:val="single" w:sz="8" w:color="8EAADB"/>
            </w:tcBorders>
            <w:shd w:val="clear" w:color="auto" w:fill="CCEEFF"/>
          </w:tcPr>
          <w:p>
            <w:pPr>
              <w:jc w:val="center"/>
              <w:spacing w:after="0"/>
              <w:rPr>
                <w:sz w:val="20"/>
                <w:szCs w:val="20"/>
                <w:color w:val="auto"/>
              </w:rPr>
            </w:pPr>
            <w:r>
              <w:rPr>
                <w:rFonts w:ascii="Arial" w:cs="Arial" w:eastAsia="Arial" w:hAnsi="Arial"/>
                <w:sz w:val="16"/>
                <w:szCs w:val="16"/>
                <w:color w:val="auto"/>
                <w:w w:val="91"/>
              </w:rPr>
              <w:t>T2 Biosystems</w:t>
            </w:r>
          </w:p>
        </w:tc>
        <w:tc>
          <w:tcPr>
            <w:tcW w:w="3100" w:type="dxa"/>
            <w:vAlign w:val="bottom"/>
            <w:tcBorders>
              <w:bottom w:val="single" w:sz="8" w:color="CCEEFF"/>
            </w:tcBorders>
            <w:shd w:val="clear" w:color="auto" w:fill="CCEEFF"/>
          </w:tcPr>
          <w:p>
            <w:pPr>
              <w:spacing w:after="0"/>
              <w:rPr>
                <w:sz w:val="21"/>
                <w:szCs w:val="21"/>
                <w:color w:val="auto"/>
              </w:rPr>
            </w:pPr>
          </w:p>
        </w:tc>
      </w:tr>
      <w:tr>
        <w:trPr>
          <w:trHeight w:val="20"/>
        </w:trPr>
        <w:tc>
          <w:tcPr>
            <w:tcW w:w="3260" w:type="dxa"/>
            <w:vAlign w:val="bottom"/>
            <w:tcBorders>
              <w:right w:val="single" w:sz="8" w:color="8EAADB"/>
            </w:tcBorders>
            <w:shd w:val="clear" w:color="auto" w:fill="8EAADB"/>
          </w:tcPr>
          <w:p>
            <w:pPr>
              <w:spacing w:after="0" w:line="20" w:lineRule="exact"/>
              <w:rPr>
                <w:sz w:val="1"/>
                <w:szCs w:val="1"/>
                <w:color w:val="auto"/>
              </w:rPr>
            </w:pPr>
          </w:p>
        </w:tc>
        <w:tc>
          <w:tcPr>
            <w:tcW w:w="3140" w:type="dxa"/>
            <w:vAlign w:val="bottom"/>
            <w:tcBorders>
              <w:right w:val="single" w:sz="8" w:color="8EAADB"/>
            </w:tcBorders>
            <w:shd w:val="clear" w:color="auto" w:fill="8EAADB"/>
          </w:tcPr>
          <w:p>
            <w:pPr>
              <w:spacing w:after="0" w:line="20" w:lineRule="exact"/>
              <w:rPr>
                <w:sz w:val="1"/>
                <w:szCs w:val="1"/>
                <w:color w:val="auto"/>
              </w:rPr>
            </w:pPr>
          </w:p>
        </w:tc>
        <w:tc>
          <w:tcPr>
            <w:tcW w:w="3100" w:type="dxa"/>
            <w:vAlign w:val="bottom"/>
            <w:shd w:val="clear" w:color="auto" w:fill="8EAADB"/>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peer group was used by the compensation committee in connection with its annual review of our executive compensation program in 2018. Specifically, the compensation committee reviewed the compensation data drawn from the compensation peer group, in combination with industry-specific compensation survey data provided by Radford, to develop a subjective representation of the “competitive market” with respect to current executive compensation levels and related policies and practices. Rather than applying a specific formula or targeting a specific percentile, the compensation committee referenced this market data to set a range of compensation as one input into its determination. In addition to market data, the committee considered the criticality of the role, performance, experience, internal comparisons and the affordability of the plans when making final pay decisions for each of our named executive officers. The compensation committee then evaluated how our pay practices and the compensation levels of our named executive officers compared to the competitive market.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principal elements of our executive compensation program are base salary, an annual cash bonus and long-term incentive opportunities in the form of equity awards that are earned over a multi-year period. In addition to the payment of salaries that it believes are competitive and assist in the retention of our executive officers, our compensation committee believes that a significant portion of our executive officers’ cash compensation should be “at risk” and tied to corporate performance. For further discussion of our annual cash incentive plan for 2018, and the annual revenue, product development, and reimbursement goals to which it was tied, see the section titled “-Annual Performance-Based Cash Incentives” below. Equity-based compensation aligns the interests of our executive officers and stockholders to increase the value of our common stock. In 2018, equity awards were granted to our named executive officers in the form of stock options, restricted stock units (“RSUs”) that vest based on the executive officer’s continued service with us over time and performance-based restricted stock units (“PSUs”) that are earned and settle into shares of our common stock based on our achievement of one or more pre-established performance objectives and the executive officer’s continued service with us over time. We believe that the combination of time-based and performance-based vesting provisions help focus our named executive officers on long-term performance, drive achievement of specific company performance goals, provide alignment with our stockholders' interests, and provide retention. For further discussion of 2018 equity awards and the PSU performance metrics, see the section titled “-Equity Awards”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sets forth information concerning the total compensation our chief executive officer and two other highest paid executive officers other than the chief executive officer, who we refer to as our named executive officers, earned for services rendered to us in all capacities during the year ended December 31, 2018. For 2018, our named executive officers were Bonnie Anderson, our Chairman and Chief Executive Officer, Christopher M. Hall, our Chief Operating Officer and President, and Keith Kennedy, our Chief Financial Officer and Secretary.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2017 and 2018.</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b w:val="1"/>
                <w:bCs w:val="1"/>
                <w:color w:val="auto"/>
                <w:w w:val="99"/>
              </w:rPr>
              <w:t>Option Awards</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w w:val="95"/>
              </w:rPr>
              <w:t>Stock Awards</w:t>
            </w:r>
          </w:p>
        </w:tc>
        <w:tc>
          <w:tcPr>
            <w:tcW w:w="126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Performance Stock</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6"/>
              </w:rPr>
              <w:t>Incentive Plan</w:t>
            </w: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7"/>
        </w:trPr>
        <w:tc>
          <w:tcPr>
            <w:tcW w:w="306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Name and Principal Position</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Year</w:t>
            </w: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Salary ($)</w:t>
            </w: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($)(1)</w:t>
            </w: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($)(1)</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Awards ($)(1)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Compensation ($)</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Other ($)(2)</w:t>
            </w: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 ($)</w:t>
            </w:r>
          </w:p>
        </w:tc>
      </w:tr>
      <w:tr>
        <w:trPr>
          <w:trHeight w:val="173"/>
        </w:trPr>
        <w:tc>
          <w:tcPr>
            <w:tcW w:w="3060" w:type="dxa"/>
            <w:vAlign w:val="bottom"/>
          </w:tcPr>
          <w:p>
            <w:pPr>
              <w:ind w:left="40"/>
              <w:spacing w:after="0"/>
              <w:rPr>
                <w:sz w:val="20"/>
                <w:szCs w:val="20"/>
                <w:color w:val="auto"/>
              </w:rPr>
            </w:pPr>
            <w:r>
              <w:rPr>
                <w:rFonts w:ascii="Arial" w:cs="Arial" w:eastAsia="Arial" w:hAnsi="Arial"/>
                <w:sz w:val="13"/>
                <w:szCs w:val="13"/>
                <w:color w:val="auto"/>
              </w:rPr>
              <w:t>Bonnie H. Anderson</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550,000</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688,590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179,400</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897,000</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514,250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2,831,240</w:t>
            </w:r>
          </w:p>
        </w:tc>
      </w:tr>
      <w:tr>
        <w:trPr>
          <w:trHeight w:val="216"/>
        </w:trPr>
        <w:tc>
          <w:tcPr>
            <w:tcW w:w="3060" w:type="dxa"/>
            <w:vAlign w:val="bottom"/>
          </w:tcPr>
          <w:p>
            <w:pPr>
              <w:ind w:left="40"/>
              <w:spacing w:after="0"/>
              <w:rPr>
                <w:sz w:val="20"/>
                <w:szCs w:val="20"/>
                <w:color w:val="auto"/>
              </w:rPr>
            </w:pPr>
            <w:r>
              <w:rPr>
                <w:rFonts w:ascii="Arial" w:cs="Arial" w:eastAsia="Arial" w:hAnsi="Arial"/>
                <w:sz w:val="13"/>
                <w:szCs w:val="13"/>
                <w:i w:val="1"/>
                <w:iCs w:val="1"/>
                <w:color w:val="auto"/>
              </w:rPr>
              <w:t>Chairman and Chief Executive Officer</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2017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550,000</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1,441,128</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220,000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2,213,128</w:t>
            </w:r>
          </w:p>
        </w:tc>
      </w:tr>
      <w:tr>
        <w:trPr>
          <w:trHeight w:val="216"/>
        </w:trPr>
        <w:tc>
          <w:tcPr>
            <w:tcW w:w="3060" w:type="dxa"/>
            <w:vAlign w:val="bottom"/>
          </w:tcPr>
          <w:p>
            <w:pPr>
              <w:ind w:left="40"/>
              <w:spacing w:after="0"/>
              <w:rPr>
                <w:sz w:val="20"/>
                <w:szCs w:val="20"/>
                <w:color w:val="auto"/>
              </w:rPr>
            </w:pPr>
            <w:r>
              <w:rPr>
                <w:rFonts w:ascii="Arial" w:cs="Arial" w:eastAsia="Arial" w:hAnsi="Arial"/>
                <w:sz w:val="13"/>
                <w:szCs w:val="13"/>
                <w:color w:val="auto"/>
              </w:rPr>
              <w:t>Christopher M. Hall</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415,000</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337,409</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87,906</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448,500</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287,600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1,578,415</w:t>
            </w:r>
          </w:p>
        </w:tc>
      </w:tr>
      <w:tr>
        <w:trPr>
          <w:trHeight w:val="216"/>
        </w:trPr>
        <w:tc>
          <w:tcPr>
            <w:tcW w:w="3060" w:type="dxa"/>
            <w:vAlign w:val="bottom"/>
          </w:tcPr>
          <w:p>
            <w:pPr>
              <w:ind w:left="40"/>
              <w:spacing w:after="0"/>
              <w:rPr>
                <w:sz w:val="20"/>
                <w:szCs w:val="20"/>
                <w:color w:val="auto"/>
              </w:rPr>
            </w:pPr>
            <w:r>
              <w:rPr>
                <w:rFonts w:ascii="Arial" w:cs="Arial" w:eastAsia="Arial" w:hAnsi="Arial"/>
                <w:sz w:val="13"/>
                <w:szCs w:val="13"/>
                <w:i w:val="1"/>
                <w:iCs w:val="1"/>
                <w:color w:val="auto"/>
              </w:rPr>
              <w:t>Chief Operating Officer and President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2017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415,000</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371,904</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181,000</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114,100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1,084,004</w:t>
            </w:r>
          </w:p>
        </w:tc>
      </w:tr>
      <w:tr>
        <w:trPr>
          <w:trHeight w:val="216"/>
        </w:trPr>
        <w:tc>
          <w:tcPr>
            <w:tcW w:w="3060" w:type="dxa"/>
            <w:vAlign w:val="bottom"/>
          </w:tcPr>
          <w:p>
            <w:pPr>
              <w:ind w:left="40"/>
              <w:spacing w:after="0"/>
              <w:rPr>
                <w:sz w:val="20"/>
                <w:szCs w:val="20"/>
                <w:color w:val="auto"/>
              </w:rPr>
            </w:pPr>
            <w:r>
              <w:rPr>
                <w:rFonts w:ascii="Arial" w:cs="Arial" w:eastAsia="Arial" w:hAnsi="Arial"/>
                <w:sz w:val="13"/>
                <w:szCs w:val="13"/>
                <w:color w:val="auto"/>
              </w:rPr>
              <w:t>Keith Kennedy (3)</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400,000</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236,416</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61,594</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299,000</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266,200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202,899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1,466,109</w:t>
            </w:r>
          </w:p>
        </w:tc>
      </w:tr>
      <w:tr>
        <w:trPr>
          <w:trHeight w:val="216"/>
        </w:trPr>
        <w:tc>
          <w:tcPr>
            <w:tcW w:w="3060" w:type="dxa"/>
            <w:vAlign w:val="bottom"/>
          </w:tcPr>
          <w:p>
            <w:pPr>
              <w:ind w:left="40"/>
              <w:spacing w:after="0"/>
              <w:rPr>
                <w:sz w:val="20"/>
                <w:szCs w:val="20"/>
                <w:color w:val="auto"/>
              </w:rPr>
            </w:pPr>
            <w:r>
              <w:rPr>
                <w:rFonts w:ascii="Arial" w:cs="Arial" w:eastAsia="Arial" w:hAnsi="Arial"/>
                <w:sz w:val="13"/>
                <w:szCs w:val="13"/>
                <w:i w:val="1"/>
                <w:iCs w:val="1"/>
                <w:color w:val="auto"/>
              </w:rPr>
              <w:t>Chief Financial Officer and Secretary</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2017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400,000</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92,976</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199,709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792,685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80" w:type="dxa"/>
            <w:vAlign w:val="bottom"/>
          </w:tcPr>
          <w:p>
            <w:pPr>
              <w:jc w:val="right"/>
              <w:ind w:right="677"/>
              <w:spacing w:after="0"/>
              <w:rPr>
                <w:sz w:val="20"/>
                <w:szCs w:val="20"/>
                <w:color w:val="auto"/>
              </w:rPr>
            </w:pPr>
            <w:r>
              <w:rPr>
                <w:rFonts w:ascii="Arial" w:cs="Arial" w:eastAsia="Arial" w:hAnsi="Arial"/>
                <w:sz w:val="13"/>
                <w:szCs w:val="13"/>
                <w:color w:val="auto"/>
                <w:w w:val="75"/>
              </w:rPr>
              <w:t>(1)</w:t>
            </w:r>
          </w:p>
        </w:tc>
        <w:tc>
          <w:tcPr>
            <w:tcW w:w="10460" w:type="dxa"/>
            <w:vAlign w:val="bottom"/>
          </w:tcPr>
          <w:p>
            <w:pPr>
              <w:ind w:left="720"/>
              <w:spacing w:after="0"/>
              <w:rPr>
                <w:sz w:val="20"/>
                <w:szCs w:val="20"/>
                <w:color w:val="auto"/>
              </w:rPr>
            </w:pPr>
            <w:r>
              <w:rPr>
                <w:rFonts w:ascii="Arial" w:cs="Arial" w:eastAsia="Arial" w:hAnsi="Arial"/>
                <w:sz w:val="13"/>
                <w:szCs w:val="13"/>
                <w:color w:val="auto"/>
                <w:w w:val="87"/>
              </w:rPr>
              <w:t>Amounts represent the aggregate fair value of the awards computed as of the grant date of each award in accordance with Topic 718 for financial reporting purposes, rather than amounts paid to</w:t>
            </w:r>
          </w:p>
        </w:tc>
      </w:tr>
      <w:tr>
        <w:trPr>
          <w:trHeight w:val="135"/>
        </w:trPr>
        <w:tc>
          <w:tcPr>
            <w:tcW w:w="880" w:type="dxa"/>
            <w:vAlign w:val="bottom"/>
          </w:tcPr>
          <w:p>
            <w:pPr>
              <w:spacing w:after="0"/>
              <w:rPr>
                <w:sz w:val="11"/>
                <w:szCs w:val="11"/>
                <w:color w:val="auto"/>
              </w:rPr>
            </w:pPr>
          </w:p>
        </w:tc>
        <w:tc>
          <w:tcPr>
            <w:tcW w:w="10460" w:type="dxa"/>
            <w:vAlign w:val="bottom"/>
          </w:tcPr>
          <w:p>
            <w:pPr>
              <w:ind w:left="720"/>
              <w:spacing w:after="0" w:line="135" w:lineRule="exact"/>
              <w:rPr>
                <w:sz w:val="20"/>
                <w:szCs w:val="20"/>
                <w:color w:val="auto"/>
              </w:rPr>
            </w:pPr>
            <w:r>
              <w:rPr>
                <w:rFonts w:ascii="Arial" w:cs="Arial" w:eastAsia="Arial" w:hAnsi="Arial"/>
                <w:sz w:val="13"/>
                <w:szCs w:val="13"/>
                <w:color w:val="auto"/>
                <w:w w:val="87"/>
              </w:rPr>
              <w:t>or realized by the named individual. Our assumptions with respect to the calculation of these values are set forth in the Notes to Financial Statements included in our Annual Report on Form 10-</w:t>
            </w:r>
          </w:p>
        </w:tc>
      </w:tr>
      <w:tr>
        <w:trPr>
          <w:trHeight w:val="135"/>
        </w:trPr>
        <w:tc>
          <w:tcPr>
            <w:tcW w:w="880" w:type="dxa"/>
            <w:vAlign w:val="bottom"/>
          </w:tcPr>
          <w:p>
            <w:pPr>
              <w:spacing w:after="0"/>
              <w:rPr>
                <w:sz w:val="11"/>
                <w:szCs w:val="11"/>
                <w:color w:val="auto"/>
              </w:rPr>
            </w:pPr>
          </w:p>
        </w:tc>
        <w:tc>
          <w:tcPr>
            <w:tcW w:w="10460" w:type="dxa"/>
            <w:vAlign w:val="bottom"/>
          </w:tcPr>
          <w:p>
            <w:pPr>
              <w:ind w:left="720"/>
              <w:spacing w:after="0" w:line="135" w:lineRule="exact"/>
              <w:rPr>
                <w:sz w:val="20"/>
                <w:szCs w:val="20"/>
                <w:color w:val="auto"/>
              </w:rPr>
            </w:pPr>
            <w:r>
              <w:rPr>
                <w:rFonts w:ascii="Arial" w:cs="Arial" w:eastAsia="Arial" w:hAnsi="Arial"/>
                <w:sz w:val="13"/>
                <w:szCs w:val="13"/>
                <w:color w:val="auto"/>
                <w:w w:val="91"/>
              </w:rPr>
              <w:t>K for the year ended December 31, 2018. There can be no assurance that option awards will be exercised or that RSUs or PSUs will settle (in which case no value will be realized by the</w:t>
            </w:r>
          </w:p>
        </w:tc>
      </w:tr>
      <w:tr>
        <w:trPr>
          <w:trHeight w:val="135"/>
        </w:trPr>
        <w:tc>
          <w:tcPr>
            <w:tcW w:w="880" w:type="dxa"/>
            <w:vAlign w:val="bottom"/>
          </w:tcPr>
          <w:p>
            <w:pPr>
              <w:spacing w:after="0"/>
              <w:rPr>
                <w:sz w:val="11"/>
                <w:szCs w:val="11"/>
                <w:color w:val="auto"/>
              </w:rPr>
            </w:pPr>
          </w:p>
        </w:tc>
        <w:tc>
          <w:tcPr>
            <w:tcW w:w="10460" w:type="dxa"/>
            <w:vAlign w:val="bottom"/>
          </w:tcPr>
          <w:p>
            <w:pPr>
              <w:ind w:left="720"/>
              <w:spacing w:after="0" w:line="135" w:lineRule="exact"/>
              <w:rPr>
                <w:sz w:val="20"/>
                <w:szCs w:val="20"/>
                <w:color w:val="auto"/>
              </w:rPr>
            </w:pPr>
            <w:r>
              <w:rPr>
                <w:rFonts w:ascii="Arial" w:cs="Arial" w:eastAsia="Arial" w:hAnsi="Arial"/>
                <w:sz w:val="13"/>
                <w:szCs w:val="13"/>
                <w:color w:val="auto"/>
                <w:w w:val="89"/>
              </w:rPr>
              <w:t>individual) or that the value on exercise of options or settlement of RSUs or PSUs will approximate the fair value as computed in accordance with Topic 718. We computed the grant date fair</w:t>
            </w:r>
          </w:p>
        </w:tc>
      </w:tr>
      <w:tr>
        <w:trPr>
          <w:trHeight w:val="135"/>
        </w:trPr>
        <w:tc>
          <w:tcPr>
            <w:tcW w:w="880" w:type="dxa"/>
            <w:vAlign w:val="bottom"/>
          </w:tcPr>
          <w:p>
            <w:pPr>
              <w:spacing w:after="0"/>
              <w:rPr>
                <w:sz w:val="11"/>
                <w:szCs w:val="11"/>
                <w:color w:val="auto"/>
              </w:rPr>
            </w:pPr>
          </w:p>
        </w:tc>
        <w:tc>
          <w:tcPr>
            <w:tcW w:w="10460" w:type="dxa"/>
            <w:vAlign w:val="bottom"/>
          </w:tcPr>
          <w:p>
            <w:pPr>
              <w:ind w:left="720"/>
              <w:spacing w:after="0" w:line="135" w:lineRule="exact"/>
              <w:rPr>
                <w:sz w:val="20"/>
                <w:szCs w:val="20"/>
                <w:color w:val="auto"/>
              </w:rPr>
            </w:pPr>
            <w:r>
              <w:rPr>
                <w:rFonts w:ascii="Arial" w:cs="Arial" w:eastAsia="Arial" w:hAnsi="Arial"/>
                <w:sz w:val="13"/>
                <w:szCs w:val="13"/>
                <w:color w:val="auto"/>
                <w:w w:val="88"/>
              </w:rPr>
              <w:t>value of PSU awards based on our achievement of the PSU awards' performance conditions at 100% of target, which was the probable outcome of the performance conditions as of December</w:t>
            </w:r>
          </w:p>
        </w:tc>
      </w:tr>
      <w:tr>
        <w:trPr>
          <w:trHeight w:val="160"/>
        </w:trPr>
        <w:tc>
          <w:tcPr>
            <w:tcW w:w="880" w:type="dxa"/>
            <w:vAlign w:val="bottom"/>
          </w:tcPr>
          <w:p>
            <w:pPr>
              <w:spacing w:after="0"/>
              <w:rPr>
                <w:sz w:val="13"/>
                <w:szCs w:val="13"/>
                <w:color w:val="auto"/>
              </w:rPr>
            </w:pPr>
          </w:p>
        </w:tc>
        <w:tc>
          <w:tcPr>
            <w:tcW w:w="10460" w:type="dxa"/>
            <w:vAlign w:val="bottom"/>
          </w:tcPr>
          <w:p>
            <w:pPr>
              <w:ind w:left="720"/>
              <w:spacing w:after="0"/>
              <w:rPr>
                <w:sz w:val="20"/>
                <w:szCs w:val="20"/>
                <w:color w:val="auto"/>
              </w:rPr>
            </w:pPr>
            <w:r>
              <w:rPr>
                <w:rFonts w:ascii="Arial" w:cs="Arial" w:eastAsia="Arial" w:hAnsi="Arial"/>
                <w:sz w:val="13"/>
                <w:szCs w:val="13"/>
                <w:color w:val="auto"/>
              </w:rPr>
              <w:t>31, 2018. The PSUs do not have staggered levels of achievement.</w:t>
            </w:r>
          </w:p>
        </w:tc>
      </w:tr>
      <w:tr>
        <w:trPr>
          <w:trHeight w:val="650"/>
        </w:trPr>
        <w:tc>
          <w:tcPr>
            <w:tcW w:w="880" w:type="dxa"/>
            <w:vAlign w:val="bottom"/>
          </w:tcPr>
          <w:p>
            <w:pPr>
              <w:jc w:val="right"/>
              <w:ind w:right="677"/>
              <w:spacing w:after="0"/>
              <w:rPr>
                <w:sz w:val="20"/>
                <w:szCs w:val="20"/>
                <w:color w:val="auto"/>
              </w:rPr>
            </w:pPr>
            <w:r>
              <w:rPr>
                <w:rFonts w:ascii="Arial" w:cs="Arial" w:eastAsia="Arial" w:hAnsi="Arial"/>
                <w:sz w:val="13"/>
                <w:szCs w:val="13"/>
                <w:color w:val="auto"/>
                <w:w w:val="75"/>
              </w:rPr>
              <w:t>(2)</w:t>
            </w:r>
          </w:p>
        </w:tc>
        <w:tc>
          <w:tcPr>
            <w:tcW w:w="10460" w:type="dxa"/>
            <w:vAlign w:val="bottom"/>
          </w:tcPr>
          <w:p>
            <w:pPr>
              <w:ind w:left="720"/>
              <w:spacing w:after="0"/>
              <w:rPr>
                <w:sz w:val="20"/>
                <w:szCs w:val="20"/>
                <w:color w:val="auto"/>
              </w:rPr>
            </w:pPr>
            <w:r>
              <w:rPr>
                <w:rFonts w:ascii="Arial" w:cs="Arial" w:eastAsia="Arial" w:hAnsi="Arial"/>
                <w:sz w:val="13"/>
                <w:szCs w:val="13"/>
                <w:color w:val="auto"/>
                <w:w w:val="91"/>
              </w:rPr>
              <w:t>Other income includes matching contributions to 401(k) plans in an amount up to $2,000 per year. Other income for Mr. Kennedy also includes assistance with travel and living expenses</w:t>
            </w:r>
          </w:p>
        </w:tc>
      </w:tr>
      <w:tr>
        <w:trPr>
          <w:trHeight w:val="160"/>
        </w:trPr>
        <w:tc>
          <w:tcPr>
            <w:tcW w:w="880" w:type="dxa"/>
            <w:vAlign w:val="bottom"/>
          </w:tcPr>
          <w:p>
            <w:pPr>
              <w:spacing w:after="0"/>
              <w:rPr>
                <w:sz w:val="13"/>
                <w:szCs w:val="13"/>
                <w:color w:val="auto"/>
              </w:rPr>
            </w:pPr>
          </w:p>
        </w:tc>
        <w:tc>
          <w:tcPr>
            <w:tcW w:w="10460" w:type="dxa"/>
            <w:vAlign w:val="bottom"/>
          </w:tcPr>
          <w:p>
            <w:pPr>
              <w:ind w:left="720"/>
              <w:spacing w:after="0"/>
              <w:rPr>
                <w:sz w:val="20"/>
                <w:szCs w:val="20"/>
                <w:color w:val="auto"/>
              </w:rPr>
            </w:pPr>
            <w:r>
              <w:rPr>
                <w:rFonts w:ascii="Arial" w:cs="Arial" w:eastAsia="Arial" w:hAnsi="Arial"/>
                <w:sz w:val="13"/>
                <w:szCs w:val="13"/>
                <w:color w:val="auto"/>
              </w:rPr>
              <w:t>associated with his commuting to our executive offices in South San Francisco, California as described in footnote (3) below.</w:t>
            </w:r>
          </w:p>
        </w:tc>
      </w:tr>
      <w:tr>
        <w:trPr>
          <w:trHeight w:val="650"/>
        </w:trPr>
        <w:tc>
          <w:tcPr>
            <w:tcW w:w="880" w:type="dxa"/>
            <w:vAlign w:val="bottom"/>
          </w:tcPr>
          <w:p>
            <w:pPr>
              <w:jc w:val="right"/>
              <w:ind w:right="677"/>
              <w:spacing w:after="0"/>
              <w:rPr>
                <w:sz w:val="20"/>
                <w:szCs w:val="20"/>
                <w:color w:val="auto"/>
              </w:rPr>
            </w:pPr>
            <w:r>
              <w:rPr>
                <w:rFonts w:ascii="Arial" w:cs="Arial" w:eastAsia="Arial" w:hAnsi="Arial"/>
                <w:sz w:val="13"/>
                <w:szCs w:val="13"/>
                <w:color w:val="auto"/>
                <w:w w:val="75"/>
              </w:rPr>
              <w:t>(3)</w:t>
            </w:r>
          </w:p>
        </w:tc>
        <w:tc>
          <w:tcPr>
            <w:tcW w:w="10460" w:type="dxa"/>
            <w:vAlign w:val="bottom"/>
          </w:tcPr>
          <w:p>
            <w:pPr>
              <w:ind w:left="720"/>
              <w:spacing w:after="0"/>
              <w:rPr>
                <w:sz w:val="20"/>
                <w:szCs w:val="20"/>
                <w:color w:val="auto"/>
              </w:rPr>
            </w:pPr>
            <w:r>
              <w:rPr>
                <w:rFonts w:ascii="Arial" w:cs="Arial" w:eastAsia="Arial" w:hAnsi="Arial"/>
                <w:sz w:val="13"/>
                <w:szCs w:val="13"/>
                <w:color w:val="auto"/>
                <w:w w:val="90"/>
              </w:rPr>
              <w:t>Pursuant to the terms of his employment agreement, Mr. Kennedy is entitled to travel and living expense assistance in connection with his commuting to our executive offices in South San</w:t>
            </w:r>
          </w:p>
        </w:tc>
      </w:tr>
      <w:tr>
        <w:trPr>
          <w:trHeight w:val="135"/>
        </w:trPr>
        <w:tc>
          <w:tcPr>
            <w:tcW w:w="880" w:type="dxa"/>
            <w:vAlign w:val="bottom"/>
          </w:tcPr>
          <w:p>
            <w:pPr>
              <w:spacing w:after="0"/>
              <w:rPr>
                <w:sz w:val="11"/>
                <w:szCs w:val="11"/>
                <w:color w:val="auto"/>
              </w:rPr>
            </w:pPr>
          </w:p>
        </w:tc>
        <w:tc>
          <w:tcPr>
            <w:tcW w:w="10460" w:type="dxa"/>
            <w:vAlign w:val="bottom"/>
          </w:tcPr>
          <w:p>
            <w:pPr>
              <w:ind w:left="720"/>
              <w:spacing w:after="0" w:line="135" w:lineRule="exact"/>
              <w:rPr>
                <w:sz w:val="20"/>
                <w:szCs w:val="20"/>
                <w:color w:val="auto"/>
              </w:rPr>
            </w:pPr>
            <w:r>
              <w:rPr>
                <w:rFonts w:ascii="Arial" w:cs="Arial" w:eastAsia="Arial" w:hAnsi="Arial"/>
                <w:sz w:val="13"/>
                <w:szCs w:val="13"/>
                <w:color w:val="auto"/>
                <w:w w:val="91"/>
              </w:rPr>
              <w:t>Francisco, California. In 2018 and 2017, these amounts totaled $200,899 and $197,709, respectively, for reimbursed expenses for airline travel, parking, transportation and related travel</w:t>
            </w:r>
          </w:p>
        </w:tc>
      </w:tr>
      <w:tr>
        <w:trPr>
          <w:trHeight w:val="160"/>
        </w:trPr>
        <w:tc>
          <w:tcPr>
            <w:tcW w:w="880" w:type="dxa"/>
            <w:vAlign w:val="bottom"/>
          </w:tcPr>
          <w:p>
            <w:pPr>
              <w:spacing w:after="0"/>
              <w:rPr>
                <w:sz w:val="13"/>
                <w:szCs w:val="13"/>
                <w:color w:val="auto"/>
              </w:rPr>
            </w:pPr>
          </w:p>
        </w:tc>
        <w:tc>
          <w:tcPr>
            <w:tcW w:w="10460" w:type="dxa"/>
            <w:vAlign w:val="bottom"/>
          </w:tcPr>
          <w:p>
            <w:pPr>
              <w:ind w:left="720"/>
              <w:spacing w:after="0"/>
              <w:rPr>
                <w:sz w:val="20"/>
                <w:szCs w:val="20"/>
                <w:color w:val="auto"/>
              </w:rPr>
            </w:pPr>
            <w:r>
              <w:rPr>
                <w:rFonts w:ascii="Arial" w:cs="Arial" w:eastAsia="Arial" w:hAnsi="Arial"/>
                <w:sz w:val="13"/>
                <w:szCs w:val="13"/>
                <w:color w:val="auto"/>
              </w:rPr>
              <w:t>incidentals, and living expense and tax gross-up paid for such expenses.</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 salaries serve to provide fixed cash compensation to our executive officers for performing their ongoing responsibilities. Base salaries for our executive officers are approved upon joining the company by the compensation committee, and then reviewed and adjusted, as appropriate, by the compensation committee on an annual basis, in consultation with Radford and based on consideration of the factors discussed above.</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2018, the compensation committee (or, in the case of Ms. Anderson, the independent members of the board of directors, on the recommendation of the compensation committee) maintained the 2017 base salaries. Accordingly, as of December 31, 2018, the base salaries of our named executive officers were as follows: Ms. Anderson, $550,000, Mr. Hall, $415,000 and Mr. Kennedy, $400,000.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Performance-Based Cash Incentives</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Historically, we have provided our executives with short-term, performance-based annual incentives through our annual cash incentive program. We believe that annual incentives:</w:t>
      </w:r>
    </w:p>
    <w:p>
      <w:pPr>
        <w:spacing w:after="0" w:line="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 executives accountable;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align the interests of our company, executives and investors;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enable us to achieve and exceed financial goals;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the top talent in the industry;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 and reward individuals for contributing to our company’s success.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Bonus Plan Incentive Opportunities</w:t>
      </w:r>
    </w:p>
    <w:p>
      <w:pPr>
        <w:spacing w:after="0" w:line="3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of our named executive officers participated in our 2018 corporate bonus plan. Executive officers that participate in this plan have an established annual incentive target, which is equal to a percentage of their base salary. The actual earned annual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incentive bonus, if any, is calculated based on the bonus pool funding, our performance and any adjustments for individual performance. For 2018, our named executive officers had the following annual cash incentive opportunities:</w:t>
      </w:r>
    </w:p>
    <w:p>
      <w:pPr>
        <w:spacing w:after="0" w:line="200" w:lineRule="exact"/>
        <w:rPr>
          <w:sz w:val="20"/>
          <w:szCs w:val="20"/>
          <w:color w:val="auto"/>
        </w:rPr>
      </w:pPr>
    </w:p>
    <w:p>
      <w:pPr>
        <w:spacing w:after="0" w:line="241"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Executive</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2"/>
              </w:rPr>
              <w:t>Target Annual Incentive</w:t>
            </w:r>
          </w:p>
        </w:tc>
        <w:tc>
          <w:tcPr>
            <w:tcW w:w="0" w:type="dxa"/>
            <w:vAlign w:val="bottom"/>
          </w:tcPr>
          <w:p>
            <w:pPr>
              <w:spacing w:after="0"/>
              <w:rPr>
                <w:sz w:val="1"/>
                <w:szCs w:val="1"/>
                <w:color w:val="auto"/>
              </w:rPr>
            </w:pPr>
          </w:p>
        </w:tc>
      </w:tr>
      <w:tr>
        <w:trPr>
          <w:trHeight w:val="102"/>
        </w:trPr>
        <w:tc>
          <w:tcPr>
            <w:tcW w:w="2120" w:type="dxa"/>
            <w:vAlign w:val="bottom"/>
            <w:vMerge w:val="continue"/>
          </w:tcPr>
          <w:p>
            <w:pPr>
              <w:spacing w:after="0"/>
              <w:rPr>
                <w:sz w:val="8"/>
                <w:szCs w:val="8"/>
                <w:color w:val="auto"/>
              </w:rPr>
            </w:pP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(as % of base salary)</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20" w:type="dxa"/>
            <w:vAlign w:val="bottom"/>
          </w:tcPr>
          <w:p>
            <w:pPr>
              <w:jc w:val="center"/>
              <w:spacing w:after="0"/>
              <w:rPr>
                <w:sz w:val="20"/>
                <w:szCs w:val="20"/>
                <w:color w:val="auto"/>
              </w:rPr>
            </w:pPr>
            <w:r>
              <w:rPr>
                <w:rFonts w:ascii="Arial" w:cs="Arial" w:eastAsia="Arial" w:hAnsi="Arial"/>
                <w:sz w:val="16"/>
                <w:szCs w:val="16"/>
                <w:color w:val="auto"/>
                <w:w w:val="93"/>
              </w:rPr>
              <w:t>Bonnie H. Anderson</w:t>
            </w:r>
          </w:p>
        </w:tc>
        <w:tc>
          <w:tcPr>
            <w:tcW w:w="2380" w:type="dxa"/>
            <w:vAlign w:val="bottom"/>
          </w:tcPr>
          <w:p>
            <w:pPr>
              <w:jc w:val="center"/>
              <w:spacing w:after="0"/>
              <w:rPr>
                <w:sz w:val="20"/>
                <w:szCs w:val="20"/>
                <w:color w:val="auto"/>
              </w:rPr>
            </w:pPr>
            <w:r>
              <w:rPr>
                <w:rFonts w:ascii="Arial" w:cs="Arial" w:eastAsia="Arial" w:hAnsi="Arial"/>
                <w:sz w:val="16"/>
                <w:szCs w:val="16"/>
                <w:color w:val="auto"/>
                <w:w w:val="93"/>
              </w:rPr>
              <w:t>85%</w:t>
            </w:r>
          </w:p>
        </w:tc>
        <w:tc>
          <w:tcPr>
            <w:tcW w:w="0" w:type="dxa"/>
            <w:vAlign w:val="bottom"/>
          </w:tcPr>
          <w:p>
            <w:pPr>
              <w:spacing w:after="0"/>
              <w:rPr>
                <w:sz w:val="1"/>
                <w:szCs w:val="1"/>
                <w:color w:val="auto"/>
              </w:rPr>
            </w:pPr>
          </w:p>
        </w:tc>
      </w:tr>
      <w:tr>
        <w:trPr>
          <w:trHeight w:val="257"/>
        </w:trPr>
        <w:tc>
          <w:tcPr>
            <w:tcW w:w="2120" w:type="dxa"/>
            <w:vAlign w:val="bottom"/>
          </w:tcPr>
          <w:p>
            <w:pPr>
              <w:jc w:val="center"/>
              <w:spacing w:after="0"/>
              <w:rPr>
                <w:sz w:val="20"/>
                <w:szCs w:val="20"/>
                <w:color w:val="auto"/>
              </w:rPr>
            </w:pPr>
            <w:r>
              <w:rPr>
                <w:rFonts w:ascii="Arial" w:cs="Arial" w:eastAsia="Arial" w:hAnsi="Arial"/>
                <w:sz w:val="16"/>
                <w:szCs w:val="16"/>
                <w:color w:val="auto"/>
                <w:w w:val="94"/>
              </w:rPr>
              <w:t>Christopher M. Hall</w:t>
            </w:r>
          </w:p>
        </w:tc>
        <w:tc>
          <w:tcPr>
            <w:tcW w:w="2380" w:type="dxa"/>
            <w:vAlign w:val="bottom"/>
          </w:tcPr>
          <w:p>
            <w:pPr>
              <w:jc w:val="center"/>
              <w:spacing w:after="0"/>
              <w:rPr>
                <w:sz w:val="20"/>
                <w:szCs w:val="20"/>
                <w:color w:val="auto"/>
              </w:rPr>
            </w:pPr>
            <w:r>
              <w:rPr>
                <w:rFonts w:ascii="Arial" w:cs="Arial" w:eastAsia="Arial" w:hAnsi="Arial"/>
                <w:sz w:val="16"/>
                <w:szCs w:val="16"/>
                <w:color w:val="auto"/>
                <w:w w:val="93"/>
              </w:rPr>
              <w:t>60%</w:t>
            </w:r>
          </w:p>
        </w:tc>
        <w:tc>
          <w:tcPr>
            <w:tcW w:w="0" w:type="dxa"/>
            <w:vAlign w:val="bottom"/>
          </w:tcPr>
          <w:p>
            <w:pPr>
              <w:spacing w:after="0"/>
              <w:rPr>
                <w:sz w:val="1"/>
                <w:szCs w:val="1"/>
                <w:color w:val="auto"/>
              </w:rPr>
            </w:pPr>
          </w:p>
        </w:tc>
      </w:tr>
      <w:tr>
        <w:trPr>
          <w:trHeight w:val="257"/>
        </w:trPr>
        <w:tc>
          <w:tcPr>
            <w:tcW w:w="2120" w:type="dxa"/>
            <w:vAlign w:val="bottom"/>
          </w:tcPr>
          <w:p>
            <w:pPr>
              <w:jc w:val="center"/>
              <w:spacing w:after="0"/>
              <w:rPr>
                <w:sz w:val="20"/>
                <w:szCs w:val="20"/>
                <w:color w:val="auto"/>
              </w:rPr>
            </w:pPr>
            <w:r>
              <w:rPr>
                <w:rFonts w:ascii="Arial" w:cs="Arial" w:eastAsia="Arial" w:hAnsi="Arial"/>
                <w:sz w:val="16"/>
                <w:szCs w:val="16"/>
                <w:color w:val="auto"/>
                <w:w w:val="94"/>
              </w:rPr>
              <w:t>Keith Kennedy</w:t>
            </w:r>
          </w:p>
        </w:tc>
        <w:tc>
          <w:tcPr>
            <w:tcW w:w="2380" w:type="dxa"/>
            <w:vAlign w:val="bottom"/>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Bonus Plan Awards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2018, the independent members of our board of directors, on the recommendation of the compensation committee, approved corporate goals for 2018 relating to our 2018 corporate bonus plan. Under the plan, eligible employees, including our named executive officers, were eligible to receive annual incentive compensation if we achieved the corporate goals approved by our board of directors, as described in the table below. With respect to our named executive officers, the bonus pool could be funded from 0% to 142% based upon achieving certain annual revenue, product development, and reimbursement goals.</w:t>
      </w:r>
    </w:p>
    <w:p>
      <w:pPr>
        <w:spacing w:after="0" w:line="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Actual awards under the plan could either exceed or be less than the targets established, as determined by the independent members of our board of directors at their discretion based on the recommendation of the compensation committee and based on corporate and individual performance.</w:t>
      </w:r>
    </w:p>
    <w:p>
      <w:pPr>
        <w:spacing w:after="0" w:line="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2019, the independent members of our board of directors, on the recommendation of the compensation committee, approved cash bonus awards for 2018 performance under our 2018 corporate bonus plan. The independent members of our board of directors and compensation committee considered the achievements of the corporate goals under the plan as well our performance and individual performance in determining the amounts to be paid. Based on this review, the independent members of our board of directors and compensation committee approved awards to our named executive officers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4080" w:type="dxa"/>
            <w:vAlign w:val="bottom"/>
            <w:gridSpan w:val="2"/>
          </w:tcPr>
          <w:p>
            <w:pPr>
              <w:ind w:left="1380"/>
              <w:spacing w:after="0"/>
              <w:rPr>
                <w:sz w:val="20"/>
                <w:szCs w:val="20"/>
                <w:color w:val="auto"/>
              </w:rPr>
            </w:pPr>
            <w:r>
              <w:rPr>
                <w:rFonts w:ascii="Arial" w:cs="Arial" w:eastAsia="Arial" w:hAnsi="Arial"/>
                <w:sz w:val="18"/>
                <w:szCs w:val="18"/>
                <w:color w:val="auto"/>
              </w:rPr>
              <w:t>Opportunity</w:t>
            </w:r>
          </w:p>
        </w:tc>
        <w:tc>
          <w:tcPr>
            <w:tcW w:w="1500" w:type="dxa"/>
            <w:vAlign w:val="bottom"/>
          </w:tcPr>
          <w:p>
            <w:pPr>
              <w:spacing w:after="0"/>
              <w:rPr>
                <w:sz w:val="20"/>
                <w:szCs w:val="20"/>
                <w:color w:val="auto"/>
              </w:rPr>
            </w:pPr>
          </w:p>
        </w:tc>
        <w:tc>
          <w:tcPr>
            <w:tcW w:w="1620" w:type="dxa"/>
            <w:vAlign w:val="bottom"/>
          </w:tcPr>
          <w:p>
            <w:pPr>
              <w:ind w:left="1060"/>
              <w:spacing w:after="0"/>
              <w:rPr>
                <w:sz w:val="20"/>
                <w:szCs w:val="20"/>
                <w:color w:val="auto"/>
              </w:rPr>
            </w:pPr>
            <w:r>
              <w:rPr>
                <w:rFonts w:ascii="Arial" w:cs="Arial" w:eastAsia="Arial" w:hAnsi="Arial"/>
                <w:sz w:val="18"/>
                <w:szCs w:val="18"/>
                <w:color w:val="auto"/>
              </w:rPr>
              <w:t>Actual</w:t>
            </w:r>
          </w:p>
        </w:tc>
        <w:tc>
          <w:tcPr>
            <w:tcW w:w="980" w:type="dxa"/>
            <w:vAlign w:val="bottom"/>
          </w:tcPr>
          <w:p>
            <w:pPr>
              <w:spacing w:after="0"/>
              <w:rPr>
                <w:sz w:val="20"/>
                <w:szCs w:val="20"/>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1940" w:type="dxa"/>
            <w:vAlign w:val="bottom"/>
          </w:tcPr>
          <w:p>
            <w:pPr>
              <w:ind w:left="760"/>
              <w:spacing w:after="0"/>
              <w:rPr>
                <w:sz w:val="20"/>
                <w:szCs w:val="20"/>
                <w:color w:val="auto"/>
              </w:rPr>
            </w:pPr>
            <w:r>
              <w:rPr>
                <w:rFonts w:ascii="Arial" w:cs="Arial" w:eastAsia="Arial" w:hAnsi="Arial"/>
                <w:sz w:val="18"/>
                <w:szCs w:val="18"/>
                <w:color w:val="auto"/>
              </w:rPr>
              <w:t>Executive</w:t>
            </w:r>
          </w:p>
        </w:tc>
        <w:tc>
          <w:tcPr>
            <w:tcW w:w="1860" w:type="dxa"/>
            <w:vAlign w:val="bottom"/>
          </w:tcPr>
          <w:p>
            <w:pPr>
              <w:jc w:val="center"/>
              <w:ind w:left="150"/>
              <w:spacing w:after="0"/>
              <w:rPr>
                <w:sz w:val="20"/>
                <w:szCs w:val="20"/>
                <w:color w:val="auto"/>
              </w:rPr>
            </w:pPr>
            <w:r>
              <w:rPr>
                <w:rFonts w:ascii="Arial" w:cs="Arial" w:eastAsia="Arial" w:hAnsi="Arial"/>
                <w:sz w:val="18"/>
                <w:szCs w:val="18"/>
                <w:color w:val="auto"/>
                <w:w w:val="88"/>
              </w:rPr>
              <w:t>2018 Base Salary</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Target Bonus Percentage</w:t>
            </w: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Target Bonus</w:t>
            </w: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89"/>
              </w:rPr>
              <w:t>2018 Earned Award</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As a % of</w:t>
            </w:r>
          </w:p>
        </w:tc>
      </w:tr>
      <w:tr>
        <w:trPr>
          <w:trHeight w:val="230"/>
        </w:trPr>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(as % of base salary)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8"/>
              </w:rPr>
              <w:t>Target</w:t>
            </w:r>
          </w:p>
        </w:tc>
      </w:tr>
      <w:tr>
        <w:trPr>
          <w:trHeight w:val="27"/>
        </w:trPr>
        <w:tc>
          <w:tcPr>
            <w:tcW w:w="19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40"/>
              <w:spacing w:after="0"/>
              <w:rPr>
                <w:sz w:val="20"/>
                <w:szCs w:val="20"/>
                <w:color w:val="auto"/>
              </w:rPr>
            </w:pPr>
            <w:r>
              <w:rPr>
                <w:rFonts w:ascii="Arial" w:cs="Arial" w:eastAsia="Arial" w:hAnsi="Arial"/>
                <w:sz w:val="18"/>
                <w:szCs w:val="18"/>
                <w:color w:val="auto"/>
              </w:rPr>
              <w:t>Bonnie H. Anderson</w:t>
            </w:r>
          </w:p>
        </w:tc>
        <w:tc>
          <w:tcPr>
            <w:tcW w:w="1860" w:type="dxa"/>
            <w:vAlign w:val="bottom"/>
          </w:tcPr>
          <w:p>
            <w:pPr>
              <w:jc w:val="center"/>
              <w:ind w:left="170"/>
              <w:spacing w:after="0"/>
              <w:rPr>
                <w:sz w:val="20"/>
                <w:szCs w:val="20"/>
                <w:color w:val="auto"/>
              </w:rPr>
            </w:pPr>
            <w:r>
              <w:rPr>
                <w:rFonts w:ascii="Arial" w:cs="Arial" w:eastAsia="Arial" w:hAnsi="Arial"/>
                <w:sz w:val="18"/>
                <w:szCs w:val="18"/>
                <w:color w:val="auto"/>
                <w:w w:val="90"/>
              </w:rPr>
              <w:t>$550,000</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$467,500</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0"/>
              </w:rPr>
              <w:t>$514,250</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110%</w:t>
            </w:r>
          </w:p>
        </w:tc>
      </w:tr>
      <w:tr>
        <w:trPr>
          <w:trHeight w:val="270"/>
        </w:trPr>
        <w:tc>
          <w:tcPr>
            <w:tcW w:w="1940" w:type="dxa"/>
            <w:vAlign w:val="bottom"/>
          </w:tcPr>
          <w:p>
            <w:pPr>
              <w:ind w:left="40"/>
              <w:spacing w:after="0"/>
              <w:rPr>
                <w:sz w:val="20"/>
                <w:szCs w:val="20"/>
                <w:color w:val="auto"/>
              </w:rPr>
            </w:pPr>
            <w:r>
              <w:rPr>
                <w:rFonts w:ascii="Arial" w:cs="Arial" w:eastAsia="Arial" w:hAnsi="Arial"/>
                <w:sz w:val="18"/>
                <w:szCs w:val="18"/>
                <w:color w:val="auto"/>
              </w:rPr>
              <w:t>Christopher M. Hall</w:t>
            </w:r>
          </w:p>
        </w:tc>
        <w:tc>
          <w:tcPr>
            <w:tcW w:w="1860" w:type="dxa"/>
            <w:vAlign w:val="bottom"/>
          </w:tcPr>
          <w:p>
            <w:pPr>
              <w:jc w:val="center"/>
              <w:ind w:left="170"/>
              <w:spacing w:after="0"/>
              <w:rPr>
                <w:sz w:val="20"/>
                <w:szCs w:val="20"/>
                <w:color w:val="auto"/>
              </w:rPr>
            </w:pPr>
            <w:r>
              <w:rPr>
                <w:rFonts w:ascii="Arial" w:cs="Arial" w:eastAsia="Arial" w:hAnsi="Arial"/>
                <w:sz w:val="18"/>
                <w:szCs w:val="18"/>
                <w:color w:val="auto"/>
                <w:w w:val="90"/>
              </w:rPr>
              <w:t>$415,000</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$249,000</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0"/>
              </w:rPr>
              <w:t>$287,600</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116%</w:t>
            </w:r>
          </w:p>
        </w:tc>
      </w:tr>
      <w:tr>
        <w:trPr>
          <w:trHeight w:val="270"/>
        </w:trPr>
        <w:tc>
          <w:tcPr>
            <w:tcW w:w="1940" w:type="dxa"/>
            <w:vAlign w:val="bottom"/>
          </w:tcPr>
          <w:p>
            <w:pPr>
              <w:ind w:left="40"/>
              <w:spacing w:after="0"/>
              <w:rPr>
                <w:sz w:val="20"/>
                <w:szCs w:val="20"/>
                <w:color w:val="auto"/>
              </w:rPr>
            </w:pPr>
            <w:r>
              <w:rPr>
                <w:rFonts w:ascii="Arial" w:cs="Arial" w:eastAsia="Arial" w:hAnsi="Arial"/>
                <w:sz w:val="18"/>
                <w:szCs w:val="18"/>
                <w:color w:val="auto"/>
              </w:rPr>
              <w:t>Keith Kennedy</w:t>
            </w:r>
          </w:p>
        </w:tc>
        <w:tc>
          <w:tcPr>
            <w:tcW w:w="1860" w:type="dxa"/>
            <w:vAlign w:val="bottom"/>
          </w:tcPr>
          <w:p>
            <w:pPr>
              <w:jc w:val="center"/>
              <w:ind w:left="170"/>
              <w:spacing w:after="0"/>
              <w:rPr>
                <w:sz w:val="20"/>
                <w:szCs w:val="20"/>
                <w:color w:val="auto"/>
              </w:rPr>
            </w:pPr>
            <w:r>
              <w:rPr>
                <w:rFonts w:ascii="Arial" w:cs="Arial" w:eastAsia="Arial" w:hAnsi="Arial"/>
                <w:sz w:val="18"/>
                <w:szCs w:val="18"/>
                <w:color w:val="auto"/>
                <w:w w:val="90"/>
              </w:rPr>
              <w:t>$400,000</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$220,000</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0"/>
              </w:rPr>
              <w:t>$266,200</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121%</w:t>
            </w:r>
          </w:p>
        </w:tc>
      </w:tr>
      <w:tr>
        <w:trPr>
          <w:trHeight w:val="27"/>
        </w:trPr>
        <w:tc>
          <w:tcPr>
            <w:tcW w:w="1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portion of executive pay is delivered as long-term incentives, or equity awards, which are designed to align executive officers’ interests with stockholder interests, promote retention through the reward of long-term company performance, and encourage ownership in our company. Equity awards are designed to encourage high performance by and long-term tenure for executive officers, thereby strongly aligning executive officers’ interests with the interests of our stockholders. Each of our named executive officers currently holds outstanding equity awards, as set forth in the “—2018 Outstanding Equity Awards at Fiscal Year-End” table below.</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historically used equity awards in the form of stock options and RSUs, both vesting over time. In 2018, we also granted PSUs to our named executive officers to further incentivize our executives to drive long-term growth and promote alignment of our stockholders’ interests with the financial interests of our executives. The compensation committee believes that PSUs provide an appropriate long-term incentive for our executive officers, as PSUs reward our executive officers only to the extent those performance measures are met. We believe that stock options, which are granted with exercise prices equal to the fair market value of our common stock on the date of grant and vest over a four-year period, provide an appropriate long-term incentive for our executive officers, since the stock options reward them only to the extent that our stock price increases. Likewise, we believe that RSU awards reward our executive officers with long-term stock price appreciation while simultaneously helping us retain our executive officers, as restricted stock units provide some value to the recipient even if the market price of our common stock declines.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The compensation committee determines the size of equity grants by considering the executive officer’s position and market data of our peer group companies as provided by Radford. The compensation committee also takes into consideration each named executive officer’s recent performance history, his or her potential for future responsibility and criticality of his or her work to the long-term success of our company. The compensation committee has the discretion to give relative weight to each of these factors as it sets the size of the equity grant to appropriately create an opportunity for reward based on increasing stockholder value.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2018, the compensation committee and the independent members of the board of directors, on the recommendation of the compensation committee, approved grants of equity awards to the named executive officers in the following amounts:</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2018 Equity Grants</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22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Executive</w:t>
            </w:r>
          </w:p>
        </w:tc>
        <w:tc>
          <w:tcPr>
            <w:tcW w:w="2360" w:type="dxa"/>
            <w:vAlign w:val="bottom"/>
          </w:tcPr>
          <w:p>
            <w:pPr>
              <w:ind w:left="540"/>
              <w:spacing w:after="0"/>
              <w:rPr>
                <w:sz w:val="20"/>
                <w:szCs w:val="20"/>
                <w:color w:val="auto"/>
              </w:rPr>
            </w:pPr>
            <w:r>
              <w:rPr>
                <w:rFonts w:ascii="Arial" w:cs="Arial" w:eastAsia="Arial" w:hAnsi="Arial"/>
                <w:sz w:val="16"/>
                <w:szCs w:val="16"/>
                <w:b w:val="1"/>
                <w:bCs w:val="1"/>
                <w:color w:val="auto"/>
              </w:rPr>
              <w:t>Stock Options</w:t>
            </w:r>
          </w:p>
        </w:tc>
        <w:tc>
          <w:tcPr>
            <w:tcW w:w="22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RSUs</w:t>
            </w:r>
          </w:p>
        </w:tc>
        <w:tc>
          <w:tcPr>
            <w:tcW w:w="2400" w:type="dxa"/>
            <w:vAlign w:val="bottom"/>
          </w:tcPr>
          <w:p>
            <w:pPr>
              <w:ind w:left="1020"/>
              <w:spacing w:after="0"/>
              <w:rPr>
                <w:sz w:val="20"/>
                <w:szCs w:val="20"/>
                <w:color w:val="auto"/>
              </w:rPr>
            </w:pPr>
            <w:r>
              <w:rPr>
                <w:rFonts w:ascii="Arial" w:cs="Arial" w:eastAsia="Arial" w:hAnsi="Arial"/>
                <w:sz w:val="16"/>
                <w:szCs w:val="16"/>
                <w:b w:val="1"/>
                <w:bCs w:val="1"/>
                <w:color w:val="auto"/>
              </w:rPr>
              <w:t>PSUs</w:t>
            </w:r>
          </w:p>
        </w:tc>
      </w:tr>
      <w:tr>
        <w:trPr>
          <w:trHeight w:val="33"/>
        </w:trPr>
        <w:tc>
          <w:tcPr>
            <w:tcW w:w="2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7"/>
        </w:trPr>
        <w:tc>
          <w:tcPr>
            <w:tcW w:w="2220" w:type="dxa"/>
            <w:vAlign w:val="bottom"/>
          </w:tcPr>
          <w:p>
            <w:pPr>
              <w:jc w:val="center"/>
              <w:ind w:right="79"/>
              <w:spacing w:after="0"/>
              <w:rPr>
                <w:sz w:val="20"/>
                <w:szCs w:val="20"/>
                <w:color w:val="auto"/>
              </w:rPr>
            </w:pPr>
            <w:r>
              <w:rPr>
                <w:rFonts w:ascii="Arial" w:cs="Arial" w:eastAsia="Arial" w:hAnsi="Arial"/>
                <w:sz w:val="16"/>
                <w:szCs w:val="16"/>
                <w:color w:val="auto"/>
                <w:w w:val="93"/>
              </w:rPr>
              <w:t>Bonnie H. Anderson</w:t>
            </w:r>
          </w:p>
        </w:tc>
        <w:tc>
          <w:tcPr>
            <w:tcW w:w="2360" w:type="dxa"/>
            <w:vAlign w:val="bottom"/>
          </w:tcPr>
          <w:p>
            <w:pPr>
              <w:jc w:val="center"/>
              <w:ind w:right="239"/>
              <w:spacing w:after="0"/>
              <w:rPr>
                <w:sz w:val="20"/>
                <w:szCs w:val="20"/>
                <w:color w:val="auto"/>
              </w:rPr>
            </w:pPr>
            <w:r>
              <w:rPr>
                <w:rFonts w:ascii="Arial" w:cs="Arial" w:eastAsia="Arial" w:hAnsi="Arial"/>
                <w:sz w:val="16"/>
                <w:szCs w:val="16"/>
                <w:color w:val="auto"/>
                <w:w w:val="89"/>
              </w:rPr>
              <w:t>225,000</w:t>
            </w:r>
          </w:p>
        </w:tc>
        <w:tc>
          <w:tcPr>
            <w:tcW w:w="2240" w:type="dxa"/>
            <w:vAlign w:val="bottom"/>
          </w:tcPr>
          <w:p>
            <w:pPr>
              <w:jc w:val="center"/>
              <w:ind w:right="39"/>
              <w:spacing w:after="0"/>
              <w:rPr>
                <w:sz w:val="20"/>
                <w:szCs w:val="20"/>
                <w:color w:val="auto"/>
              </w:rPr>
            </w:pPr>
            <w:r>
              <w:rPr>
                <w:rFonts w:ascii="Arial" w:cs="Arial" w:eastAsia="Arial" w:hAnsi="Arial"/>
                <w:sz w:val="16"/>
                <w:szCs w:val="16"/>
                <w:color w:val="auto"/>
                <w:w w:val="89"/>
              </w:rPr>
              <w:t>30,000</w:t>
            </w: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150,000</w:t>
            </w:r>
          </w:p>
        </w:tc>
      </w:tr>
      <w:tr>
        <w:trPr>
          <w:trHeight w:val="257"/>
        </w:trPr>
        <w:tc>
          <w:tcPr>
            <w:tcW w:w="2220" w:type="dxa"/>
            <w:vAlign w:val="bottom"/>
          </w:tcPr>
          <w:p>
            <w:pPr>
              <w:jc w:val="center"/>
              <w:ind w:right="99"/>
              <w:spacing w:after="0"/>
              <w:rPr>
                <w:sz w:val="20"/>
                <w:szCs w:val="20"/>
                <w:color w:val="auto"/>
              </w:rPr>
            </w:pPr>
            <w:r>
              <w:rPr>
                <w:rFonts w:ascii="Arial" w:cs="Arial" w:eastAsia="Arial" w:hAnsi="Arial"/>
                <w:sz w:val="16"/>
                <w:szCs w:val="16"/>
                <w:color w:val="auto"/>
                <w:w w:val="96"/>
              </w:rPr>
              <w:t>Christopher M. Hall</w:t>
            </w:r>
          </w:p>
        </w:tc>
        <w:tc>
          <w:tcPr>
            <w:tcW w:w="2360" w:type="dxa"/>
            <w:vAlign w:val="bottom"/>
          </w:tcPr>
          <w:p>
            <w:pPr>
              <w:jc w:val="center"/>
              <w:ind w:right="239"/>
              <w:spacing w:after="0"/>
              <w:rPr>
                <w:sz w:val="20"/>
                <w:szCs w:val="20"/>
                <w:color w:val="auto"/>
              </w:rPr>
            </w:pPr>
            <w:r>
              <w:rPr>
                <w:rFonts w:ascii="Arial" w:cs="Arial" w:eastAsia="Arial" w:hAnsi="Arial"/>
                <w:sz w:val="16"/>
                <w:szCs w:val="16"/>
                <w:color w:val="auto"/>
                <w:w w:val="89"/>
              </w:rPr>
              <w:t>110,250</w:t>
            </w:r>
          </w:p>
        </w:tc>
        <w:tc>
          <w:tcPr>
            <w:tcW w:w="2240" w:type="dxa"/>
            <w:vAlign w:val="bottom"/>
          </w:tcPr>
          <w:p>
            <w:pPr>
              <w:jc w:val="center"/>
              <w:ind w:right="39"/>
              <w:spacing w:after="0"/>
              <w:rPr>
                <w:sz w:val="20"/>
                <w:szCs w:val="20"/>
                <w:color w:val="auto"/>
              </w:rPr>
            </w:pPr>
            <w:r>
              <w:rPr>
                <w:rFonts w:ascii="Arial" w:cs="Arial" w:eastAsia="Arial" w:hAnsi="Arial"/>
                <w:sz w:val="16"/>
                <w:szCs w:val="16"/>
                <w:color w:val="auto"/>
                <w:w w:val="89"/>
              </w:rPr>
              <w:t>14,700</w:t>
            </w: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75,000</w:t>
            </w:r>
          </w:p>
        </w:tc>
      </w:tr>
      <w:tr>
        <w:trPr>
          <w:trHeight w:val="257"/>
        </w:trPr>
        <w:tc>
          <w:tcPr>
            <w:tcW w:w="2220" w:type="dxa"/>
            <w:vAlign w:val="bottom"/>
          </w:tcPr>
          <w:p>
            <w:pPr>
              <w:jc w:val="center"/>
              <w:ind w:right="99"/>
              <w:spacing w:after="0"/>
              <w:rPr>
                <w:sz w:val="20"/>
                <w:szCs w:val="20"/>
                <w:color w:val="auto"/>
              </w:rPr>
            </w:pPr>
            <w:r>
              <w:rPr>
                <w:rFonts w:ascii="Arial" w:cs="Arial" w:eastAsia="Arial" w:hAnsi="Arial"/>
                <w:sz w:val="16"/>
                <w:szCs w:val="16"/>
                <w:color w:val="auto"/>
                <w:w w:val="96"/>
              </w:rPr>
              <w:t>Keith Kennedy</w:t>
            </w:r>
          </w:p>
        </w:tc>
        <w:tc>
          <w:tcPr>
            <w:tcW w:w="2360" w:type="dxa"/>
            <w:vAlign w:val="bottom"/>
          </w:tcPr>
          <w:p>
            <w:pPr>
              <w:jc w:val="center"/>
              <w:ind w:right="239"/>
              <w:spacing w:after="0"/>
              <w:rPr>
                <w:sz w:val="20"/>
                <w:szCs w:val="20"/>
                <w:color w:val="auto"/>
              </w:rPr>
            </w:pPr>
            <w:r>
              <w:rPr>
                <w:rFonts w:ascii="Arial" w:cs="Arial" w:eastAsia="Arial" w:hAnsi="Arial"/>
                <w:sz w:val="16"/>
                <w:szCs w:val="16"/>
                <w:color w:val="auto"/>
                <w:w w:val="89"/>
              </w:rPr>
              <w:t>77,250</w:t>
            </w:r>
          </w:p>
        </w:tc>
        <w:tc>
          <w:tcPr>
            <w:tcW w:w="2240" w:type="dxa"/>
            <w:vAlign w:val="bottom"/>
          </w:tcPr>
          <w:p>
            <w:pPr>
              <w:jc w:val="center"/>
              <w:ind w:right="39"/>
              <w:spacing w:after="0"/>
              <w:rPr>
                <w:sz w:val="20"/>
                <w:szCs w:val="20"/>
                <w:color w:val="auto"/>
              </w:rPr>
            </w:pPr>
            <w:r>
              <w:rPr>
                <w:rFonts w:ascii="Arial" w:cs="Arial" w:eastAsia="Arial" w:hAnsi="Arial"/>
                <w:sz w:val="16"/>
                <w:szCs w:val="16"/>
                <w:color w:val="auto"/>
                <w:w w:val="89"/>
              </w:rPr>
              <w:t>10,300</w:t>
            </w: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50,000</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w:t>
      </w:r>
      <w:r>
        <w:rPr>
          <w:rFonts w:ascii="Arial" w:cs="Arial" w:eastAsia="Arial" w:hAnsi="Arial"/>
          <w:sz w:val="18"/>
          <w:szCs w:val="18"/>
          <w:b w:val="1"/>
          <w:bCs w:val="1"/>
          <w:color w:val="auto"/>
        </w:rPr>
        <w:t>oyment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Bonnie H. Anderson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entered into an employment agreement with Ms. Anderson, our co-founder and Chief Executive Officer, on February 15, 2008, as amended on December 22, 2008 and March 11, 2009. The agreement provides for base salary, subject to periodic review. Under the employment agreement, Ms. Anderson is also eligible to earn a bonus based on criteria and terms and conditions as may be established by our board of directors and a grant of restricted stock. We have also entered into a change of control and severance agreement with Ms. Anderson that provides for certain payments and benefits upon a qualifying termination of employment. See “-Potential Payments upon Termination or Change in Control” below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M. Hall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offer letter with Mr. Hall, our President and Chief Operating Officer, on January 27, 2010. This offer letter provides for a base salary, subject to periodic review. Under the offer letter, Mr. Hall is also eligible to earn a bonus based on specified criteria and an option grant. We have also entered into a change of control and severance agreement with Mr. Hall that provides for certain payments and benefits upon a qualifying termination of employment. See “-Potential Payments upon Termination or Change in Control” below for more information. Mr. Hall informed us of his intention to retire from his positions as President and Chief Operating Officer on July 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Keith Kennedy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entered into an offer letter with Mr. Kennedy, our Chief Financial Officer, on November 17, 2016. This offer letter provides for a base salary, subject to periodic review. Under the offer letter, Mr. Kennedy is also eligible to earn a bonus based on specified criteria and an option grant. We have also entered into a change of control and severance agreement with Mr. Kennedy that provides for certain payments and benefits upon a qualifying termination of employment. See “-Potential Payments upon Termination or Change in Control” below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change of control and severance agreements with each of our named executive officers, which were most recently amended in October 2018.</w:t>
      </w:r>
    </w:p>
    <w:p>
      <w:pPr>
        <w:spacing w:after="0" w:line="170"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Each of these agreements has an initial term of four years, which term automatically renews for additional one</w:t>
      </w:r>
      <w:r>
        <w:rPr>
          <w:rFonts w:ascii="MS PGothic" w:cs="MS PGothic" w:eastAsia="MS PGothic" w:hAnsi="MS PGothic"/>
          <w:sz w:val="18"/>
          <w:szCs w:val="18"/>
          <w:color w:val="auto"/>
        </w:rPr>
        <w:t>‑</w:t>
      </w:r>
      <w:r>
        <w:rPr>
          <w:rFonts w:ascii="Arial" w:cs="Arial" w:eastAsia="Arial" w:hAnsi="Arial"/>
          <w:sz w:val="18"/>
          <w:szCs w:val="18"/>
          <w:color w:val="auto"/>
        </w:rPr>
        <w:t>year periods unless either party provides written notice of non-renewal at least 60 days prior to the date of automatic renewal and which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7"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term extends for one year from a “change of control,” as defined in the agreement, if such change of control occurs within the final 12 months of the initial term or the term as extended through automatic renewal.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Outside of a Change in Control. </w:t>
      </w:r>
      <w:r>
        <w:rPr>
          <w:rFonts w:ascii="Arial" w:cs="Arial" w:eastAsia="Arial" w:hAnsi="Arial"/>
          <w:sz w:val="18"/>
          <w:szCs w:val="18"/>
          <w:color w:val="auto"/>
        </w:rPr>
        <w:t>Pursuant to each of the agreements, if the named executive officer is terminated by us without “cause”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Anderson: (i) 12 months of salary continuation from the termination date, (ii) a lump sum payment equal to her prorated annual bonus for performance up to the end of the applicable performance period and (iii) accelerated vesting equal to 50% of any outstanding equity awards (and with respect to equity awards subject to performance, assuming “target” level performance; provided, however that the PSU granted in March 2018 is not eligible for this accelerated vesting if its performance period has not yet been completed) along with the extension of the post-termination exercise period of such awards to 24 months after the termination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Kennedy and Mr. Hall: six months of salary continuation from the termination date.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During Change in Control Period. </w:t>
      </w:r>
      <w:r>
        <w:rPr>
          <w:rFonts w:ascii="Arial" w:cs="Arial" w:eastAsia="Arial" w:hAnsi="Arial"/>
          <w:sz w:val="17"/>
          <w:szCs w:val="17"/>
          <w:color w:val="auto"/>
        </w:rPr>
        <w:t>Pursuant to each of these agreements, if the named executive officer is terminated by us without cause, or</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terminates his or her employment for good reason each during the change of control period, he or she is entitled to the following benefits: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Ms. Anderson: (i) a lump sum severance payment equal to 24 months of salary from the termination date, (ii) a lump sum payment equal to 200% of the highest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Kennedy and Mr. Hall: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in either of the above situations the named executive officer will also be reimbursed (or receive payments in lieu of such reimbursements) if he or she elects and pays to continue health insurance under the Consolidated Omnibus Budget Reconciliation Act of 1985,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receipt of the above described benefits is subject to the named executive officer executing a release of certain claims against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Sales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 Vote and Say-on-Pay Frequency Vote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are no longer considered an “emerging growth company” as defined under the JOBS Act</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be holding our first non-binding stockholder advisory vote on the compensation of our named executive officers (a “Say-on-Pay” vote) at the Annual Meeting. In addition, we will be holding a non-binding stockholder advisory vote enabling our stockholders to indicate how frequently they believe we should seek a “Say-on-Pay” vote in the future (a “Say-on-Pay Frequency” vote). We value the opinions of our stockholders and the compensation committee and the board of directors will consider the outcome of future stockholder advisory votes, including the vote which will take place at the Annual Meeting, when we make compensation decisions for the named executive officers. For additional information about the Say-on-Pay vote and the Say-on-Pay Frequency vote, see “Proposal 3 and Proposal 4, respectively, below.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2018 Outstanding Equity Awards at Fiscal Year-End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the outstanding and unexercised stock options, outstanding RSUs and outstanding PSUs that have not vested for each named executive officer as of December 31, 2018.</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162"/>
        </w:trPr>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158"/>
        </w:trPr>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Underlying</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Price ($)</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r>
      <w:tr>
        <w:trPr>
          <w:trHeight w:val="162"/>
        </w:trPr>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45"/>
        </w:trPr>
        <w:tc>
          <w:tcPr>
            <w:tcW w:w="780" w:type="dxa"/>
            <w:vAlign w:val="bottom"/>
          </w:tcPr>
          <w:p>
            <w:pPr>
              <w:jc w:val="right"/>
              <w:ind w:right="128"/>
              <w:spacing w:after="0" w:line="145" w:lineRule="exact"/>
              <w:rPr>
                <w:sz w:val="20"/>
                <w:szCs w:val="20"/>
                <w:color w:val="auto"/>
              </w:rPr>
            </w:pPr>
            <w:r>
              <w:rPr>
                <w:rFonts w:ascii="Arial" w:cs="Arial" w:eastAsia="Arial" w:hAnsi="Arial"/>
                <w:sz w:val="14"/>
                <w:szCs w:val="14"/>
                <w:color w:val="auto"/>
                <w:w w:val="91"/>
              </w:rPr>
              <w:t>Bonnie H.</w:t>
            </w:r>
          </w:p>
        </w:tc>
        <w:tc>
          <w:tcPr>
            <w:tcW w:w="106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9/28/2010</w:t>
            </w:r>
          </w:p>
        </w:tc>
        <w:tc>
          <w:tcPr>
            <w:tcW w:w="1160" w:type="dxa"/>
            <w:vAlign w:val="bottom"/>
          </w:tcPr>
          <w:p>
            <w:pPr>
              <w:jc w:val="right"/>
              <w:ind w:right="548"/>
              <w:spacing w:after="0" w:line="145" w:lineRule="exact"/>
              <w:rPr>
                <w:sz w:val="20"/>
                <w:szCs w:val="20"/>
                <w:color w:val="auto"/>
              </w:rPr>
            </w:pPr>
            <w:r>
              <w:rPr>
                <w:rFonts w:ascii="Arial" w:cs="Arial" w:eastAsia="Arial" w:hAnsi="Arial"/>
                <w:sz w:val="14"/>
                <w:szCs w:val="14"/>
                <w:color w:val="auto"/>
              </w:rPr>
              <w:t>7,526</w:t>
            </w:r>
          </w:p>
        </w:tc>
        <w:tc>
          <w:tcPr>
            <w:tcW w:w="132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96"/>
              </w:rPr>
              <w:t>$2.36</w:t>
            </w:r>
          </w:p>
        </w:tc>
        <w:tc>
          <w:tcPr>
            <w:tcW w:w="1020" w:type="dxa"/>
            <w:vAlign w:val="bottom"/>
          </w:tcPr>
          <w:p>
            <w:pPr>
              <w:jc w:val="right"/>
              <w:spacing w:after="0" w:line="145" w:lineRule="exact"/>
              <w:rPr>
                <w:sz w:val="20"/>
                <w:szCs w:val="20"/>
                <w:color w:val="auto"/>
              </w:rPr>
            </w:pPr>
            <w:r>
              <w:rPr>
                <w:rFonts w:ascii="Arial" w:cs="Arial" w:eastAsia="Arial" w:hAnsi="Arial"/>
                <w:sz w:val="14"/>
                <w:szCs w:val="14"/>
                <w:color w:val="auto"/>
              </w:rPr>
              <w:t>9/27/2020</w:t>
            </w:r>
          </w:p>
        </w:tc>
      </w:tr>
      <w:tr>
        <w:trPr>
          <w:trHeight w:val="182"/>
        </w:trPr>
        <w:tc>
          <w:tcPr>
            <w:tcW w:w="780" w:type="dxa"/>
            <w:vAlign w:val="bottom"/>
          </w:tcPr>
          <w:p>
            <w:pPr>
              <w:jc w:val="right"/>
              <w:ind w:right="148"/>
              <w:spacing w:after="0"/>
              <w:rPr>
                <w:sz w:val="20"/>
                <w:szCs w:val="20"/>
                <w:color w:val="auto"/>
              </w:rPr>
            </w:pPr>
            <w:r>
              <w:rPr>
                <w:rFonts w:ascii="Arial" w:cs="Arial" w:eastAsia="Arial" w:hAnsi="Arial"/>
                <w:sz w:val="14"/>
                <w:szCs w:val="14"/>
                <w:color w:val="auto"/>
                <w:w w:val="90"/>
              </w:rPr>
              <w:t>Anderson</w:t>
            </w: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Equity Awards: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Equity Awards:</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 or</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 ($)</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Units of Stock</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 Shares or</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1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of Stock That</w:t>
            </w:r>
          </w:p>
        </w:tc>
      </w:tr>
      <w:tr>
        <w:trPr>
          <w:trHeight w:val="186"/>
        </w:trPr>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Have Not Vested ($)</w:t>
            </w:r>
          </w:p>
        </w:tc>
      </w:tr>
      <w:tr>
        <w:trPr>
          <w:trHeight w:val="53"/>
        </w:trPr>
        <w:tc>
          <w:tcPr>
            <w:tcW w:w="10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bl>
    <w:p>
      <w:pPr>
        <w:spacing w:after="0" w:line="345" w:lineRule="exact"/>
        <w:rPr>
          <w:sz w:val="20"/>
          <w:szCs w:val="20"/>
          <w:color w:val="auto"/>
        </w:rPr>
      </w:pPr>
    </w:p>
    <w:p>
      <w:pPr>
        <w:sectPr>
          <w:pgSz w:w="11900" w:h="16838" w:orient="portrait"/>
          <w:cols w:equalWidth="0" w:num="2">
            <w:col w:w="6320" w:space="120"/>
            <w:col w:w="4980"/>
          </w:cols>
          <w:pgMar w:left="240" w:top="796" w:right="239" w:bottom="1440" w:gutter="0" w:footer="0" w:header="0"/>
          <w:type w:val="continuous"/>
        </w:sectPr>
      </w:pPr>
    </w:p>
    <w:tbl>
      <w:tblPr>
        <w:tblLayout w:type="fixed"/>
        <w:tblInd w:w="40" w:type="dxa"/>
        <w:tblCellMar>
          <w:top w:w="0" w:type="dxa"/>
          <w:left w:w="0" w:type="dxa"/>
          <w:bottom w:w="0" w:type="dxa"/>
          <w:right w:w="0" w:type="dxa"/>
        </w:tblCellMar>
      </w:tblPr>
      <w:tr>
        <w:trPr>
          <w:trHeight w:val="182"/>
        </w:trPr>
        <w:tc>
          <w:tcPr>
            <w:tcW w:w="8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2/23/2011</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18,125</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$2.36</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2/22/2021</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3/10/2012</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32,782</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$2.68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3/9/2022</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3/10/2012</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4"/>
              </w:rPr>
              <w:t>104,531</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$2.68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3/9/2022</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2/5/2013</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4"/>
              </w:rPr>
              <w:t>125,000</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$4.00</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2/4/2023</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2/5/2013</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24,112</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$4.00</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2/4/2023</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2/19/2014</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4"/>
              </w:rPr>
              <w:t>140,000</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88"/>
              </w:rPr>
              <w:t>$14.34</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2/18/2024</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3/2/2015</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4"/>
              </w:rPr>
              <w:t>210,937</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14,063</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$8.86</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3/1/2025</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3/14/2016</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4"/>
              </w:rPr>
              <w:t>154,687</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70,313</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$5.61</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3/13/2026</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4"/>
              </w:rPr>
              <w:t>135,625</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174,375</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$9.05</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3/2/2027</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225,000</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$5.98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3/1/2028</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30,000</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$377,400</w:t>
            </w:r>
          </w:p>
        </w:tc>
        <w:tc>
          <w:tcPr>
            <w:tcW w:w="1580" w:type="dxa"/>
            <w:vAlign w:val="bottom"/>
          </w:tcPr>
          <w:p>
            <w:pPr>
              <w:jc w:val="right"/>
              <w:ind w:right="1148"/>
              <w:spacing w:after="0"/>
              <w:rPr>
                <w:sz w:val="20"/>
                <w:szCs w:val="20"/>
                <w:color w:val="auto"/>
              </w:rPr>
            </w:pPr>
            <w:r>
              <w:rPr>
                <w:rFonts w:ascii="Arial" w:cs="Arial" w:eastAsia="Arial" w:hAnsi="Arial"/>
                <w:sz w:val="14"/>
                <w:szCs w:val="14"/>
                <w:color w:val="auto"/>
              </w:rPr>
              <w:t>(3)</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jc w:val="center"/>
              <w:ind w:left="588"/>
              <w:spacing w:after="0"/>
              <w:rPr>
                <w:sz w:val="20"/>
                <w:szCs w:val="20"/>
                <w:color w:val="auto"/>
              </w:rPr>
            </w:pPr>
            <w:r>
              <w:rPr>
                <w:rFonts w:ascii="Arial" w:cs="Arial" w:eastAsia="Arial" w:hAnsi="Arial"/>
                <w:sz w:val="14"/>
                <w:szCs w:val="14"/>
                <w:color w:val="auto"/>
                <w:w w:val="94"/>
              </w:rPr>
              <w:t>150,000</w:t>
            </w:r>
          </w:p>
        </w:tc>
        <w:tc>
          <w:tcPr>
            <w:tcW w:w="1020" w:type="dxa"/>
            <w:vAlign w:val="bottom"/>
          </w:tcPr>
          <w:p>
            <w:pPr>
              <w:jc w:val="center"/>
              <w:ind w:left="28"/>
              <w:spacing w:after="0"/>
              <w:rPr>
                <w:sz w:val="20"/>
                <w:szCs w:val="20"/>
                <w:color w:val="auto"/>
              </w:rPr>
            </w:pPr>
            <w:r>
              <w:rPr>
                <w:rFonts w:ascii="Arial" w:cs="Arial" w:eastAsia="Arial" w:hAnsi="Arial"/>
                <w:sz w:val="14"/>
                <w:szCs w:val="14"/>
                <w:color w:val="auto"/>
                <w:w w:val="91"/>
              </w:rPr>
              <w:t>$1,887,000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520"/>
        </w:trPr>
        <w:tc>
          <w:tcPr>
            <w:tcW w:w="840" w:type="dxa"/>
            <w:vAlign w:val="bottom"/>
          </w:tcPr>
          <w:p>
            <w:pPr>
              <w:spacing w:after="0"/>
              <w:rPr>
                <w:sz w:val="20"/>
                <w:szCs w:val="20"/>
                <w:color w:val="auto"/>
              </w:rPr>
            </w:pPr>
            <w:r>
              <w:rPr>
                <w:rFonts w:ascii="Arial" w:cs="Arial" w:eastAsia="Arial" w:hAnsi="Arial"/>
                <w:sz w:val="14"/>
                <w:szCs w:val="14"/>
                <w:color w:val="auto"/>
              </w:rPr>
              <w:t>Christopher</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3/10/2012</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17,927</w:t>
            </w:r>
          </w:p>
        </w:tc>
        <w:tc>
          <w:tcPr>
            <w:tcW w:w="4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$2.68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3/9/2022</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M. Hall</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3"/>
        </w:trPr>
        <w:tc>
          <w:tcPr>
            <w:tcW w:w="8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2/5/2013</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31,250</w:t>
            </w: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$4.00</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2/4/2023</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2/5/2013</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11,767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$4.00</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2/4/2023</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2/19/2014</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70,000</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88"/>
              </w:rPr>
              <w:t>$14.34</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2/18/2024</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9/16/2014</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40,000</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88"/>
              </w:rPr>
              <w:t>$10.45</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9/15/2024</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3/2/2015</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75,000</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5,000</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$8.86</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3/1/2025</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3/1/2016</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58,435</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26,565</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$6.45</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2/28/2026</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35,000</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45,000</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$9.05</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3/2/2027</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13,333</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167,729</w:t>
            </w:r>
          </w:p>
        </w:tc>
        <w:tc>
          <w:tcPr>
            <w:tcW w:w="1580" w:type="dxa"/>
            <w:vAlign w:val="bottom"/>
          </w:tcPr>
          <w:p>
            <w:pPr>
              <w:jc w:val="right"/>
              <w:ind w:right="1148"/>
              <w:spacing w:after="0"/>
              <w:rPr>
                <w:sz w:val="20"/>
                <w:szCs w:val="20"/>
                <w:color w:val="auto"/>
              </w:rPr>
            </w:pPr>
            <w:r>
              <w:rPr>
                <w:rFonts w:ascii="Arial" w:cs="Arial" w:eastAsia="Arial" w:hAnsi="Arial"/>
                <w:sz w:val="14"/>
                <w:szCs w:val="14"/>
                <w:color w:val="auto"/>
              </w:rPr>
              <w:t>(3)</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110,250</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$5.98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3/1/2028</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14,700</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184,926</w:t>
            </w:r>
          </w:p>
        </w:tc>
        <w:tc>
          <w:tcPr>
            <w:tcW w:w="1580" w:type="dxa"/>
            <w:vAlign w:val="bottom"/>
          </w:tcPr>
          <w:p>
            <w:pPr>
              <w:jc w:val="right"/>
              <w:ind w:right="1148"/>
              <w:spacing w:after="0"/>
              <w:rPr>
                <w:sz w:val="20"/>
                <w:szCs w:val="20"/>
                <w:color w:val="auto"/>
              </w:rPr>
            </w:pPr>
            <w:r>
              <w:rPr>
                <w:rFonts w:ascii="Arial" w:cs="Arial" w:eastAsia="Arial" w:hAnsi="Arial"/>
                <w:sz w:val="14"/>
                <w:szCs w:val="14"/>
                <w:color w:val="auto"/>
              </w:rPr>
              <w:t>(3)</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jc w:val="center"/>
              <w:ind w:left="588"/>
              <w:spacing w:after="0"/>
              <w:rPr>
                <w:sz w:val="20"/>
                <w:szCs w:val="20"/>
                <w:color w:val="auto"/>
              </w:rPr>
            </w:pPr>
            <w:r>
              <w:rPr>
                <w:rFonts w:ascii="Arial" w:cs="Arial" w:eastAsia="Arial" w:hAnsi="Arial"/>
                <w:sz w:val="14"/>
                <w:szCs w:val="14"/>
                <w:color w:val="auto"/>
                <w:w w:val="93"/>
              </w:rPr>
              <w:t>75,000</w:t>
            </w:r>
          </w:p>
        </w:tc>
        <w:tc>
          <w:tcPr>
            <w:tcW w:w="1020" w:type="dxa"/>
            <w:vAlign w:val="bottom"/>
          </w:tcPr>
          <w:p>
            <w:pPr>
              <w:jc w:val="center"/>
              <w:ind w:left="28"/>
              <w:spacing w:after="0"/>
              <w:rPr>
                <w:sz w:val="20"/>
                <w:szCs w:val="20"/>
                <w:color w:val="auto"/>
              </w:rPr>
            </w:pPr>
            <w:r>
              <w:rPr>
                <w:rFonts w:ascii="Arial" w:cs="Arial" w:eastAsia="Arial" w:hAnsi="Arial"/>
                <w:sz w:val="14"/>
                <w:szCs w:val="14"/>
                <w:color w:val="auto"/>
                <w:w w:val="94"/>
              </w:rPr>
              <w:t>943,500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520"/>
        </w:trPr>
        <w:tc>
          <w:tcPr>
            <w:tcW w:w="840" w:type="dxa"/>
            <w:vAlign w:val="bottom"/>
          </w:tcPr>
          <w:p>
            <w:pPr>
              <w:spacing w:after="0"/>
              <w:rPr>
                <w:sz w:val="20"/>
                <w:szCs w:val="20"/>
                <w:color w:val="auto"/>
              </w:rPr>
            </w:pPr>
            <w:r>
              <w:rPr>
                <w:rFonts w:ascii="Arial" w:cs="Arial" w:eastAsia="Arial" w:hAnsi="Arial"/>
                <w:sz w:val="14"/>
                <w:szCs w:val="14"/>
                <w:color w:val="auto"/>
              </w:rPr>
              <w:t>Keith</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12/6/2016</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33,333</w:t>
            </w:r>
          </w:p>
        </w:tc>
        <w:tc>
          <w:tcPr>
            <w:tcW w:w="4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66,667</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$7.47</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12/5/2026</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Kennedy</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3"/>
        </w:trPr>
        <w:tc>
          <w:tcPr>
            <w:tcW w:w="8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1"/>
              </w:rPr>
              <w:t>8,750</w:t>
            </w: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11,250</w:t>
            </w:r>
          </w:p>
        </w:tc>
        <w:tc>
          <w:tcPr>
            <w:tcW w:w="560" w:type="dxa"/>
            <w:vAlign w:val="bottom"/>
          </w:tcPr>
          <w:p>
            <w:pPr>
              <w:spacing w:after="0"/>
              <w:rPr>
                <w:sz w:val="17"/>
                <w:szCs w:val="17"/>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$9.05</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3/2/2027</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77,250</w:t>
            </w:r>
          </w:p>
        </w:tc>
        <w:tc>
          <w:tcPr>
            <w:tcW w:w="56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6"/>
              </w:rPr>
              <w:t>$5.98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3/1/2028</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10,300</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129,574</w:t>
            </w:r>
          </w:p>
        </w:tc>
        <w:tc>
          <w:tcPr>
            <w:tcW w:w="1580" w:type="dxa"/>
            <w:vAlign w:val="bottom"/>
          </w:tcPr>
          <w:p>
            <w:pPr>
              <w:jc w:val="right"/>
              <w:ind w:right="1148"/>
              <w:spacing w:after="0"/>
              <w:rPr>
                <w:sz w:val="20"/>
                <w:szCs w:val="20"/>
                <w:color w:val="auto"/>
              </w:rPr>
            </w:pPr>
            <w:r>
              <w:rPr>
                <w:rFonts w:ascii="Arial" w:cs="Arial" w:eastAsia="Arial" w:hAnsi="Arial"/>
                <w:sz w:val="14"/>
                <w:szCs w:val="14"/>
                <w:color w:val="auto"/>
              </w:rPr>
              <w:t>(3)</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jc w:val="center"/>
              <w:ind w:left="588"/>
              <w:spacing w:after="0"/>
              <w:rPr>
                <w:sz w:val="20"/>
                <w:szCs w:val="20"/>
                <w:color w:val="auto"/>
              </w:rPr>
            </w:pPr>
            <w:r>
              <w:rPr>
                <w:rFonts w:ascii="Arial" w:cs="Arial" w:eastAsia="Arial" w:hAnsi="Arial"/>
                <w:sz w:val="14"/>
                <w:szCs w:val="14"/>
                <w:color w:val="auto"/>
                <w:w w:val="93"/>
              </w:rPr>
              <w:t>50,000</w:t>
            </w:r>
          </w:p>
        </w:tc>
        <w:tc>
          <w:tcPr>
            <w:tcW w:w="1020" w:type="dxa"/>
            <w:vAlign w:val="bottom"/>
          </w:tcPr>
          <w:p>
            <w:pPr>
              <w:jc w:val="center"/>
              <w:ind w:left="28"/>
              <w:spacing w:after="0"/>
              <w:rPr>
                <w:sz w:val="20"/>
                <w:szCs w:val="20"/>
                <w:color w:val="auto"/>
              </w:rPr>
            </w:pPr>
            <w:r>
              <w:rPr>
                <w:rFonts w:ascii="Arial" w:cs="Arial" w:eastAsia="Arial" w:hAnsi="Arial"/>
                <w:sz w:val="14"/>
                <w:szCs w:val="14"/>
                <w:color w:val="auto"/>
                <w:w w:val="94"/>
              </w:rPr>
              <w:t>629,000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96" w:right="239" w:bottom="1440" w:gutter="0" w:footer="0" w:header="0"/>
          <w:type w:val="continuous"/>
        </w:sectPr>
      </w:pPr>
    </w:p>
    <w:bookmarkStart w:id="24" w:name="page25"/>
    <w:bookmarkEnd w:id="24"/>
    <w:p>
      <w:pPr>
        <w:ind w:left="840" w:right="80" w:hanging="532"/>
        <w:spacing w:after="0" w:line="259"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above.</w:t>
      </w:r>
    </w:p>
    <w:p>
      <w:pPr>
        <w:spacing w:after="0" w:line="294" w:lineRule="exact"/>
        <w:rPr>
          <w:rFonts w:ascii="Arial" w:cs="Arial" w:eastAsia="Arial" w:hAnsi="Arial"/>
          <w:sz w:val="18"/>
          <w:szCs w:val="18"/>
          <w:color w:val="auto"/>
        </w:rPr>
      </w:pPr>
    </w:p>
    <w:p>
      <w:pPr>
        <w:ind w:left="840" w:hanging="5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333" w:lineRule="exact"/>
        <w:rPr>
          <w:rFonts w:ascii="Arial" w:cs="Arial" w:eastAsia="Arial" w:hAnsi="Arial"/>
          <w:sz w:val="18"/>
          <w:szCs w:val="18"/>
          <w:color w:val="auto"/>
        </w:rPr>
      </w:pPr>
    </w:p>
    <w:p>
      <w:pPr>
        <w:ind w:left="840" w:right="180" w:hanging="532"/>
        <w:spacing w:after="0" w:line="302"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price of $12.58 per share, which was the closing price per share of our common stock as reported by The Nasdaq Global Market on December 31, 2018. Except as otherwise noted, RSUs vest and settle as to 25% of the units on the first anniversary of the grant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above.</w:t>
      </w:r>
    </w:p>
    <w:p>
      <w:pPr>
        <w:spacing w:after="0" w:line="262" w:lineRule="exact"/>
        <w:rPr>
          <w:rFonts w:ascii="Arial" w:cs="Arial" w:eastAsia="Arial" w:hAnsi="Arial"/>
          <w:sz w:val="16"/>
          <w:szCs w:val="16"/>
          <w:color w:val="auto"/>
        </w:rPr>
      </w:pPr>
    </w:p>
    <w:p>
      <w:pPr>
        <w:ind w:left="840" w:right="220" w:hanging="532"/>
        <w:spacing w:after="0" w:line="272"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 price of $12.58 per share, which was the closing price per share of our common stock as reported by The Nasdaq Global Market on December 31, 2018, and assuming the PSU awards' performance conditions are achieved at 100% of target, which was the probable outcome of the performance conditions on December 31, 2018. The PSUs do not have staggered levels of achievement. PSUs are subject to achievement of performance metrics as of December 31, 2019, as discussed above. 50% of the total number of PSUs will vest upon the certification of achievement of the performance metrics and 50% of the total number of PSUs will vest on the one-year anniversary of such date, subject to the continued service of the applicable executive. The PSUs are subject to acceleration upon certain specified events; for more information, see “-Potential Payments upon Termination or Change in Control” above.</w:t>
      </w:r>
    </w:p>
    <w:p>
      <w:pPr>
        <w:spacing w:after="0" w:line="285" w:lineRule="exact"/>
        <w:rPr>
          <w:rFonts w:ascii="Arial" w:cs="Arial" w:eastAsia="Arial" w:hAnsi="Arial"/>
          <w:sz w:val="17"/>
          <w:szCs w:val="17"/>
          <w:color w:val="auto"/>
        </w:rPr>
      </w:pPr>
    </w:p>
    <w:p>
      <w:pPr>
        <w:ind w:left="840" w:right="160" w:hanging="532"/>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vesting commencement date is December 6, 2017, with 1/36th of the total number of shares subject to the option vesting each month for the following 36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2019, our board of directors, after determination of overall executive compensation by our independent members of the board of directors and upon the recommendation of the compensation committee, approved equity awards to the named executive officers in the following amounts: Ms. Anderson, 225,000 stock options and 30,000 restricted stock units; and Mr. Kennedy, 60,000 stock options and 40,000 restricted stock units. Mr. Hall received no such awards due to the announcement of his upcoming retirement in July 2019. The stock options become exercisable as to 25% of the shares on the first anniversary of the grant date, and the remaining shares vest at a rate of 1/48th of the total number of shares subject to the options each month thereafter. The stock options have a term of ten years, subject to earlier termination in certain events relating to termination of employment. Ms. Anderson’s restricted stock units vest and settle as to 25% of the shares on March 2, 2020 and the remaining shares vest and settle at a rate of 1/16th of the total number of shares subject to the options each quarter thereafter. For Mr. Kennedy, 8,000 restricted stock units vest and settle as to 25% of the shares on March 2, 2020 and the remaining shares vest and settle at a rate of 1/16th of the total number of shares subject to the options each quarter thereafter and 32,000 restricted stock units vest and settle as to 25% on February 28, 2021 and 75% on February 28,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about our common stock that may be issued under our equity compensation plans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5" w:name="page26"/>
    <w:bookmarkEnd w:id="25"/>
    <w:p>
      <w:pPr>
        <w:spacing w:after="0" w:line="27" w:lineRule="exact"/>
        <w:rPr>
          <w:sz w:val="20"/>
          <w:szCs w:val="20"/>
          <w:color w:val="auto"/>
        </w:rPr>
      </w:pPr>
    </w:p>
    <w:tbl>
      <w:tblPr>
        <w:tblLayout w:type="fixed"/>
        <w:tblInd w:w="4706"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exercise price of</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w:t>
            </w:r>
          </w:p>
        </w:tc>
      </w:tr>
      <w:tr>
        <w:trPr>
          <w:trHeight w:val="2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(b)</w:t>
            </w:r>
          </w:p>
        </w:tc>
      </w:tr>
    </w:tbl>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4"/>
          <w:szCs w:val="14"/>
          <w:b w:val="1"/>
          <w:bCs w:val="1"/>
          <w:color w:val="auto"/>
        </w:rPr>
        <w:t>Number of securities</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remaining available for</w:t>
      </w:r>
    </w:p>
    <w:p>
      <w:pPr>
        <w:spacing w:after="0" w:line="1" w:lineRule="exact"/>
        <w:rPr>
          <w:sz w:val="20"/>
          <w:szCs w:val="20"/>
          <w:color w:val="auto"/>
        </w:rPr>
      </w:pPr>
    </w:p>
    <w:p>
      <w:pPr>
        <w:jc w:val="center"/>
        <w:ind w:right="80"/>
        <w:spacing w:after="0" w:line="309" w:lineRule="auto"/>
        <w:rPr>
          <w:sz w:val="20"/>
          <w:szCs w:val="20"/>
          <w:color w:val="auto"/>
        </w:rPr>
      </w:pPr>
      <w:r>
        <w:rPr>
          <w:rFonts w:ascii="Arial" w:cs="Arial" w:eastAsia="Arial" w:hAnsi="Arial"/>
          <w:sz w:val="12"/>
          <w:szCs w:val="12"/>
          <w:b w:val="1"/>
          <w:bCs w:val="1"/>
          <w:color w:val="auto"/>
        </w:rPr>
        <w:t>future issuance under equity compensation plans (excluding securities reflected in column (a)</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(c)</w:t>
      </w:r>
    </w:p>
    <w:p>
      <w:pPr>
        <w:spacing w:after="0" w:line="319" w:lineRule="exact"/>
        <w:rPr>
          <w:sz w:val="20"/>
          <w:szCs w:val="20"/>
          <w:color w:val="auto"/>
        </w:rPr>
      </w:pPr>
    </w:p>
    <w:p>
      <w:pPr>
        <w:sectPr>
          <w:pgSz w:w="11900" w:h="16838" w:orient="portrait"/>
          <w:cols w:equalWidth="0" w:num="2">
            <w:col w:w="7926" w:space="300"/>
            <w:col w:w="2080"/>
          </w:cols>
          <w:pgMar w:left="734" w:top="738" w:right="859" w:bottom="1440" w:gutter="0" w:footer="0" w:header="0"/>
        </w:sectPr>
      </w:pPr>
    </w:p>
    <w:tbl>
      <w:tblPr>
        <w:tblLayout w:type="fixed"/>
        <w:tblInd w:w="6"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6,985,258</w:t>
            </w: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$7.95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1,881,077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w w:val="95"/>
              </w:rPr>
              <w:t>Equity compensation plans not approved by security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spacing w:after="0"/>
              <w:rPr>
                <w:sz w:val="20"/>
                <w:szCs w:val="20"/>
                <w:color w:val="auto"/>
              </w:rPr>
            </w:pPr>
            <w:r>
              <w:rPr>
                <w:rFonts w:ascii="Arial" w:cs="Arial" w:eastAsia="Arial" w:hAnsi="Arial"/>
                <w:sz w:val="18"/>
                <w:szCs w:val="18"/>
                <w:color w:val="auto"/>
              </w:rPr>
              <w:t>6,985,258</w:t>
            </w:r>
          </w:p>
        </w:tc>
        <w:tc>
          <w:tcPr>
            <w:tcW w:w="80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$7.95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1,881,077</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205740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30" w:lineRule="exact"/>
        <w:rPr>
          <w:sz w:val="20"/>
          <w:szCs w:val="20"/>
          <w:color w:val="auto"/>
        </w:rPr>
      </w:pPr>
    </w:p>
    <w:p>
      <w:pPr>
        <w:ind w:left="6" w:right="140" w:hanging="6"/>
        <w:spacing w:after="0" w:line="277" w:lineRule="auto"/>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performance stock units and restricted stock units, since such units have no exercise price.</w:t>
      </w:r>
    </w:p>
    <w:p>
      <w:pPr>
        <w:spacing w:after="0" w:line="224" w:lineRule="exact"/>
        <w:rPr>
          <w:rFonts w:ascii="Arial" w:cs="Arial" w:eastAsia="Arial" w:hAnsi="Arial"/>
          <w:sz w:val="18"/>
          <w:szCs w:val="18"/>
          <w:color w:val="auto"/>
        </w:rPr>
      </w:pPr>
    </w:p>
    <w:p>
      <w:pPr>
        <w:ind w:left="246" w:hanging="246"/>
        <w:spacing w:after="0"/>
        <w:tabs>
          <w:tab w:leader="none" w:pos="2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purchase rights accruing under the Employee Stock Purchase Plan.</w:t>
      </w:r>
    </w:p>
    <w:p>
      <w:pPr>
        <w:spacing w:after="0" w:line="279" w:lineRule="exact"/>
        <w:rPr>
          <w:rFonts w:ascii="Arial" w:cs="Arial" w:eastAsia="Arial" w:hAnsi="Arial"/>
          <w:sz w:val="18"/>
          <w:szCs w:val="18"/>
          <w:color w:val="auto"/>
        </w:rPr>
      </w:pPr>
    </w:p>
    <w:p>
      <w:pPr>
        <w:ind w:left="6" w:hanging="6"/>
        <w:spacing w:after="0" w:line="277" w:lineRule="auto"/>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1,571,658 shares available for issuance under our 2008 Stock Plan and 2013 Stock Incentive Plan, and 309,419 shares available for purchase under our Employee Stock Purchase Plan.</w:t>
      </w:r>
    </w:p>
    <w:p>
      <w:pPr>
        <w:spacing w:after="0" w:line="224" w:lineRule="exact"/>
        <w:rPr>
          <w:sz w:val="20"/>
          <w:szCs w:val="20"/>
          <w:color w:val="auto"/>
        </w:rPr>
      </w:pPr>
    </w:p>
    <w:p>
      <w:pPr>
        <w:jc w:val="center"/>
        <w:ind w:right="-145"/>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06"/>
          </w:cols>
          <w:pgMar w:left="734" w:top="738" w:right="85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acts pursuant to a written charter that was adopted by the board of directors in October 2013, effective in November 2013 and amended in August 2017. Each member of the audit committee qualifies as “independent” under the current listing requirements of The Nasdaq Stock Market.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this framework, the audit committee has reviewed and discussed with management Veracyte’s audited financial statements as of and for the year ended December 31, 2018. The audit committee has also discussed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Veracyte’s Annual Report on Form 10-K for the year ended December 31, 2018.</w:t>
      </w: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L. Bishop</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Karin Eastham</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Kevin K. Gordon (Chair)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2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March 31, 2019, by:</w:t>
      </w:r>
    </w:p>
    <w:p>
      <w:pPr>
        <w:spacing w:after="0" w:line="18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Applicable percentage ownership is based on 41,638,022 shares of common stock outstanding at April 12, 2019. In computing the number of shares of common stock beneficially owned by a person and the percentage ownership of that person, we deemed outstanding shares of common stock subject to options held by that person that are currently exercisable or exercisable within 60 days of March 31, 2019, the Record Date for the Annual Meeting. We did not deem these shares outstanding, however, for the purpose of computing the percentage ownership of any other person.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 94080.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Percentage of</w:t>
            </w:r>
          </w:p>
        </w:tc>
      </w:tr>
      <w:tr>
        <w:trPr>
          <w:trHeight w:val="162"/>
        </w:trPr>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Shares</w:t>
            </w:r>
          </w:p>
        </w:tc>
        <w:tc>
          <w:tcPr>
            <w:tcW w:w="1340" w:type="dxa"/>
            <w:vAlign w:val="bottom"/>
          </w:tcPr>
          <w:p>
            <w:pPr>
              <w:jc w:val="center"/>
              <w:ind w:right="14"/>
              <w:spacing w:after="0"/>
              <w:rPr>
                <w:sz w:val="20"/>
                <w:szCs w:val="20"/>
                <w:color w:val="auto"/>
              </w:rPr>
            </w:pPr>
            <w:r>
              <w:rPr>
                <w:rFonts w:ascii="Arial" w:cs="Arial" w:eastAsia="Arial" w:hAnsi="Arial"/>
                <w:sz w:val="14"/>
                <w:szCs w:val="14"/>
                <w:b w:val="1"/>
                <w:bCs w:val="1"/>
                <w:color w:val="auto"/>
                <w:w w:val="85"/>
              </w:rPr>
              <w:t>Shares</w:t>
            </w:r>
          </w:p>
        </w:tc>
      </w:tr>
      <w:tr>
        <w:trPr>
          <w:trHeight w:val="171"/>
        </w:trPr>
        <w:tc>
          <w:tcPr>
            <w:tcW w:w="51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and Address of Beneficial</w:t>
            </w:r>
          </w:p>
        </w:tc>
        <w:tc>
          <w:tcPr>
            <w:tcW w:w="2680" w:type="dxa"/>
            <w:vAlign w:val="bottom"/>
          </w:tcPr>
          <w:p>
            <w:pPr>
              <w:spacing w:after="0"/>
              <w:rPr>
                <w:sz w:val="14"/>
                <w:szCs w:val="14"/>
                <w:color w:val="auto"/>
              </w:rPr>
            </w:pP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Beneficially</w:t>
            </w:r>
          </w:p>
        </w:tc>
        <w:tc>
          <w:tcPr>
            <w:tcW w:w="134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Beneficially</w:t>
            </w:r>
          </w:p>
        </w:tc>
      </w:tr>
      <w:tr>
        <w:trPr>
          <w:trHeight w:val="196"/>
        </w:trPr>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Owner</w:t>
            </w:r>
          </w:p>
        </w:tc>
        <w:tc>
          <w:tcPr>
            <w:tcW w:w="18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Owned(1)</w:t>
            </w:r>
          </w:p>
        </w:tc>
        <w:tc>
          <w:tcPr>
            <w:tcW w:w="13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Owned</w:t>
            </w: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5% Stockholders:</w:t>
            </w:r>
          </w:p>
        </w:tc>
        <w:tc>
          <w:tcPr>
            <w:tcW w:w="2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Versant Ventures(2)</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3,616,221</w:t>
            </w: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ARK Investment Management LLC(3)</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3,493,255</w:t>
            </w: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Blackrock, Inc.(4)</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2,981,669</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567"/>
        </w:trPr>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2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Bonnie H. Anderson(5)</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1,161,116</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John L. Bishop(6)</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55,000</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Fred E. Cohen, M.D., D.Phil.(7)</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40,000</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Karin Eastham(8)</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93,227</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Robert S. Epstein, M.D., M.S.(9)</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55,000</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Kevin K. Gordon (10)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31,145</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Evan Jones(11)</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279,653</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Tina S. Nova, Ph.D.(12)</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50,625</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Jesse I. Treu, Ph.D.(13)</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1,274,930</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Christopher M. Hall(14)</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404,739</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Keith Kennedy(15)</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104,410</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All directors and executive officers as a group (12 persons)(16)</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3,629,493</w:t>
            </w: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6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6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547"/>
        </w:trPr>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Less than 1%</w:t>
            </w:r>
          </w:p>
        </w:tc>
        <w:tc>
          <w:tcPr>
            <w:tcW w:w="2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986"/>
        </w:trPr>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80" w:type="dxa"/>
            <w:vAlign w:val="bottom"/>
          </w:tcPr>
          <w:p>
            <w:pPr>
              <w:jc w:val="right"/>
              <w:ind w:right="1890"/>
              <w:spacing w:after="0"/>
              <w:rPr>
                <w:sz w:val="20"/>
                <w:szCs w:val="20"/>
                <w:color w:val="auto"/>
              </w:rPr>
            </w:pPr>
            <w:r>
              <w:rPr>
                <w:rFonts w:ascii="Arial" w:cs="Arial" w:eastAsia="Arial" w:hAnsi="Arial"/>
                <w:sz w:val="18"/>
                <w:szCs w:val="18"/>
                <w:color w:val="auto"/>
              </w:rPr>
              <w:t>24</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28" w:name="page29"/>
    <w:bookmarkEnd w:id="28"/>
    <w:p>
      <w:pPr>
        <w:ind w:left="705" w:right="60" w:hanging="705"/>
        <w:spacing w:after="0" w:line="308"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705" w:hanging="705"/>
        <w:spacing w:after="0" w:line="255"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Schedule 13G/A filed on February 10, 2016, consists of (i) 3,594,989 shares held by Versant Venture Capital III, L.P. and (ii) 21,232 shares held by Versant Side Fund III, L.P. Versant Ventures III, LLC, the sole general partner of Versant Venture Capital III, L.P. and Versant Side Fund III, L.P., has voting and dispositive power with respect to these shares. The individual managing directors and/or members of Versant Ventures III, LLC are Brian G. Atwood, Bradley J. Bolzon, Samuel D. Colella, Ross A. Jaffe, William J. Link, Barbara N. Lubash, Donald B. Milder, Robin L. Praeger, Rebecca B. Robertson and Charles M. Warden, all of whom share voting and dispositive power with respect to these shares. The address of the entities and individuals affiliated with Versant Ventures is One Sansome Street, Suite 3630, San Francisco, California 95104.</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jc w:val="both"/>
        <w:ind w:left="705" w:right="100" w:hanging="705"/>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Schedule 13G filed on February 14, 2019, ARK Investment Management LLC has sole voting and dispositive power with respect to 3,466,370 shares and share voting and dispositive power with respect to 26,885 shares. The address of ARK Capital Management LLC is 3 East 28th Street, 7th Floor, New York, NY, 10016.</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705" w:right="80" w:hanging="705"/>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Schedule 13G filed on February 7, 2019, Blackrock, Inc. has sole voting with respect to 2,805,057 shares and dispositive power with respect to 2,981,669 shares. The address of Blackrock, Inc. is 55 East 52nd Street, New York, NY, 10055.</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705" w:right="20" w:hanging="705"/>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42,792 shares of our common stock held by Ms. Anderson, (ii) options to purchase 1,019,239 shares of our common stock held by Ms. Anderson which are exercisable within 60 days of March 31, 2019, and (iii) 99,085 of our common stock held by the Bonnie H. Anderson Living Trust.</w:t>
      </w:r>
    </w:p>
    <w:p>
      <w:pPr>
        <w:spacing w:after="0" w:line="343" w:lineRule="exact"/>
        <w:rPr>
          <w:rFonts w:ascii="Arial" w:cs="Arial" w:eastAsia="Arial" w:hAnsi="Arial"/>
          <w:sz w:val="18"/>
          <w:szCs w:val="18"/>
          <w:color w:val="auto"/>
        </w:rPr>
      </w:pPr>
    </w:p>
    <w:p>
      <w:pPr>
        <w:ind w:left="705" w:hanging="705"/>
        <w:spacing w:after="0"/>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options to purchase 55,000 shares of our common stock held by Mr. Bishop which are exercisable within 60 days of March 31, 2019.</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705" w:hanging="705"/>
        <w:spacing w:after="0"/>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40,000 options to purchase shares of our common stock held by Dr. Cohen which are exercisable within 60 days of March 31, 2019.</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705" w:right="140" w:hanging="705"/>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options to purchase 80,000 shares of our common stock held by Ms. Eastham which are exercisable within 60 days of March 31, 2019 and (ii) 13,227 shares held by the Karin Eastham Defined Benefit Plan.</w:t>
      </w:r>
    </w:p>
    <w:p>
      <w:pPr>
        <w:spacing w:after="0" w:line="332" w:lineRule="exact"/>
        <w:rPr>
          <w:rFonts w:ascii="Arial" w:cs="Arial" w:eastAsia="Arial" w:hAnsi="Arial"/>
          <w:sz w:val="18"/>
          <w:szCs w:val="18"/>
          <w:color w:val="auto"/>
        </w:rPr>
      </w:pPr>
    </w:p>
    <w:p>
      <w:pPr>
        <w:ind w:left="705" w:hanging="705"/>
        <w:spacing w:after="0"/>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options to purchase 55,000 shares of our common stock held by Dr. Epstein which are exercisable within 60 days of March 31, 2019.</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705" w:hanging="705"/>
        <w:spacing w:after="0"/>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options to purchase 31,145 shares of our common stock held by Mr. Gordon which are exercisable within 60 days of March 31, 2019.</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705" w:right="40" w:hanging="705"/>
        <w:spacing w:after="0" w:line="308"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options to purchase 50,000 shares of our common stock which are exercisable within 60 days of April 12, 2019, ownership of 25,000 shares of common stock and 204,653 shares held by jVen Capital, LLC, of which Mr. Jones is Managing Member.</w:t>
      </w: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705" w:hanging="705"/>
        <w:spacing w:after="0"/>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options to purchase 50,625 shares of our common stock held by Dr. Nova which are exercisable within 60 days of March 31, 2019.</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8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5"/>
          </w:cols>
          <w:pgMar w:left="275" w:top="746" w:right="439" w:bottom="1440" w:gutter="0" w:footer="0" w:header="0"/>
        </w:sectPr>
      </w:pPr>
    </w:p>
    <w:bookmarkStart w:id="29" w:name="page30"/>
    <w:bookmarkEnd w:id="29"/>
    <w:p>
      <w:pPr>
        <w:ind w:left="740" w:right="40" w:hanging="705"/>
        <w:spacing w:after="0" w:line="25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a Form 4 filed on March 4, 2019, consists of (i) 1,231,647 shares are held by Domain Partners VIII, L.P., (ii) 1,642 shares held by Mr. Treu and (iii) 1,641 shares held by Treu Associates, L.P. Also includes options to purchase 40,000 shares of our common stock held by Mr. Treu which are exercisable within 60 days of March 31, 2019. The managing members of One Palmer Square Associates VIII, L.L.C., the general partner of Domain Partners VIII, L.P., share voting and dispositive power with respect to the shares held by Domain Partners VIII, L.P. The managing members of One Palmer Square Associates VIII, L.L.C. are Mr. Treu, James C. Blair, Brian H. Dovey, Brian K. Halak and Nicole Vitullo. Each of Mr. Treu, James C. Blair, Brian H. Dovey, Brian K. Halak and Nicole Vitullo disclaims beneficial ownership of these shares except to the extent of his or her pecuniary interest therein. The general partners of Treu Associates, L.P. are Jesse I. Treu and Marissa Treu. The address for the entities and individuals affiliated with Domain Partners and Treu Associates L.P. is 202 Carnegie Center, Suite 104, Princeton, New Jersey 08540.</w:t>
      </w:r>
    </w:p>
    <w:p>
      <w:pPr>
        <w:spacing w:after="0" w:line="359" w:lineRule="exact"/>
        <w:rPr>
          <w:rFonts w:ascii="Arial" w:cs="Arial" w:eastAsia="Arial" w:hAnsi="Arial"/>
          <w:sz w:val="18"/>
          <w:szCs w:val="18"/>
          <w:color w:val="auto"/>
        </w:rPr>
      </w:pPr>
    </w:p>
    <w:p>
      <w:pPr>
        <w:ind w:left="740" w:right="220" w:hanging="705"/>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11,023 shares of our common stock held by Mr. Hall and (ii) options to purchase 393,716 shares of our common stock held by Mr. Hall which are exercisable within 60 days of March 31, 2019.</w:t>
      </w:r>
    </w:p>
    <w:p>
      <w:pPr>
        <w:spacing w:after="0" w:line="332" w:lineRule="exact"/>
        <w:rPr>
          <w:rFonts w:ascii="Arial" w:cs="Arial" w:eastAsia="Arial" w:hAnsi="Arial"/>
          <w:sz w:val="18"/>
          <w:szCs w:val="18"/>
          <w:color w:val="auto"/>
        </w:rPr>
      </w:pPr>
    </w:p>
    <w:p>
      <w:pPr>
        <w:ind w:left="740" w:right="260" w:hanging="705"/>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23,825 shares of our common stock held by Mr. Kennedy and (ii) options to purchase 80,585 shares of our common stock held by Mr. Kennedy which are exercisable within 60 days of March 31, 2019.</w:t>
      </w:r>
    </w:p>
    <w:p>
      <w:pPr>
        <w:spacing w:after="0" w:line="278" w:lineRule="exact"/>
        <w:rPr>
          <w:rFonts w:ascii="Arial" w:cs="Arial" w:eastAsia="Arial" w:hAnsi="Arial"/>
          <w:sz w:val="18"/>
          <w:szCs w:val="18"/>
          <w:color w:val="auto"/>
        </w:rPr>
      </w:pPr>
    </w:p>
    <w:p>
      <w:pPr>
        <w:ind w:left="740" w:right="360" w:hanging="705"/>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1,656,072 shares of our common stock and (ii) options to purchase 1,973,421 shares of our common stock which are exercisable within 60 days of March 31,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2019.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fees billed for professional audit services and other services rendered to us by Ernst &amp; Young LLP for 2017 and 2018.</w:t>
      </w:r>
    </w:p>
    <w:p>
      <w:pPr>
        <w:spacing w:after="0" w:line="361"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December 31,</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7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Audit Fees(1)</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$1,097,000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$702,000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Tax Fees(2)</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All Other Fees(3)</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$47,865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$1,910</w:t>
            </w:r>
          </w:p>
        </w:tc>
      </w:tr>
      <w:tr>
        <w:trPr>
          <w:trHeight w:val="27"/>
        </w:trPr>
        <w:tc>
          <w:tcPr>
            <w:tcW w:w="84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$1,144,865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$703,910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0" w:right="40" w:hanging="524"/>
        <w:spacing w:after="0" w:line="342" w:lineRule="auto"/>
        <w:tabs>
          <w:tab w:leader="none" w:pos="3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3000" w:hanging="524"/>
        <w:spacing w:after="0"/>
        <w:tabs>
          <w:tab w:leader="none" w:pos="3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fees consist of federal and state tax compliance and planning, tax advice and preparation of tax returns.</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3000" w:right="20" w:hanging="524"/>
        <w:spacing w:after="0" w:line="277" w:lineRule="auto"/>
        <w:tabs>
          <w:tab w:leader="none" w:pos="3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fees consist of consultations not related to audit or tax fess and access to an online accounting literature database.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6"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of Directors Recommends a Vote “FOR” Ratification of Ernst &amp; Young LLP as our Independent Registered Public Accounting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the rules of the SEC, we are providing stockholders with an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shares of common stock present or represented at the Annual Meeting and voting affirmatively or negatively on the proposal.</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spacing w:after="0" w:line="15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a Vote “FOR” Approval, on a Non-Binding Advisory Basis, of the Compensation of our Named Executive Officers.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ADVISORY VOTE ON THE FREQUENCY OF FUTURE ADVISORY VOTES ON THE COMPENSATION OF OUR NAMED EXECUTIVE OFFICERS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the rules of the SEC, we are providing our stockholders with an opportunity to make a non-binding, advisory vote on the frequency of future non-binding advisory votes on the compensation of our named executive officers. This non-binding advisory vote must be submitted to stockholders at least once every six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have four choices for voting on this proposal. You can choose whether future non-binding advisory votes on the compensation of our named executive officers should be conducted every “ONE YEAR,” “TWO YEARS,” or “THREE YEARS.” You may also “ABSTAIN” from voting. The frequency that receives the greatest number of votes cast by stockholders on this matter at the meeting will be deemed to be the preferred frequency option of our stockholders.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After careful consideration, our board of directors recommends that future non-binding advisory votes on the compensation of our named executive officers be held every year so that stockholders may express annually their views on our executive compensation program.</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Stockholders are not voting to approve or disapprove the board of directors’ recommendation. Instead, stockholders may indicate their preference regarding the frequency of future non-binding advisory votes on the compensation of our named executive officers by selecting one year, two years or three years. Stockholders that do not have a preference regarding the frequency of future advisory votes may abstain from voting on the proposal.</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value the opinions expressed by stockholders in their vote on this proposal and will consider the outcome of the vote when making future decisions regarding the frequency of holding future non-binding advisory votes on the compensation of our named executive officers.</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to Hold Future Non-Binding Advisory Votes on the Compensation of our Named Executive Officers Every “ONE YEAR.”</w:t>
      </w:r>
    </w:p>
    <w:p>
      <w:pPr>
        <w:spacing w:after="0" w:line="2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 registered class of our equity securities, to file reports of ownership on Forms 3, 4 and 5 with the SEC. Executive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executive officers, directors and greater than 10% stockholders complied on a timely basis with all Section 16(a) filing requirements applicable to them with respect to transactions during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2020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2020 Annual Meeting of Stockholders, the proponent and the proposal must comply with the proxy proposal submission rules of the SEC. One of the requirements is that the proposal be received by our Secretary no later than December 25, 2019. Proposals we receive after that date will not be included in the proxy statement. We urge stockholders to submit proposals by Certified Mail - Return Receipt Requested.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stockholder proposal not included in our proxy statement for the 2020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by February 11, 2020 and no later than March 12, 2020, or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96"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Last Name and Address</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Our Annual Report on Form 10-K for the year ended December 31, 2018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t>
      </w:r>
      <w:r>
        <w:rPr>
          <w:rFonts w:ascii="Arial" w:cs="Arial" w:eastAsia="Arial" w:hAnsi="Arial"/>
          <w:sz w:val="16"/>
          <w:szCs w:val="16"/>
          <w:u w:val="single" w:color="auto"/>
          <w:color w:val="0563C1"/>
        </w:rPr>
        <w:t>https://www.sec.gov/Archives/edgar/data/1384101/000138410119000010/vcyt-12312018x10k.htm#s32B0305B6606559982E88FAE01A8E58A.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745480" cy="7444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45480" cy="744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436870" cy="7031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436870" cy="703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x"/>
      <w:numFmt w:val="bullet"/>
      <w:start w:val="1"/>
    </w:lvl>
  </w:abstractNum>
  <w:abstractNum w:abstractNumId="2">
    <w:nsid w:val="4DB127F8"/>
    <w:multiLevelType w:val="hybridMultilevel"/>
    <w:lvl w:ilvl="0">
      <w:lvlJc w:val="left"/>
      <w:lvlText w:val="o"/>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3"/>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2019-12-03T05:50:34Z</dcterms:created>
  <dcterms:modified xsi:type="dcterms:W3CDTF">2019-12-03T05:50:34Z</dcterms:modified>
</cp:coreProperties>
</file>