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Date of Report (Date of earliest event reported): May 7, 2021</w:t>
            </w:r>
          </w:p>
        </w:tc>
        <w:tc>
          <w:tcPr>
            <w:tcW w:w="2400" w:type="dxa"/>
            <w:vAlign w:val="bottom"/>
          </w:tcPr>
          <w:p>
            <w:pPr>
              <w:spacing w:after="0"/>
              <w:rPr>
                <w:sz w:val="20"/>
                <w:szCs w:val="20"/>
                <w:color w:val="auto"/>
              </w:rPr>
            </w:pPr>
          </w:p>
        </w:tc>
      </w:tr>
      <w:tr>
        <w:trPr>
          <w:trHeight w:val="445"/>
        </w:trPr>
        <w:tc>
          <w:tcPr>
            <w:tcW w:w="238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40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0" w:type="dxa"/>
            <w:vAlign w:val="bottom"/>
          </w:tcPr>
          <w:p>
            <w:pPr>
              <w:spacing w:after="0"/>
              <w:rPr>
                <w:sz w:val="20"/>
                <w:szCs w:val="20"/>
                <w:color w:val="auto"/>
              </w:rPr>
            </w:pPr>
          </w:p>
        </w:tc>
      </w:tr>
      <w:tr>
        <w:trPr>
          <w:trHeight w:val="270"/>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4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80" w:type="dxa"/>
            <w:vAlign w:val="bottom"/>
          </w:tcPr>
          <w:p>
            <w:pPr>
              <w:jc w:val="center"/>
              <w:ind w:right="210"/>
              <w:spacing w:after="0"/>
              <w:rPr>
                <w:sz w:val="20"/>
                <w:szCs w:val="20"/>
                <w:color w:val="auto"/>
              </w:rPr>
            </w:pPr>
            <w:r>
              <w:rPr>
                <w:rFonts w:ascii="Arial" w:cs="Arial" w:eastAsia="Arial" w:hAnsi="Arial"/>
                <w:sz w:val="18"/>
                <w:szCs w:val="18"/>
                <w:color w:val="auto"/>
                <w:w w:val="92"/>
              </w:rPr>
              <w:t>(State or other jurisdiction of</w:t>
            </w:r>
          </w:p>
        </w:tc>
        <w:tc>
          <w:tcPr>
            <w:tcW w:w="50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40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80" w:type="dxa"/>
            <w:vAlign w:val="bottom"/>
          </w:tcPr>
          <w:p>
            <w:pPr>
              <w:jc w:val="center"/>
              <w:ind w:right="210"/>
              <w:spacing w:after="0"/>
              <w:rPr>
                <w:sz w:val="20"/>
                <w:szCs w:val="20"/>
                <w:color w:val="auto"/>
              </w:rPr>
            </w:pPr>
            <w:r>
              <w:rPr>
                <w:rFonts w:ascii="Arial" w:cs="Arial" w:eastAsia="Arial" w:hAnsi="Arial"/>
                <w:sz w:val="18"/>
                <w:szCs w:val="18"/>
                <w:color w:val="auto"/>
                <w:w w:val="94"/>
              </w:rPr>
              <w:t>incorporation)</w:t>
            </w:r>
          </w:p>
        </w:tc>
        <w:tc>
          <w:tcPr>
            <w:tcW w:w="5000" w:type="dxa"/>
            <w:vAlign w:val="bottom"/>
          </w:tcPr>
          <w:p>
            <w:pPr>
              <w:spacing w:after="0"/>
              <w:rPr>
                <w:sz w:val="20"/>
                <w:szCs w:val="20"/>
                <w:color w:val="auto"/>
              </w:rPr>
            </w:pPr>
          </w:p>
        </w:tc>
        <w:tc>
          <w:tcPr>
            <w:tcW w:w="2400" w:type="dxa"/>
            <w:vAlign w:val="bottom"/>
          </w:tcPr>
          <w:p>
            <w:pPr>
              <w:jc w:val="center"/>
              <w:ind w:left="190"/>
              <w:spacing w:after="0"/>
              <w:rPr>
                <w:sz w:val="20"/>
                <w:szCs w:val="20"/>
                <w:color w:val="auto"/>
              </w:rPr>
            </w:pPr>
            <w:r>
              <w:rPr>
                <w:rFonts w:ascii="Arial" w:cs="Arial" w:eastAsia="Arial" w:hAnsi="Arial"/>
                <w:sz w:val="18"/>
                <w:szCs w:val="18"/>
                <w:color w:val="auto"/>
                <w:w w:val="93"/>
              </w:rPr>
              <w:t>No.)</w:t>
            </w:r>
          </w:p>
        </w:tc>
      </w:tr>
      <w:tr>
        <w:trPr>
          <w:trHeight w:val="365"/>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4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38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May 10, 2021, Veracyte, Inc. (the “Company”)issued a press release announcing its financial results for the quarter ended March 31, 2021. The full text of the press release is furnished as Exhibit 99.1 to this report.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May 10, 2021, the Company announced that the Board of Directors of the Company (the “Board”) appointed Marc Stapley as the Chief Executive Officer of the Company, effective as of June 1, 2021 (the “Transition Date”), and as a Class II director of the Board, effective following the Company’s annual meeting of stockholders to be held on June 7, 2021. Effective as of the Transition Date, Bonnie H. Anderson, the Company’s Chief Executive Officer and chairman of the Board, will resign from her position as Chief Executive Officer and be appointed as the Company’s Executive Chair. Ms. Anderson will continue to serve on the Board.</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his appointment, Mr. Stapley served as the Chief Executive Officer of Helix OpCo, LLC, a genomics company, from April 2019 to May 2021. Prior to that, Mr. Stapley served in key managerial positions at Illumina, Inc., a genetic sequencing company, including as Chief Financial Officer from January 2012 to January 2017, as Chief Administrative Officer from December 2015 to October 2017, and from as Executive Vice President from October 2017 to January 2019. From 2009 to 2012, Mr. Stapley served as Senior Vice President, Finance at Pfizer Inc., a pharmaceutical company. Mr. Stapley has served as a member of the board of directors of Glaukos Corporation, an ophthalmic medical technology company, since July 2014, and has served as a member of the board of directors of Helix since April 2019. Mr. Stapley holds a B.Sc. (Honors) in Mathematics from The University of Reading (England) and is a member of the Institute of Chartered Accountants in England and Wales.</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is no arrangement or understanding between Mr. Stapley and any other persons pursuant to which he was selected as Chief Executive Officer or director. Mr. Stapley has no direct or indirect material interest in any transaction required to be disclosed pursuant to Item 404(a) of Regulation S-K.</w:t>
      </w:r>
    </w:p>
    <w:p>
      <w:pPr>
        <w:spacing w:after="0" w:line="15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connection with his appointment as Chief Executive Officer, on May 7, 2021, Mr. Stapley entered into a letter agreement (the “Letter Agreement”) with the Company, effective as of the Transition Date, which includes the following terms: (i) an annual base salary of $600,000 per year (the “Base Salary”),</w:t>
      </w:r>
    </w:p>
    <w:p>
      <w:pPr>
        <w:jc w:val="both"/>
        <w:ind w:firstLine="8"/>
        <w:spacing w:after="0" w:line="267" w:lineRule="auto"/>
        <w:tabs>
          <w:tab w:leader="none" w:pos="27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annual discretionary bonus of up to 100% of Mr. Stapley’s Base Salary subject to the achievement of performance objectives, (iii) a restricted stock unit (the “RSU Award”) representing the opportunity to receive an aggregate of approximately $2 million in shares of the Company’s common stock (“Common Stock”), with the shares underlying the RSU Award vesting as to 1/4th of such shares on June 2, 2022, and then in equal quarterly installments over the following 12 quarters, so long as Mr. Stapley continues to provides services to the Company through such vesting dates, (iv) an option to purchase approximately $3 million in shares of Common Stock, vesting as to 1/4th of such shares on June 1, 2022, and then in equal monthly installments over the following 36 months, so long as Mr. Stapley continues to provides services to the Company through such vesting dates and (v) a performance-based restricted stock unit (the “PSU Award”) representing the opportunity to receive an aggregate of approximately $1 million in shares of Common Stock, vesting as to 1/3rd of the shares covered by such PSU Award upon the Board’s determination that the Company achieved certain performance metrics for the year ending December 31, 2022, and as to 2/3rds of the shares covered by such PSU Award upon the Board’s determination that the Company achieved certain performance metrics for the year ending December 31, 2023, on the same terms and conditions as performance-based restricted stock units granted to the Company’s other executive officers in February 2021, and so long as Mr. Stapley continues to provides services to the Company through such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both"/>
        <w:spacing w:after="0" w:line="267" w:lineRule="auto"/>
        <w:rPr>
          <w:sz w:val="20"/>
          <w:szCs w:val="20"/>
          <w:color w:val="auto"/>
        </w:rPr>
      </w:pPr>
      <w:r>
        <w:rPr>
          <w:rFonts w:ascii="Arial" w:cs="Arial" w:eastAsia="Arial" w:hAnsi="Arial"/>
          <w:sz w:val="17"/>
          <w:szCs w:val="17"/>
          <w:color w:val="auto"/>
        </w:rPr>
        <w:t>In addition, Mr. Stapley will enter into a Change of Control and Severance Agreement (the “Change of Control Agreement”) with the Company, which will be effective as of the Transition Date. The Change of Control Agreement entitles Mr. Stapley to certain severance payments and other benefits if his employment is terminated by the Company without “cause,” or upon his resignation for “good reason,” each as defined in the Change of Control Agreement. Upon any such termination of Mr. Stapley’s employment not related to a Change Of Control (as defined in the Change of Control Agreement), he would be entitled to receive: a severance payment equal to 100% of his then-current base salary; a prorated amount of his target bonus for the then-current fiscal year based upon the Company’s actual performance for such year; and reimbursement for any COBRA coverage elected by Mr. Stapley for himself and his covered dependents through the earlier of (i) 12 months following such termination and (ii) the date Mr. Stapley and his covered dependents become eligible for coverage under another employer’s plans. If Mr. Stapley’s termination without “cause” or resignation for “good reason” occurs between two months prior to and 12 months following a Change of Control of the Company, then he would be entitled to receive: a severance payment equal to 200% of his then-current base salary; a bonus payment equal to 200% of the greater of: (A) the greater of (x) Mr. Stapley’s target bonus for the fiscal year in which the Change of Control occurs or (y) Mr. Stapley’s target bonus as in effect for the fiscal year in which the termination of his employment occurs, or (B) Mr. Stapley’s actual bonus for performance during the calendar year prior to the calendar year during which the termination of employment occurs; reimbursement for any COBRA coverage elected by Mr. Stapley for himself and his covered dependents through the earlier of (i) 24 months following such termination and (ii) the date Mr. Stapley and his covered dependents become eligible for coverage under another employer’s plans; and 100% vesting acceleration of then-unvested and outstanding equity awards, provided that for any then-unvested and outstanding performance-based equity awards, any applicable performance criteria will be deemed achieved at the target level unless otherwise set forth in the applicable award agreement. In connection with his appointment as Chief Executive Officer, Mr. Stapley will enter into the Company’s standard form of indemnification agreement, which is filed as Exhibit 10.1 to the Company’s Registration Statement on Form S-1 filed with the U.S. Securities and Exchange Commission on October 7, 2013 (File No. 333-191282).</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summaries of the Letter Agreement and Change in Control Agreement do not purport to be complete and are subject to, and qualified in their entirety by, the Letter Agreement and Change in Control Agreement, which will be filed as exhibits to the Company’s Quarterly Report on Form 10-Q for the quarter ending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0" w:type="dxa"/>
            <w:vAlign w:val="bottom"/>
          </w:tcPr>
          <w:p>
            <w:pPr>
              <w:spacing w:after="0"/>
              <w:rPr>
                <w:sz w:val="20"/>
                <w:szCs w:val="20"/>
                <w:color w:val="auto"/>
              </w:rPr>
            </w:pPr>
          </w:p>
        </w:tc>
      </w:tr>
      <w:tr>
        <w:trPr>
          <w:trHeight w:val="243"/>
        </w:trPr>
        <w:tc>
          <w:tcPr>
            <w:tcW w:w="1680" w:type="dxa"/>
            <w:vAlign w:val="bottom"/>
            <w:gridSpan w:val="4"/>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1"/>
                <w:szCs w:val="21"/>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90"/>
        </w:trPr>
        <w:tc>
          <w:tcPr>
            <w:tcW w:w="66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FF"/>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4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20" w:type="dxa"/>
            <w:vAlign w:val="bottom"/>
            <w:tcBorders>
              <w:top w:val="single" w:sz="8" w:color="auto"/>
              <w:bottom w:val="single" w:sz="8" w:color="0000FF"/>
            </w:tcBorders>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issued by Veracyte, Inc. dated May 10, 2021.</w:t>
              </w:r>
            </w:hyperlink>
          </w:p>
        </w:tc>
        <w:tc>
          <w:tcPr>
            <w:tcW w:w="50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1180" w:type="dxa"/>
            <w:vAlign w:val="bottom"/>
          </w:tcPr>
          <w:p>
            <w:pPr>
              <w:ind w:left="180"/>
              <w:spacing w:after="0"/>
              <w:rPr>
                <w:sz w:val="20"/>
                <w:szCs w:val="20"/>
                <w:color w:val="auto"/>
              </w:rPr>
            </w:pPr>
            <w:r>
              <w:rPr>
                <w:rFonts w:ascii="Arial" w:cs="Arial" w:eastAsia="Arial" w:hAnsi="Arial"/>
                <w:sz w:val="18"/>
                <w:szCs w:val="18"/>
                <w:color w:val="auto"/>
                <w:w w:val="89"/>
              </w:rPr>
              <w:t>May 10, 2021</w:t>
            </w:r>
          </w:p>
        </w:tc>
      </w:tr>
    </w:tbl>
    <w:p>
      <w:pPr>
        <w:spacing w:after="0" w:line="25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260" w:type="dxa"/>
        <w:tblCellMar>
          <w:top w:w="0" w:type="dxa"/>
          <w:left w:w="0" w:type="dxa"/>
          <w:bottom w:w="0" w:type="dxa"/>
          <w:right w:w="0" w:type="dxa"/>
        </w:tblCellMar>
      </w:tblPr>
      <w:tr>
        <w:trPr>
          <w:trHeight w:val="23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BONNIE H. ANDERSON</w:t>
            </w:r>
          </w:p>
        </w:tc>
      </w:tr>
      <w:tr>
        <w:trPr>
          <w:trHeight w:val="243"/>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6180" w:type="dxa"/>
            <w:vAlign w:val="bottom"/>
          </w:tcPr>
          <w:p>
            <w:pPr>
              <w:ind w:left="60"/>
              <w:spacing w:after="0"/>
              <w:rPr>
                <w:sz w:val="20"/>
                <w:szCs w:val="20"/>
                <w:color w:val="auto"/>
              </w:rPr>
            </w:pPr>
            <w:r>
              <w:rPr>
                <w:rFonts w:ascii="Arial" w:cs="Arial" w:eastAsia="Arial" w:hAnsi="Arial"/>
                <w:sz w:val="18"/>
                <w:szCs w:val="18"/>
                <w:color w:val="auto"/>
              </w:rPr>
              <w:t>Bonnie H. Anderson</w:t>
            </w:r>
          </w:p>
        </w:tc>
      </w:tr>
      <w:tr>
        <w:trPr>
          <w:trHeight w:val="25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6180" w:type="dxa"/>
            <w:vAlign w:val="bottom"/>
          </w:tcPr>
          <w:p>
            <w:pPr>
              <w:ind w:left="60"/>
              <w:spacing w:after="0"/>
              <w:rPr>
                <w:sz w:val="20"/>
                <w:szCs w:val="20"/>
                <w:color w:val="auto"/>
              </w:rPr>
            </w:pPr>
            <w:r>
              <w:rPr>
                <w:rFonts w:ascii="Arial" w:cs="Arial" w:eastAsia="Arial" w:hAnsi="Arial"/>
                <w:sz w:val="18"/>
                <w:szCs w:val="18"/>
                <w:i w:val="1"/>
                <w:iCs w:val="1"/>
                <w:color w:val="auto"/>
              </w:rPr>
              <w:t>Chief Executive Officer</w:t>
            </w:r>
          </w:p>
        </w:tc>
      </w:tr>
      <w:tr>
        <w:trPr>
          <w:trHeight w:val="257"/>
        </w:trPr>
        <w:tc>
          <w:tcPr>
            <w:tcW w:w="800" w:type="dxa"/>
            <w:vAlign w:val="bottom"/>
          </w:tcPr>
          <w:p>
            <w:pPr>
              <w:spacing w:after="0"/>
              <w:rPr>
                <w:sz w:val="22"/>
                <w:szCs w:val="22"/>
                <w:color w:val="auto"/>
              </w:rPr>
            </w:pPr>
          </w:p>
        </w:tc>
        <w:tc>
          <w:tcPr>
            <w:tcW w:w="618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4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6350</wp:posOffset>
            </wp:positionV>
            <wp:extent cx="1276985"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698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First Quarter 2021 Financial Results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Revenue of $36.7 Million Increased 18%; Volume Grew 11% to 14,437 Tests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Completed Acquisition of Decipher Biosciences, Expanding Reach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Into 7 of the Top 10 Cancers in the United States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Pivotal Validation Data for Percepta Nasal Swab Lung Cancer Test To Be Presented at ASCO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300"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SOUTH SAN FRANCISCO, Calif., May 10, 2021 -- Veracyte, Inc., (Nasdaq: VCYT) today announced financial results for the first quarter ended March 31, 2021, which were in line with its previously announced, preliminary first-quarter results. The company also provided an update on recent business progress.</w:t>
      </w:r>
    </w:p>
    <w:p>
      <w:pPr>
        <w:spacing w:after="0" w:line="2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delivered strong financial results for the first quarter of 2021, with particular momentum in March, as our business continues to emerge from the COVID-19 pandemic,” said Bonnie Anderson, chairman and chief executive officer of Veracyte. “On March 12, we completed our acquisition of Decipher Biosciences which, with its market-leading urologic cancer portfolio, expands our reach into 7 of the top 10 cancers in the U.S. and will accelerate revenue growth.</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“Additionally, we are excited to unveil pivotal clinical validation data at ASCO for our Percepta Nasal Swab test for early lung cancer detection. We expect to launch it and the Percepta Genomic Atlas as part of our comprehensive lung cancer portfolio later this year. We also anticipate strengthening our global commercial footprint with the introduction of the Envisia classifier, for improved diagnosis of interstitial lung diseases, on the nCounter Analysis System by the end of this year.”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24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For the three months ended March 31, 2021, compared to the prior year (Decipher Biosciences one-time acquisition-related expenses in the first quarter of 2021 increased our operating expenses, net loss and net cash used in operations by $35.1 million and our net loss per share by $0.55):</w:t>
      </w:r>
    </w:p>
    <w:p>
      <w:pPr>
        <w:spacing w:after="0" w:line="184"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$36.7 million, including $3.8 million for urologic cancer testing, an increase of 18%;</w:t>
      </w:r>
    </w:p>
    <w:p>
      <w:pPr>
        <w:spacing w:after="0" w:line="2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66%;</w:t>
      </w:r>
    </w:p>
    <w:p>
      <w:pPr>
        <w:spacing w:after="0" w:line="9" w:lineRule="exact"/>
        <w:rPr>
          <w:rFonts w:ascii="Arial" w:cs="Arial" w:eastAsia="Arial" w:hAnsi="Arial"/>
          <w:sz w:val="18"/>
          <w:szCs w:val="18"/>
          <w:color w:val="auto"/>
        </w:rPr>
      </w:pPr>
    </w:p>
    <w:p>
      <w:pPr>
        <w:ind w:left="820" w:right="44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were $82.1 million.</w:t>
      </w:r>
      <w:r>
        <w:rPr>
          <w:rFonts w:ascii="Arial" w:cs="Arial" w:eastAsia="Arial" w:hAnsi="Arial"/>
          <w:sz w:val="18"/>
          <w:szCs w:val="18"/>
          <w:i w:val="1"/>
          <w:iCs w:val="1"/>
          <w:color w:val="auto"/>
        </w:rPr>
        <w:t xml:space="preserve"> Operating Expenses, Excluding Cost of Revenue, </w:t>
      </w:r>
      <w:r>
        <w:rPr>
          <w:rFonts w:ascii="Arial" w:cs="Arial" w:eastAsia="Arial" w:hAnsi="Arial"/>
          <w:sz w:val="18"/>
          <w:szCs w:val="18"/>
          <w:color w:val="auto"/>
        </w:rPr>
        <w:t>were $69.7 million, including $35.1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the acquisition of Decipher Biosciences;</w:t>
      </w:r>
    </w:p>
    <w:p>
      <w:pPr>
        <w:ind w:left="820" w:right="34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$41.9 million, including $35.1 million of expenses related to the acquisition of Decipher</w:t>
      </w:r>
      <w:r>
        <w:rPr>
          <w:rFonts w:ascii="Arial" w:cs="Arial" w:eastAsia="Arial" w:hAnsi="Arial"/>
          <w:sz w:val="18"/>
          <w:szCs w:val="18"/>
          <w:i w:val="1"/>
          <w:iCs w:val="1"/>
          <w:color w:val="auto"/>
        </w:rPr>
        <w:t xml:space="preserve"> </w:t>
      </w:r>
      <w:r>
        <w:rPr>
          <w:rFonts w:ascii="Arial" w:cs="Arial" w:eastAsia="Arial" w:hAnsi="Arial"/>
          <w:sz w:val="18"/>
          <w:szCs w:val="18"/>
          <w:color w:val="auto"/>
        </w:rPr>
        <w:t>Biosciences;</w:t>
      </w:r>
    </w:p>
    <w:p>
      <w:pPr>
        <w:ind w:left="820" w:right="700" w:hanging="326"/>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$0.66, including $0.55 per share attributable to the acquisition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recorded in G&amp;A;</w:t>
      </w: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$40.6 million;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$324.1 million at March 31,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and Recent Business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ectPr>
          <w:pgSz w:w="11900" w:h="16838" w:orient="portrait"/>
          <w:cols w:equalWidth="0" w:num="1">
            <w:col w:w="11240"/>
          </w:cols>
          <w:pgMar w:left="320" w:top="908" w:right="3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222222"/>
        </w:rPr>
        <w:t>Total g</w:t>
      </w:r>
      <w:r>
        <w:rPr>
          <w:rFonts w:ascii="Arial" w:cs="Arial" w:eastAsia="Arial" w:hAnsi="Arial"/>
          <w:sz w:val="18"/>
          <w:szCs w:val="18"/>
          <w:color w:val="000000"/>
        </w:rPr>
        <w:t>enomic testing and product revenue was $36.1 million, an increase of 19%, compared to the first quarter of 2020.</w:t>
      </w:r>
    </w:p>
    <w:p>
      <w:pPr>
        <w:spacing w:after="0" w:line="49" w:lineRule="exact"/>
        <w:rPr>
          <w:rFonts w:ascii="Arial" w:cs="Arial" w:eastAsia="Arial" w:hAnsi="Arial"/>
          <w:sz w:val="18"/>
          <w:szCs w:val="18"/>
          <w:color w:val="auto"/>
        </w:rPr>
      </w:pPr>
    </w:p>
    <w:p>
      <w:pPr>
        <w:ind w:left="660" w:right="98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genomic volume was 14,437 tests, an increase of 11%, compared to prior year, including 1,560 tests from Decipher Biosciences.</w:t>
      </w:r>
    </w:p>
    <w:p>
      <w:pPr>
        <w:spacing w:after="0" w:line="34" w:lineRule="exact"/>
        <w:rPr>
          <w:rFonts w:ascii="Arial" w:cs="Arial" w:eastAsia="Arial" w:hAnsi="Arial"/>
          <w:sz w:val="18"/>
          <w:szCs w:val="18"/>
          <w:color w:val="auto"/>
        </w:rPr>
      </w:pPr>
    </w:p>
    <w:p>
      <w:pPr>
        <w:ind w:left="660" w:right="460" w:hanging="328"/>
        <w:spacing w:after="0" w:line="246" w:lineRule="auto"/>
        <w:tabs>
          <w:tab w:leader="none" w:pos="59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expect a mid-year Medicare coverage decision for Decipher Bladder test, which will allow us to leverage our urology sales footprint to accelerate commercial adoption.</w:t>
      </w:r>
    </w:p>
    <w:p>
      <w:pPr>
        <w:spacing w:after="0" w:line="34" w:lineRule="exact"/>
        <w:rPr>
          <w:rFonts w:ascii="Arial" w:cs="Arial" w:eastAsia="Arial" w:hAnsi="Arial"/>
          <w:sz w:val="18"/>
          <w:szCs w:val="18"/>
          <w:color w:val="auto"/>
        </w:rPr>
      </w:pPr>
    </w:p>
    <w:p>
      <w:pPr>
        <w:jc w:val="both"/>
        <w:ind w:left="660" w:right="380" w:hanging="328"/>
        <w:spacing w:after="0"/>
        <w:tabs>
          <w:tab w:leader="none" w:pos="599"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General Manager-based global structure, vertically aligning commercial teams within each clinical indication to provide enhanced focus and clinical expertise. Also added key new hires in marketing, managed care and international market access to support multiple new product launches and global expansion later this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 and Pipeline Advancement:</w:t>
      </w:r>
    </w:p>
    <w:p>
      <w:pPr>
        <w:spacing w:after="0" w:line="68" w:lineRule="exact"/>
        <w:rPr>
          <w:sz w:val="20"/>
          <w:szCs w:val="20"/>
          <w:color w:val="auto"/>
        </w:rPr>
      </w:pPr>
    </w:p>
    <w:p>
      <w:pPr>
        <w:ind w:left="660" w:right="880" w:hanging="328"/>
        <w:spacing w:after="0" w:line="246" w:lineRule="auto"/>
        <w:tabs>
          <w:tab w:leader="none" w:pos="599" w:val="left"/>
        </w:tabs>
        <w:numPr>
          <w:ilvl w:val="0"/>
          <w:numId w:val="5"/>
        </w:numPr>
        <w:rPr>
          <w:rFonts w:ascii="Arial" w:cs="Arial" w:eastAsia="Arial" w:hAnsi="Arial"/>
          <w:sz w:val="18"/>
          <w:szCs w:val="18"/>
          <w:color w:val="auto"/>
        </w:rPr>
      </w:pPr>
      <w:r>
        <w:rPr>
          <w:rFonts w:ascii="Arial" w:cs="Arial" w:eastAsia="Arial" w:hAnsi="Arial"/>
          <w:sz w:val="18"/>
          <w:szCs w:val="18"/>
          <w:color w:val="auto"/>
        </w:rPr>
        <w:t>Six abstracts for our pulmonology products accepted as posters at the American Thoracic Society (ATS) 2021 International Conference this month:</w:t>
      </w:r>
    </w:p>
    <w:p>
      <w:pPr>
        <w:spacing w:after="0" w:line="34" w:lineRule="exact"/>
        <w:rPr>
          <w:rFonts w:ascii="Arial" w:cs="Arial" w:eastAsia="Arial" w:hAnsi="Arial"/>
          <w:sz w:val="18"/>
          <w:szCs w:val="18"/>
          <w:color w:val="auto"/>
        </w:rPr>
      </w:pPr>
    </w:p>
    <w:p>
      <w:pPr>
        <w:ind w:left="980" w:right="300" w:hanging="324"/>
        <w:spacing w:after="0" w:line="246" w:lineRule="auto"/>
        <w:tabs>
          <w:tab w:leader="none" w:pos="916"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Percepta Genomic Atlas – New data demonstrating the test’s ability to inform treatment decisions on the same sample used in diagnosis, in anticipation for product launch in Q4 2021.</w:t>
      </w:r>
    </w:p>
    <w:p>
      <w:pPr>
        <w:spacing w:after="0" w:line="34" w:lineRule="exact"/>
        <w:rPr>
          <w:rFonts w:ascii="Arial" w:cs="Arial" w:eastAsia="Arial" w:hAnsi="Arial"/>
          <w:sz w:val="18"/>
          <w:szCs w:val="18"/>
          <w:color w:val="auto"/>
        </w:rPr>
      </w:pPr>
    </w:p>
    <w:p>
      <w:pPr>
        <w:ind w:left="980" w:right="160" w:hanging="324"/>
        <w:spacing w:after="0" w:line="246" w:lineRule="auto"/>
        <w:tabs>
          <w:tab w:leader="none" w:pos="916" w:val="left"/>
        </w:tabs>
        <w:numPr>
          <w:ilvl w:val="1"/>
          <w:numId w:val="5"/>
        </w:numPr>
        <w:rPr>
          <w:rFonts w:ascii="Arial" w:cs="Arial" w:eastAsia="Arial" w:hAnsi="Arial"/>
          <w:sz w:val="18"/>
          <w:szCs w:val="18"/>
          <w:color w:val="auto"/>
        </w:rPr>
      </w:pPr>
      <w:r>
        <w:rPr>
          <w:rFonts w:ascii="Arial" w:cs="Arial" w:eastAsia="Arial" w:hAnsi="Arial"/>
          <w:sz w:val="18"/>
          <w:szCs w:val="18"/>
          <w:color w:val="auto"/>
        </w:rPr>
        <w:t>Envisia – New data from five abstracts demonstrates the test’s clinical utility and our ability to enable the CLIA lab-based test on the nCounter Analysis System, in anticipation of the test’s international launch later this year.</w:t>
      </w:r>
    </w:p>
    <w:p>
      <w:pPr>
        <w:spacing w:after="0" w:line="34" w:lineRule="exact"/>
        <w:rPr>
          <w:rFonts w:ascii="Arial" w:cs="Arial" w:eastAsia="Arial" w:hAnsi="Arial"/>
          <w:sz w:val="18"/>
          <w:szCs w:val="18"/>
          <w:color w:val="auto"/>
        </w:rPr>
      </w:pPr>
    </w:p>
    <w:p>
      <w:pPr>
        <w:ind w:left="600" w:hanging="268"/>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Six abstracts for our oncology tests accepted for the ASCO Annual Meeting in June, including:</w:t>
      </w:r>
    </w:p>
    <w:p>
      <w:pPr>
        <w:spacing w:after="0" w:line="49" w:lineRule="exact"/>
        <w:rPr>
          <w:rFonts w:ascii="Arial" w:cs="Arial" w:eastAsia="Arial" w:hAnsi="Arial"/>
          <w:sz w:val="18"/>
          <w:szCs w:val="18"/>
          <w:color w:val="auto"/>
        </w:rPr>
      </w:pPr>
    </w:p>
    <w:p>
      <w:pPr>
        <w:ind w:left="980" w:right="360" w:hanging="324"/>
        <w:spacing w:after="0" w:line="246" w:lineRule="auto"/>
        <w:tabs>
          <w:tab w:leader="none" w:pos="916"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Percepta Nasal Swab – Pivotal, multicenter, double-blind clinical validation data for test to enable early lung cancer detection, setting the stage for anticipated product launch in 2H 2021.</w:t>
      </w:r>
    </w:p>
    <w:p>
      <w:pPr>
        <w:spacing w:after="0" w:line="34" w:lineRule="exact"/>
        <w:rPr>
          <w:rFonts w:ascii="Arial" w:cs="Arial" w:eastAsia="Arial" w:hAnsi="Arial"/>
          <w:sz w:val="18"/>
          <w:szCs w:val="18"/>
          <w:color w:val="auto"/>
        </w:rPr>
      </w:pPr>
    </w:p>
    <w:p>
      <w:pPr>
        <w:ind w:left="980" w:right="420" w:hanging="324"/>
        <w:spacing w:after="0"/>
        <w:tabs>
          <w:tab w:leader="none" w:pos="916" w:val="left"/>
        </w:tabs>
        <w:numPr>
          <w:ilvl w:val="1"/>
          <w:numId w:val="5"/>
        </w:numPr>
        <w:rPr>
          <w:rFonts w:ascii="Arial" w:cs="Arial" w:eastAsia="Arial" w:hAnsi="Arial"/>
          <w:sz w:val="18"/>
          <w:szCs w:val="18"/>
          <w:color w:val="auto"/>
        </w:rPr>
      </w:pPr>
      <w:r>
        <w:rPr>
          <w:rFonts w:ascii="Arial" w:cs="Arial" w:eastAsia="Arial" w:hAnsi="Arial"/>
          <w:sz w:val="18"/>
          <w:szCs w:val="18"/>
          <w:color w:val="auto"/>
        </w:rPr>
        <w:t>Decipher Prostate – Two abstracts, including an oral presentation showing test’s ability to identify African American men with higher likelihood of aggressive prostate cancer, will help further distinguish Decipher Prostate from other prostate cancer genomic tests.</w:t>
      </w:r>
    </w:p>
    <w:p>
      <w:pPr>
        <w:spacing w:after="0" w:line="40" w:lineRule="exact"/>
        <w:rPr>
          <w:rFonts w:ascii="Arial" w:cs="Arial" w:eastAsia="Arial" w:hAnsi="Arial"/>
          <w:sz w:val="18"/>
          <w:szCs w:val="18"/>
          <w:color w:val="auto"/>
        </w:rPr>
      </w:pPr>
    </w:p>
    <w:p>
      <w:pPr>
        <w:ind w:left="980" w:right="560" w:hanging="324"/>
        <w:spacing w:after="0" w:line="246" w:lineRule="auto"/>
        <w:tabs>
          <w:tab w:leader="none" w:pos="906" w:val="left"/>
        </w:tabs>
        <w:numPr>
          <w:ilvl w:val="1"/>
          <w:numId w:val="5"/>
        </w:numPr>
        <w:rPr>
          <w:rFonts w:ascii="Arial" w:cs="Arial" w:eastAsia="Arial" w:hAnsi="Arial"/>
          <w:sz w:val="18"/>
          <w:szCs w:val="18"/>
          <w:color w:val="auto"/>
        </w:rPr>
      </w:pPr>
      <w:r>
        <w:rPr>
          <w:rFonts w:ascii="Arial" w:cs="Arial" w:eastAsia="Arial" w:hAnsi="Arial"/>
          <w:sz w:val="18"/>
          <w:szCs w:val="18"/>
          <w:color w:val="auto"/>
        </w:rPr>
        <w:t>Afirma XA – New data demonstrate the test’s ability to identify patients with gene alterations who may benefit from targeted therapies – at the time of diagnosis.</w:t>
      </w:r>
    </w:p>
    <w:p>
      <w:pPr>
        <w:spacing w:after="0" w:line="34" w:lineRule="exact"/>
        <w:rPr>
          <w:rFonts w:ascii="Arial" w:cs="Arial" w:eastAsia="Arial" w:hAnsi="Arial"/>
          <w:sz w:val="18"/>
          <w:szCs w:val="18"/>
          <w:color w:val="auto"/>
        </w:rPr>
      </w:pPr>
    </w:p>
    <w:p>
      <w:pPr>
        <w:ind w:left="660" w:right="200" w:hanging="328"/>
        <w:spacing w:after="0" w:line="238" w:lineRule="auto"/>
        <w:tabs>
          <w:tab w:leader="none" w:pos="5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abstracts presented as posters at the European Society of Medical Oncology (ESMO) Breast Cancer Virtual Congress 2021 meeting this month highlighted potential applications of the PAM50 biomarker on which the Prosigna test is based, as well as initial results from the PROCURE study, which aims to develop consensus around the use of breast cancer genomic tests, including Prosigna.</w:t>
      </w:r>
    </w:p>
    <w:p>
      <w:pPr>
        <w:spacing w:after="0" w:line="42" w:lineRule="exact"/>
        <w:rPr>
          <w:rFonts w:ascii="Arial" w:cs="Arial" w:eastAsia="Arial" w:hAnsi="Arial"/>
          <w:sz w:val="18"/>
          <w:szCs w:val="18"/>
          <w:color w:val="auto"/>
        </w:rPr>
      </w:pPr>
    </w:p>
    <w:p>
      <w:pPr>
        <w:ind w:left="660" w:right="140" w:hanging="328"/>
        <w:spacing w:after="0"/>
        <w:tabs>
          <w:tab w:leader="none" w:pos="59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First patient enrolled and randomized in a study using Veracyte’s LymphMark lymphoma subtyping test to identify and enroll patients with untreated DLBCL who may benefit from Acerta Pharma and AstraZeneca’s Calquence® in combination with a traditional chemoimmunotherapy regimen.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Financing:</w:t>
      </w:r>
    </w:p>
    <w:p>
      <w:pPr>
        <w:spacing w:after="0" w:line="68" w:lineRule="exact"/>
        <w:rPr>
          <w:sz w:val="20"/>
          <w:szCs w:val="20"/>
          <w:color w:val="auto"/>
        </w:rPr>
      </w:pPr>
    </w:p>
    <w:p>
      <w:pPr>
        <w:ind w:left="660" w:right="280" w:hanging="328"/>
        <w:spacing w:after="0"/>
        <w:tabs>
          <w:tab w:leader="none" w:pos="655"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Issued and sold 8,547,297 shares of common stock in February 2021, including 1,114,864 shares sold upon full exercise of the underwriters’ option to purchase additional shares, at a price to the public of $74.00 per share. The net proceeds to Veracyte from the offering were approximately $593.8 million.</w:t>
      </w:r>
    </w:p>
    <w:p>
      <w:pPr>
        <w:spacing w:after="0" w:line="40" w:lineRule="exact"/>
        <w:rPr>
          <w:rFonts w:ascii="Arial" w:cs="Arial" w:eastAsia="Arial" w:hAnsi="Arial"/>
          <w:sz w:val="18"/>
          <w:szCs w:val="18"/>
          <w:color w:val="222222"/>
        </w:rPr>
      </w:pPr>
    </w:p>
    <w:p>
      <w:pPr>
        <w:ind w:left="660" w:right="440" w:hanging="328"/>
        <w:spacing w:after="0" w:line="238" w:lineRule="auto"/>
        <w:tabs>
          <w:tab w:leader="none" w:pos="655"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Veracyte used a portion of the net proceeds from the offering, together with its existing cash and cash equivalents, to finance its $600 million cash acquisition of Decipher, which was completed in March 2021. The company intends to use the remaining net proceeds of the offering for working capital and other general corporate purposes, which may include acquiring or investing in complementary businesses, technologies or other assets.</w:t>
      </w:r>
    </w:p>
    <w:p>
      <w:pPr>
        <w:spacing w:after="0" w:line="28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Additionally, in March 2021, the company announced the appointment of Muna Bhanji, a global senior healthcare executive, to its board of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Outlook</w:t>
      </w:r>
    </w:p>
    <w:p>
      <w:pPr>
        <w:spacing w:after="0" w:line="3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222222"/>
        </w:rPr>
        <w:t>Veracyte is reiterating its previous 2021 annual total revenue guidance of approximately $190 million to $200 million, representing growth of approximately 65% over 2020 at the midpoint of the range.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conference call will be webcast live from the company’s website and will be available via the following link: https://edge.media-server.com/mmc/p/j5wohmjh. The webcast should be accessed 10 minutes prior to the conference call start time. A replay of the webcast will be available for one year</w:t>
      </w:r>
    </w:p>
    <w:p>
      <w:pPr>
        <w:sectPr>
          <w:pgSz w:w="11900" w:h="16838" w:orient="portrait"/>
          <w:cols w:equalWidth="0" w:num="1">
            <w:col w:w="11240"/>
          </w:cols>
          <w:pgMar w:left="320" w:top="908" w:right="339" w:bottom="1440" w:gutter="0" w:footer="0" w:header="0"/>
        </w:sectPr>
      </w:pPr>
    </w:p>
    <w:bookmarkStart w:id="5" w:name="page6"/>
    <w:bookmarkEnd w:id="5"/>
    <w:p>
      <w:pPr>
        <w:ind w:right="580"/>
        <w:spacing w:after="0" w:line="246" w:lineRule="auto"/>
        <w:rPr>
          <w:sz w:val="20"/>
          <w:szCs w:val="20"/>
          <w:color w:val="auto"/>
        </w:rPr>
      </w:pPr>
      <w:r>
        <w:rPr>
          <w:rFonts w:ascii="Arial" w:cs="Arial" w:eastAsia="Arial" w:hAnsi="Arial"/>
          <w:sz w:val="18"/>
          <w:szCs w:val="18"/>
          <w:color w:val="auto"/>
        </w:rPr>
        <w:t>following the conclusion of the live broadcast and will be accessible on the company’s website at https://investor.veracyte.com/events-presentations.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can be accessed as follows:</w:t>
      </w:r>
    </w:p>
    <w:p>
      <w:pPr>
        <w:spacing w:after="0" w:line="387" w:lineRule="exact"/>
        <w:rPr>
          <w:sz w:val="20"/>
          <w:szCs w:val="20"/>
          <w:color w:val="auto"/>
        </w:rPr>
      </w:pPr>
    </w:p>
    <w:tbl>
      <w:tblPr>
        <w:tblLayout w:type="fixed"/>
        <w:tblInd w:w="1580" w:type="dxa"/>
        <w:tblCellMar>
          <w:top w:w="0" w:type="dxa"/>
          <w:left w:w="0" w:type="dxa"/>
          <w:bottom w:w="0" w:type="dxa"/>
          <w:right w:w="0" w:type="dxa"/>
        </w:tblCellMar>
      </w:tblPr>
      <w:tr>
        <w:trPr>
          <w:trHeight w:val="217"/>
        </w:trPr>
        <w:tc>
          <w:tcPr>
            <w:tcW w:w="4920" w:type="dxa"/>
            <w:vAlign w:val="bottom"/>
          </w:tcPr>
          <w:p>
            <w:pPr>
              <w:spacing w:after="0"/>
              <w:rPr>
                <w:sz w:val="20"/>
                <w:szCs w:val="20"/>
                <w:color w:val="auto"/>
              </w:rPr>
            </w:pPr>
            <w:r>
              <w:rPr>
                <w:rFonts w:ascii="Arial" w:cs="Arial" w:eastAsia="Arial" w:hAnsi="Arial"/>
                <w:sz w:val="18"/>
                <w:szCs w:val="18"/>
                <w:color w:val="auto"/>
              </w:rPr>
              <w:t>U.S./Canada participant dial-in number (toll-free):</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(855) 541-0980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International participant dial-in number:</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(970) 315-0440</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Conference I.D.:</w:t>
            </w:r>
          </w:p>
        </w:tc>
        <w:tc>
          <w:tcPr>
            <w:tcW w:w="2240" w:type="dxa"/>
            <w:vAlign w:val="bottom"/>
          </w:tcPr>
          <w:p>
            <w:pPr>
              <w:ind w:left="1020"/>
              <w:spacing w:after="0"/>
              <w:rPr>
                <w:sz w:val="20"/>
                <w:szCs w:val="20"/>
                <w:color w:val="auto"/>
              </w:rPr>
            </w:pPr>
            <w:r>
              <w:rPr>
                <w:rFonts w:ascii="Arial" w:cs="Arial" w:eastAsia="Arial" w:hAnsi="Arial"/>
                <w:sz w:val="18"/>
                <w:szCs w:val="18"/>
                <w:color w:val="auto"/>
              </w:rPr>
              <w:t>2846256</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lung cancer, prostate cancer, breast cancer, thyroid cancer, bladder cancer and idiopathic pulmonary fibrosis are available to patients and its lymphoma subtyping and renal cancer tests are in development. With Veracyte’s exclusive global license to a best-in-class diagnostics instrument platform, the company is positioned to deliver its tests to patients worldwide. Veracyte is based in South San Francisco, California. For more information, please visit www.veracyte.com and follow the company on Twitter (@veracyte).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expected financial results for 2021 and our plans, objectives, expectations (financial and otherwise) or intentions with respect to our Prosigna, Afirma, Percepta, Envisia, LymphMark, Decipher Prostate, Percepta Nasal Swab, Percepta Genomic Atlas and Envisia Classifier test and products for use in diagnosing and treating diseases, our expectations regarding Medicare coverage, and our commercial organization.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Veracyte’s ability to launch, commercialize and receive reimbursement for our products, to successfully integrate the Decipher Biosciences business and execute on our business plans; and the performance and utility of Veracyte’s tests in the clinical environment. Additional factors that may impact these forward-looking statements can be found under the caption “Risk Factors” in our Annual Report on Form 10-K filed with the SEC on February 22, 2021 and our subsequent quarterly reports on Form 10-Q. A copy of these documents can be found at the Investors section of our website at www.veracyte.com. The risks and uncertainties may be amplified by the COVID-19 pandemic, which has caused significant economic uncertainty. The extent to which the COVID-19 pandemic impacts Veracyte’s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These forward-looking statements speak only as of the date hereof and, except as required by law, Veracyte specifically disclaims any obligation to update these forward-looking statements or reasons why actual results might differ, whether as a result of new information, future events or otherwise.</w:t>
      </w:r>
    </w:p>
    <w:p>
      <w:pPr>
        <w:spacing w:after="0" w:line="24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Veracyte, Afirma, Percepta, Envisia, Prosigna, "Know by Design" and the Veracyte, Afirma, Percepta, Envisia, Prosigna and Decipher logos are registered trademarks of Veracyte in the U.S. and selected countries. Decipher Biopsy, Decipher RP, Decipher Bladder and Decipher GRID are trademarks of Decipher Biosciences. Veracyte has common law rights and pending trademark applications for LymphMark and “More About You.”</w:t>
      </w:r>
    </w:p>
    <w:p>
      <w:pPr>
        <w:spacing w:after="0" w:line="23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nCounter is the registered trademark of NanoString Technologies, Inc. in the United States and other countries and used by Veracyte under license.</w:t>
      </w:r>
    </w:p>
    <w:p>
      <w:pPr>
        <w:sectPr>
          <w:pgSz w:w="11900" w:h="16838" w:orient="portrait"/>
          <w:cols w:equalWidth="0" w:num="1">
            <w:col w:w="11220"/>
          </w:cols>
          <w:pgMar w:left="320" w:top="908"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9"/>
              </w:rPr>
              <w:t>Three Months Ended March 31,</w:t>
            </w:r>
          </w:p>
        </w:tc>
      </w:tr>
      <w:tr>
        <w:trPr>
          <w:trHeight w:val="236"/>
        </w:trPr>
        <w:tc>
          <w:tcPr>
            <w:tcW w:w="6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Testing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33,078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26,991</w:t>
            </w:r>
          </w:p>
        </w:tc>
      </w:tr>
      <w:tr>
        <w:trPr>
          <w:trHeight w:val="230"/>
        </w:trPr>
        <w:tc>
          <w:tcPr>
            <w:tcW w:w="684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3,409</w:t>
            </w: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Biopharmaceutical revenue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23"/>
        </w:trPr>
        <w:tc>
          <w:tcPr>
            <w:tcW w:w="68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31,122</w:t>
            </w:r>
          </w:p>
        </w:tc>
      </w:tr>
      <w:tr>
        <w:trPr>
          <w:trHeight w:val="486"/>
        </w:trPr>
        <w:tc>
          <w:tcPr>
            <w:tcW w:w="68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Cost of testing revenue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10,568</w:t>
            </w: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1,559</w:t>
            </w:r>
          </w:p>
        </w:tc>
      </w:tr>
      <w:tr>
        <w:trPr>
          <w:trHeight w:val="230"/>
        </w:trPr>
        <w:tc>
          <w:tcPr>
            <w:tcW w:w="6840" w:type="dxa"/>
            <w:vAlign w:val="bottom"/>
          </w:tcPr>
          <w:p>
            <w:pPr>
              <w:ind w:left="120"/>
              <w:spacing w:after="0"/>
              <w:rPr>
                <w:sz w:val="20"/>
                <w:szCs w:val="20"/>
                <w:color w:val="auto"/>
              </w:rPr>
            </w:pPr>
            <w:r>
              <w:rPr>
                <w:rFonts w:ascii="Arial" w:cs="Arial" w:eastAsia="Arial" w:hAnsi="Arial"/>
                <w:sz w:val="18"/>
                <w:szCs w:val="18"/>
                <w:color w:val="auto"/>
              </w:rPr>
              <w:t>Cost of biopharmaceutical revenue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4,407</w:t>
            </w:r>
          </w:p>
        </w:tc>
      </w:tr>
      <w:tr>
        <w:trPr>
          <w:trHeight w:val="230"/>
        </w:trPr>
        <w:tc>
          <w:tcPr>
            <w:tcW w:w="684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17,584</w:t>
            </w: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7,813</w:t>
            </w:r>
          </w:p>
        </w:tc>
      </w:tr>
      <w:tr>
        <w:trPr>
          <w:trHeight w:val="229"/>
        </w:trPr>
        <w:tc>
          <w:tcPr>
            <w:tcW w:w="684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r>
      <w:tr>
        <w:trPr>
          <w:trHeight w:val="223"/>
        </w:trPr>
        <w:tc>
          <w:tcPr>
            <w:tcW w:w="68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82,118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43,322</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(12,200)</w:t>
            </w: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Other (loss) income, net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(11,716)</w:t>
            </w: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(11,716)</w:t>
            </w: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63,331,702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49,792,631</w:t>
            </w: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660"/>
          </w:cols>
          <w:pgMar w:left="1120" w:top="1043" w:right="11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March 31, 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(Unaudited)</w:t>
            </w:r>
          </w:p>
        </w:tc>
        <w:tc>
          <w:tcPr>
            <w:tcW w:w="200" w:type="dxa"/>
            <w:vAlign w:val="bottom"/>
          </w:tcPr>
          <w:p>
            <w:pPr>
              <w:spacing w:after="0"/>
              <w:rPr>
                <w:sz w:val="19"/>
                <w:szCs w:val="19"/>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(See Note 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324,062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349,364</w:t>
            </w:r>
          </w:p>
        </w:tc>
        <w:tc>
          <w:tcPr>
            <w:tcW w:w="0" w:type="dxa"/>
            <w:vAlign w:val="bottom"/>
          </w:tcPr>
          <w:p>
            <w:pPr>
              <w:spacing w:after="0"/>
              <w:rPr>
                <w:sz w:val="1"/>
                <w:szCs w:val="1"/>
                <w:color w:val="auto"/>
              </w:rPr>
            </w:pPr>
          </w:p>
        </w:tc>
      </w:tr>
      <w:tr>
        <w:trPr>
          <w:trHeight w:val="230"/>
        </w:trPr>
        <w:tc>
          <w:tcPr>
            <w:tcW w:w="66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18,461</w:t>
            </w: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Supplies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362,092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375,679</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Right-of-use assets - operating lease</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159,423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59,924</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474,838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457,163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30"/>
        </w:trPr>
        <w:tc>
          <w:tcPr>
            <w:tcW w:w="66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6600" w:type="dxa"/>
            <w:vAlign w:val="bottom"/>
          </w:tcPr>
          <w:p>
            <w:pPr>
              <w:ind w:left="160"/>
              <w:spacing w:after="0"/>
              <w:rPr>
                <w:sz w:val="20"/>
                <w:szCs w:val="20"/>
                <w:color w:val="auto"/>
              </w:rPr>
            </w:pPr>
            <w:r>
              <w:rPr>
                <w:rFonts w:ascii="Arial" w:cs="Arial" w:eastAsia="Arial" w:hAnsi="Arial"/>
                <w:sz w:val="18"/>
                <w:szCs w:val="18"/>
                <w:color w:val="auto"/>
              </w:rPr>
              <w:t>Current portion of acquisition related contingent consideration</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23"/>
        </w:trPr>
        <w:tc>
          <w:tcPr>
            <w:tcW w:w="66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50,905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35,931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974,231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421,232</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457,163</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40" w:firstLine="1"/>
        <w:spacing w:after="0" w:line="227"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condensed balance sheet at December 31, 2020 has been derived from the audited financial statements at that date included in the Company's Form 10-K filed with the Securities and Exchange Commission dated February 22, 2021.</w:t>
      </w:r>
    </w:p>
    <w:p>
      <w:pPr>
        <w:sectPr>
          <w:pgSz w:w="11900" w:h="16838" w:orient="portrait"/>
          <w:cols w:equalWidth="0" w:num="1">
            <w:col w:w="10940"/>
          </w:cols>
          <w:pgMar w:left="480" w:top="1043" w:right="479" w:bottom="1440" w:gutter="0" w:footer="0" w:header="0"/>
        </w:sectPr>
      </w:pPr>
    </w:p>
    <w:bookmarkStart w:id="8" w:name="page9"/>
    <w:bookmarkEnd w:id="8"/>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VERACYTE,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(41,868)</w:t>
            </w:r>
          </w:p>
        </w:tc>
        <w:tc>
          <w:tcPr>
            <w:tcW w:w="14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(11,716)</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Benefit from income taxes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Interest on end-of-term debt obligations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Write-down of excess supplies</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Supplies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0"/>
        </w:trPr>
        <w:tc>
          <w:tcPr>
            <w:tcW w:w="62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56"/>
        </w:trPr>
        <w:tc>
          <w:tcPr>
            <w:tcW w:w="620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(40,561)</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Arial" w:cs="Arial" w:eastAsia="Arial" w:hAnsi="Arial"/>
                <w:sz w:val="18"/>
                <w:szCs w:val="18"/>
                <w:color w:val="auto"/>
              </w:rPr>
              <w:t>Acquisition of business, net of cash acquired</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(574,411)</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(575,607)</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issuance costs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593,821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(6,774)</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591,012</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(25,156)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349,967</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159,920</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324,811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153,735</w:t>
            </w:r>
          </w:p>
        </w:tc>
        <w:tc>
          <w:tcPr>
            <w:tcW w:w="0" w:type="dxa"/>
            <w:vAlign w:val="bottom"/>
          </w:tcPr>
          <w:p>
            <w:pPr>
              <w:spacing w:after="0"/>
              <w:rPr>
                <w:sz w:val="1"/>
                <w:szCs w:val="1"/>
                <w:color w:val="auto"/>
              </w:rPr>
            </w:pPr>
          </w:p>
        </w:tc>
      </w:tr>
      <w:tr>
        <w:trPr>
          <w:trHeight w:val="21"/>
        </w:trPr>
        <w:tc>
          <w:tcPr>
            <w:tcW w:w="620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6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accrued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6"/>
        </w:trPr>
        <w:tc>
          <w:tcPr>
            <w:tcW w:w="6200" w:type="dxa"/>
            <w:vAlign w:val="bottom"/>
          </w:tcPr>
          <w:p>
            <w:pPr>
              <w:spacing w:after="0"/>
              <w:rPr>
                <w:sz w:val="20"/>
                <w:szCs w:val="20"/>
                <w:color w:val="auto"/>
              </w:rPr>
            </w:pPr>
            <w:r>
              <w:rPr>
                <w:rFonts w:ascii="Arial" w:cs="Arial" w:eastAsia="Arial" w:hAnsi="Arial"/>
                <w:sz w:val="18"/>
                <w:szCs w:val="18"/>
                <w:color w:val="auto"/>
              </w:rPr>
              <w:t>Interest paid on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9220"/>
          </w:cols>
          <w:pgMar w:left="1340" w:top="1440" w:right="1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CASH, CASH EQUIVALENTS AND RESTRICTED CASH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December 31,</w:t>
            </w:r>
          </w:p>
        </w:tc>
      </w:tr>
      <w:tr>
        <w:trPr>
          <w:trHeight w:val="217"/>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2020</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324,062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349,364</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349,967</w:t>
            </w:r>
          </w:p>
        </w:tc>
      </w:tr>
      <w:tr>
        <w:trPr>
          <w:trHeight w:val="21"/>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29" w:lineRule="auto"/>
        <w:rPr>
          <w:sz w:val="20"/>
          <w:szCs w:val="20"/>
          <w:color w:val="auto"/>
        </w:rPr>
      </w:pPr>
      <w:r>
        <w:rPr>
          <w:rFonts w:ascii="Arial" w:cs="Arial" w:eastAsia="Arial" w:hAnsi="Arial"/>
          <w:sz w:val="18"/>
          <w:szCs w:val="18"/>
          <w:color w:val="auto"/>
        </w:rPr>
        <w:t>Vice President of Corporate Communications</w:t>
      </w:r>
    </w:p>
    <w:p>
      <w:pPr>
        <w:spacing w:after="0" w:line="1" w:lineRule="exact"/>
        <w:rPr>
          <w:sz w:val="20"/>
          <w:szCs w:val="20"/>
          <w:color w:val="auto"/>
        </w:rPr>
      </w:pPr>
    </w:p>
    <w:p>
      <w:pPr>
        <w:ind w:right="9020" w:firstLine="8"/>
        <w:spacing w:after="0" w:line="270" w:lineRule="auto"/>
        <w:tabs>
          <w:tab w:leader="none" w:pos="17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Investor Relations 650-380-4413 tracy.morris@veracyte.com</w:t>
      </w:r>
    </w:p>
    <w:sectPr>
      <w:pgSz w:w="11900" w:h="16838" w:orient="portrait"/>
      <w:cols w:equalWidth="0" w:num="1">
        <w:col w:w="11200"/>
      </w:cols>
      <w:pgMar w:left="320" w:top="12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2021-05-10T15:27:31Z</dcterms:created>
  <dcterms:modified xsi:type="dcterms:W3CDTF">2021-05-10T15:27:31Z</dcterms:modified>
</cp:coreProperties>
</file>