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Leite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Chief Commercial Officer-CLIA</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09/02/2025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2,902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30.11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91,638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to satisfy the Reporting Person's tax withholding obligations in connection with the vesting of certain restricted stock units on September 2, 2025 and does not represent a sale.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09/04/2025</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1536"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2025-09-04T16:15:17Z</dcterms:created>
  <dcterms:modified xsi:type="dcterms:W3CDTF">2025-09-04T16:15:17Z</dcterms:modified>
</cp:coreProperties>
</file>