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-598170</wp:posOffset>
            </wp:positionV>
            <wp:extent cx="8255" cy="59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-606425</wp:posOffset>
            </wp:positionV>
            <wp:extent cx="825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-582295</wp:posOffset>
            </wp:positionV>
            <wp:extent cx="1270635" cy="55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55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853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85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480"/>
          </w:cols>
          <w:pgMar w:left="460" w:top="220" w:right="3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Anderson Bonnie H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4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3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33"/>
          </w:cols>
          <w:pgMar w:left="460" w:top="220" w:right="3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1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1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292,207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06/10/2020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26.563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272,207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99,085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-1710690</wp:posOffset>
            </wp:positionV>
            <wp:extent cx="6969760" cy="2145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214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Anderson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Living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0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Trust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54610</wp:posOffset>
            </wp:positionV>
            <wp:extent cx="7034530" cy="1910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20,000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02/04/2023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26,853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2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$26.15 to $27.01. Detailed information regarding the number of shares sold at each separate price will be provided to the SEC, the issuer or a shareholder upon request.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February 5, 2013, the Reporting Person was issued 3 stock options which have different vesting dates, all of which are vested. These options include: (1) 112,500, of which 25,000 options remain, (2) 12,500, of which none remain and (3) 24,112, of which 20,000 were exercised on 6/10/2020 and 1,853 remain.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are fully vested.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/s/ Keith Kennedy as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06/11/2020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220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2020-06-11T18:24:02Z</dcterms:created>
  <dcterms:modified xsi:type="dcterms:W3CDTF">2020-06-11T18:24:02Z</dcterms:modified>
</cp:coreProperties>
</file>