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333-205204</w:t>
      </w:r>
    </w:p>
    <w:p>
      <w:pPr>
        <w:spacing w:after="0" w:line="213" w:lineRule="exact"/>
        <w:rPr>
          <w:sz w:val="24"/>
          <w:szCs w:val="24"/>
          <w:color w:val="auto"/>
        </w:rPr>
      </w:pPr>
    </w:p>
    <w:p>
      <w:pPr>
        <w:spacing w:after="0" w:line="262" w:lineRule="auto"/>
        <w:rPr>
          <w:sz w:val="20"/>
          <w:szCs w:val="20"/>
          <w:color w:val="auto"/>
        </w:rPr>
      </w:pPr>
      <w:r>
        <w:rPr>
          <w:rFonts w:ascii="Arial" w:cs="Arial" w:eastAsia="Arial" w:hAnsi="Arial"/>
          <w:sz w:val="18"/>
          <w:szCs w:val="18"/>
          <w:b w:val="1"/>
          <w:bCs w:val="1"/>
          <w:color w:val="EF505F"/>
        </w:rPr>
        <w:t>The information contained in this preliminary prospectus supplement is not complete and may be changed. This preliminary prospectus supplement and the accompanying prospectus are not an offer to sell nor do they seek an offer to buy these securities in any jurisdiction where such offer or sale is not permitted.</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EF505F"/>
        </w:rPr>
        <w:t>Subject to completion, dated November 1,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July 10, 2015)</w:t>
      </w:r>
    </w:p>
    <w:p>
      <w:pPr>
        <w:spacing w:after="0" w:line="199" w:lineRule="exact"/>
        <w:rPr>
          <w:sz w:val="24"/>
          <w:szCs w:val="24"/>
          <w:color w:val="auto"/>
        </w:rPr>
      </w:pPr>
    </w:p>
    <w:p>
      <w:pPr>
        <w:ind w:left="610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160020</wp:posOffset>
            </wp:positionV>
            <wp:extent cx="1800860" cy="831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tabs>
          <w:tab w:leader="none" w:pos="2140" w:val="left"/>
        </w:tabs>
        <w:rPr>
          <w:sz w:val="20"/>
          <w:szCs w:val="20"/>
          <w:color w:val="auto"/>
        </w:rPr>
      </w:pPr>
      <w:r>
        <w:rPr>
          <w:rFonts w:ascii="Arial" w:cs="Arial" w:eastAsia="Arial" w:hAnsi="Arial"/>
          <w:sz w:val="18"/>
          <w:szCs w:val="18"/>
          <w:color w:val="auto"/>
        </w:rPr>
        <w:t>We are offering</w:t>
      </w:r>
      <w:r>
        <w:rPr>
          <w:sz w:val="20"/>
          <w:szCs w:val="20"/>
          <w:color w:val="auto"/>
        </w:rPr>
        <w:tab/>
      </w:r>
      <w:r>
        <w:rPr>
          <w:rFonts w:ascii="Arial" w:cs="Arial" w:eastAsia="Arial" w:hAnsi="Arial"/>
          <w:sz w:val="15"/>
          <w:szCs w:val="15"/>
          <w:color w:val="auto"/>
        </w:rPr>
        <w:t>shares of our common stock.</w:t>
      </w:r>
    </w:p>
    <w:p>
      <w:pPr>
        <w:spacing w:after="0" w:line="225" w:lineRule="exact"/>
        <w:rPr>
          <w:sz w:val="24"/>
          <w:szCs w:val="24"/>
          <w:color w:val="auto"/>
        </w:rPr>
      </w:pPr>
    </w:p>
    <w:p>
      <w:pPr>
        <w:ind w:right="540"/>
        <w:spacing w:after="0" w:line="268" w:lineRule="auto"/>
        <w:rPr>
          <w:sz w:val="20"/>
          <w:szCs w:val="20"/>
          <w:color w:val="auto"/>
        </w:rPr>
      </w:pPr>
      <w:r>
        <w:rPr>
          <w:rFonts w:ascii="Arial" w:cs="Arial" w:eastAsia="Arial" w:hAnsi="Arial"/>
          <w:sz w:val="18"/>
          <w:szCs w:val="18"/>
          <w:color w:val="auto"/>
        </w:rPr>
        <w:t>Our common stock is listed on The NASDAQ Global Market under the symbol "VCYT." On October 31, 2016, the last reported sale price of our shares of common stock on The NASDAQ Global Market was $7.26 per share.</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We are an emerging growth company under the federal securities laws and are subject to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right="180"/>
        <w:spacing w:after="0" w:line="256" w:lineRule="auto"/>
        <w:rPr>
          <w:sz w:val="20"/>
          <w:szCs w:val="20"/>
          <w:color w:val="auto"/>
        </w:rPr>
      </w:pPr>
      <w:r>
        <w:rPr>
          <w:rFonts w:ascii="Arial" w:cs="Arial" w:eastAsia="Arial" w:hAnsi="Arial"/>
          <w:sz w:val="22"/>
          <w:szCs w:val="22"/>
          <w:b w:val="1"/>
          <w:bCs w:val="1"/>
          <w:color w:val="auto"/>
        </w:rPr>
        <w:t>Investing in our common stock involves a high degree of risk. See "Risk Factors" beginning on page S-5 of this prospectus supplement.</w:t>
      </w:r>
    </w:p>
    <w:p>
      <w:pPr>
        <w:spacing w:after="0" w:line="231" w:lineRule="exact"/>
        <w:rPr>
          <w:sz w:val="24"/>
          <w:szCs w:val="24"/>
          <w:color w:val="auto"/>
        </w:rPr>
      </w:pPr>
    </w:p>
    <w:tbl>
      <w:tblPr>
        <w:tblLayout w:type="fixed"/>
        <w:tblInd w:w="2300" w:type="dxa"/>
        <w:tblCellMar>
          <w:top w:w="0" w:type="dxa"/>
          <w:left w:w="0" w:type="dxa"/>
          <w:bottom w:w="0" w:type="dxa"/>
          <w:right w:w="0" w:type="dxa"/>
        </w:tblCellMar>
      </w:tblPr>
      <w:tr>
        <w:trPr>
          <w:trHeight w:val="161"/>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Public offering price</w:t>
            </w:r>
          </w:p>
        </w:tc>
        <w:tc>
          <w:tcPr>
            <w:tcW w:w="2080" w:type="dxa"/>
            <w:vAlign w:val="bottom"/>
          </w:tcPr>
          <w:p>
            <w:pPr>
              <w:spacing w:after="0"/>
              <w:rPr>
                <w:sz w:val="14"/>
                <w:szCs w:val="1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7"/>
              </w:rPr>
              <w:t>Per Share</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5200" w:type="dxa"/>
            <w:vAlign w:val="bottom"/>
            <w:gridSpan w:val="2"/>
            <w:vMerge w:val="continue"/>
          </w:tcPr>
          <w:p>
            <w:pPr>
              <w:spacing w:after="0"/>
              <w:rPr>
                <w:sz w:val="17"/>
                <w:szCs w:val="17"/>
                <w:color w:val="auto"/>
              </w:rPr>
            </w:pPr>
          </w:p>
        </w:tc>
        <w:tc>
          <w:tcPr>
            <w:tcW w:w="2080" w:type="dxa"/>
            <w:vAlign w:val="bottom"/>
          </w:tcPr>
          <w:p>
            <w:pPr>
              <w:spacing w:after="0"/>
              <w:rPr>
                <w:sz w:val="17"/>
                <w:szCs w:val="17"/>
                <w:color w:val="auto"/>
              </w:rPr>
            </w:pPr>
          </w:p>
        </w:tc>
        <w:tc>
          <w:tcPr>
            <w:tcW w:w="760" w:type="dxa"/>
            <w:vAlign w:val="bottom"/>
          </w:tcPr>
          <w:p>
            <w:pPr>
              <w:jc w:val="right"/>
              <w:ind w:right="582"/>
              <w:spacing w:after="0" w:line="201"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760" w:type="dxa"/>
            <w:vAlign w:val="bottom"/>
          </w:tcPr>
          <w:p>
            <w:pPr>
              <w:jc w:val="right"/>
              <w:ind w:right="608"/>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commissions(1)</w:t>
            </w:r>
          </w:p>
        </w:tc>
        <w:tc>
          <w:tcPr>
            <w:tcW w:w="2840" w:type="dxa"/>
            <w:vAlign w:val="bottom"/>
            <w:gridSpan w:val="2"/>
          </w:tcPr>
          <w:p>
            <w:pPr>
              <w:jc w:val="right"/>
              <w:ind w:right="58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Proceeds, before expenses, to us</w:t>
            </w:r>
          </w:p>
        </w:tc>
        <w:tc>
          <w:tcPr>
            <w:tcW w:w="2840" w:type="dxa"/>
            <w:vAlign w:val="bottom"/>
            <w:gridSpan w:val="2"/>
          </w:tcPr>
          <w:p>
            <w:pPr>
              <w:jc w:val="right"/>
              <w:ind w:right="58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400" w:type="dxa"/>
            <w:vAlign w:val="bottom"/>
            <w:tcBorders>
              <w:bottom w:val="single" w:sz="8" w:color="auto"/>
            </w:tcBorders>
          </w:tcPr>
          <w:p>
            <w:pPr>
              <w:spacing w:after="0"/>
              <w:rPr>
                <w:sz w:val="9"/>
                <w:szCs w:val="9"/>
                <w:color w:val="auto"/>
              </w:rPr>
            </w:pPr>
          </w:p>
        </w:tc>
        <w:tc>
          <w:tcPr>
            <w:tcW w:w="28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4"/>
          <w:szCs w:val="24"/>
          <w:color w:val="auto"/>
        </w:rPr>
      </w:pPr>
    </w:p>
    <w:p>
      <w:pPr>
        <w:ind w:left="2840" w:hanging="550"/>
        <w:spacing w:after="0"/>
        <w:tabs>
          <w:tab w:leader="none" w:pos="284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"Underwriting" for additional disclosure regarding underwriting discounts, commissions and estimated offering expenses.</w:t>
      </w:r>
    </w:p>
    <w:p>
      <w:pPr>
        <w:spacing w:after="0" w:line="206" w:lineRule="exact"/>
        <w:rPr>
          <w:sz w:val="24"/>
          <w:szCs w:val="24"/>
          <w:color w:val="auto"/>
        </w:rPr>
      </w:pPr>
    </w:p>
    <w:p>
      <w:pPr>
        <w:spacing w:after="0"/>
        <w:tabs>
          <w:tab w:leader="none" w:pos="5460" w:val="left"/>
        </w:tabs>
        <w:rPr>
          <w:sz w:val="20"/>
          <w:szCs w:val="20"/>
          <w:color w:val="auto"/>
        </w:rPr>
      </w:pPr>
      <w:r>
        <w:rPr>
          <w:rFonts w:ascii="Arial" w:cs="Arial" w:eastAsia="Arial" w:hAnsi="Arial"/>
          <w:sz w:val="18"/>
          <w:szCs w:val="18"/>
          <w:color w:val="auto"/>
        </w:rPr>
        <w:t>We have to granted the underwriters the right to purchase up to</w:t>
      </w:r>
      <w:r>
        <w:rPr>
          <w:sz w:val="20"/>
          <w:szCs w:val="20"/>
          <w:color w:val="auto"/>
        </w:rPr>
        <w:tab/>
      </w:r>
      <w:r>
        <w:rPr>
          <w:rFonts w:ascii="Arial" w:cs="Arial" w:eastAsia="Arial" w:hAnsi="Arial"/>
          <w:sz w:val="15"/>
          <w:szCs w:val="15"/>
          <w:color w:val="auto"/>
        </w:rPr>
        <w:t>additional shares of our common stock. The underwriters may exercise this right at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any time within 30 days after the date of this prospectus supplement.</w:t>
      </w:r>
    </w:p>
    <w:p>
      <w:pPr>
        <w:spacing w:after="0" w:line="219" w:lineRule="exact"/>
        <w:rPr>
          <w:sz w:val="24"/>
          <w:szCs w:val="24"/>
          <w:color w:val="auto"/>
        </w:rPr>
      </w:pPr>
    </w:p>
    <w:p>
      <w:pPr>
        <w:spacing w:after="0"/>
        <w:tabs>
          <w:tab w:leader="none" w:pos="9240" w:val="left"/>
        </w:tabs>
        <w:rPr>
          <w:sz w:val="20"/>
          <w:szCs w:val="20"/>
          <w:color w:val="auto"/>
        </w:rPr>
      </w:pPr>
      <w:r>
        <w:rPr>
          <w:rFonts w:ascii="Arial" w:cs="Arial" w:eastAsia="Arial" w:hAnsi="Arial"/>
          <w:sz w:val="18"/>
          <w:szCs w:val="18"/>
          <w:color w:val="auto"/>
        </w:rPr>
        <w:t>The underwriters expect to deliver the shares of common stock against payment in New York, New York on or about</w:t>
      </w:r>
      <w:r>
        <w:rPr>
          <w:sz w:val="20"/>
          <w:szCs w:val="20"/>
          <w:color w:val="auto"/>
        </w:rPr>
        <w:tab/>
      </w:r>
      <w:r>
        <w:rPr>
          <w:rFonts w:ascii="Arial" w:cs="Arial" w:eastAsia="Arial" w:hAnsi="Arial"/>
          <w:sz w:val="15"/>
          <w:szCs w:val="15"/>
          <w:color w:val="auto"/>
        </w:rPr>
        <w:t>, 2016.</w:t>
      </w:r>
    </w:p>
    <w:p>
      <w:pPr>
        <w:spacing w:after="0" w:line="219" w:lineRule="exact"/>
        <w:rPr>
          <w:sz w:val="24"/>
          <w:szCs w:val="24"/>
          <w:color w:val="auto"/>
        </w:rPr>
      </w:pPr>
    </w:p>
    <w:p>
      <w:pPr>
        <w:ind w:right="260"/>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75565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Sole Book-Running Manager</w:t>
      </w:r>
    </w:p>
    <w:p>
      <w:pPr>
        <w:sectPr>
          <w:pgSz w:w="11900" w:h="16838" w:orient="portrait"/>
          <w:cols w:equalWidth="0" w:num="1">
            <w:col w:w="11420"/>
          </w:cols>
          <w:pgMar w:left="240" w:top="685" w:right="239" w:bottom="459" w:gutter="0" w:footer="0" w:header="0"/>
        </w:sectPr>
      </w:pP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Leerink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174625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ectPr>
          <w:pgSz w:w="11900" w:h="16838" w:orient="portrait"/>
          <w:cols w:equalWidth="0" w:num="1">
            <w:col w:w="11420"/>
          </w:cols>
          <w:pgMar w:left="240" w:top="685" w:right="239" w:bottom="45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i w:val="1"/>
          <w:iCs w:val="1"/>
          <w:color w:val="auto"/>
        </w:rPr>
        <w:t>Lead Manager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BTIG</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20" w:type="dxa"/>
            <w:vAlign w:val="bottom"/>
          </w:tcPr>
          <w:p>
            <w:pPr>
              <w:ind w:left="3400"/>
              <w:spacing w:after="0"/>
              <w:rPr>
                <w:sz w:val="20"/>
                <w:szCs w:val="20"/>
                <w:color w:val="auto"/>
              </w:rPr>
            </w:pPr>
            <w:r>
              <w:rPr>
                <w:rFonts w:ascii="Arial" w:cs="Arial" w:eastAsia="Arial" w:hAnsi="Arial"/>
                <w:sz w:val="18"/>
                <w:szCs w:val="18"/>
                <w:b w:val="1"/>
                <w:bCs w:val="1"/>
                <w:color w:val="auto"/>
                <w:w w:val="99"/>
              </w:rPr>
              <w:t>The date of this prospectus supplement is</w:t>
            </w:r>
          </w:p>
        </w:tc>
        <w:tc>
          <w:tcPr>
            <w:tcW w:w="4400" w:type="dxa"/>
            <w:vAlign w:val="bottom"/>
          </w:tcPr>
          <w:p>
            <w:pPr>
              <w:jc w:val="right"/>
              <w:ind w:right="3312"/>
              <w:spacing w:after="0"/>
              <w:rPr>
                <w:sz w:val="20"/>
                <w:szCs w:val="20"/>
                <w:color w:val="auto"/>
              </w:rPr>
            </w:pPr>
            <w:r>
              <w:rPr>
                <w:rFonts w:ascii="Arial" w:cs="Arial" w:eastAsia="Arial" w:hAnsi="Arial"/>
                <w:sz w:val="18"/>
                <w:szCs w:val="18"/>
                <w:b w:val="1"/>
                <w:bCs w:val="1"/>
                <w:color w:val="auto"/>
              </w:rPr>
              <w:t>, 2016.</w:t>
            </w:r>
          </w:p>
        </w:tc>
      </w:tr>
      <w:tr>
        <w:trPr>
          <w:trHeight w:val="228"/>
        </w:trPr>
        <w:tc>
          <w:tcPr>
            <w:tcW w:w="702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340" w:type="dxa"/>
            <w:vAlign w:val="bottom"/>
            <w:gridSpan w:val="7"/>
          </w:tcPr>
          <w:p>
            <w:pPr>
              <w:jc w:val="center"/>
              <w:ind w:right="2820"/>
              <w:spacing w:after="0"/>
              <w:rPr>
                <w:sz w:val="20"/>
                <w:szCs w:val="20"/>
                <w:color w:val="auto"/>
              </w:rPr>
            </w:pPr>
            <w:r>
              <w:rPr>
                <w:rFonts w:ascii="Arial" w:cs="Arial" w:eastAsia="Arial" w:hAnsi="Arial"/>
                <w:sz w:val="18"/>
                <w:szCs w:val="18"/>
                <w:b w:val="1"/>
                <w:bCs w:val="1"/>
                <w:color w:val="auto"/>
                <w:w w:val="96"/>
              </w:rPr>
              <w:t>TABLE OF CONTENTS</w:t>
            </w:r>
          </w:p>
        </w:tc>
      </w:tr>
      <w:tr>
        <w:trPr>
          <w:trHeight w:val="42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77"/>
              </w:rPr>
              <w:t>Page</w:t>
            </w:r>
          </w:p>
        </w:tc>
      </w:tr>
      <w:tr>
        <w:trPr>
          <w:trHeight w:val="42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40" w:type="dxa"/>
            <w:vAlign w:val="bottom"/>
            <w:gridSpan w:val="7"/>
          </w:tcPr>
          <w:p>
            <w:pPr>
              <w:jc w:val="center"/>
              <w:ind w:right="2780"/>
              <w:spacing w:after="0"/>
              <w:rPr>
                <w:sz w:val="20"/>
                <w:szCs w:val="20"/>
                <w:color w:val="auto"/>
              </w:rPr>
            </w:pPr>
            <w:r>
              <w:rPr>
                <w:rFonts w:ascii="Arial" w:cs="Arial" w:eastAsia="Arial" w:hAnsi="Arial"/>
                <w:sz w:val="18"/>
                <w:szCs w:val="18"/>
                <w:b w:val="1"/>
                <w:bCs w:val="1"/>
                <w:color w:val="auto"/>
                <w:w w:val="85"/>
              </w:rPr>
              <w:t>Prospectus Supplement</w:t>
            </w:r>
          </w:p>
        </w:tc>
      </w:tr>
      <w:tr>
        <w:trPr>
          <w:trHeight w:val="394"/>
        </w:trPr>
        <w:tc>
          <w:tcPr>
            <w:tcW w:w="2500" w:type="dxa"/>
            <w:vAlign w:val="bottom"/>
            <w:tcBorders>
              <w:bottom w:val="single" w:sz="8" w:color="0000EE"/>
            </w:tcBorders>
            <w:gridSpan w:val="21"/>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About This Prospectus Supplement</w:t>
              </w:r>
            </w:hyperlink>
          </w:p>
        </w:tc>
        <w:tc>
          <w:tcPr>
            <w:tcW w:w="3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S-ii</w:t>
              </w:r>
            </w:hyperlink>
          </w:p>
        </w:tc>
      </w:tr>
      <w:tr>
        <w:trPr>
          <w:trHeight w:val="196"/>
        </w:trPr>
        <w:tc>
          <w:tcPr>
            <w:tcW w:w="2380" w:type="dxa"/>
            <w:vAlign w:val="bottom"/>
            <w:gridSpan w:val="19"/>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Prospectus Supplement Summary</w:t>
              </w:r>
            </w:hyperlink>
          </w:p>
        </w:tc>
        <w:tc>
          <w:tcPr>
            <w:tcW w:w="420" w:type="dxa"/>
            <w:vAlign w:val="bottom"/>
            <w:gridSpan w:val="3"/>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S-1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900" w:type="dxa"/>
            <w:vAlign w:val="bottom"/>
            <w:gridSpan w:val="3"/>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1480" w:type="dxa"/>
            <w:vAlign w:val="bottom"/>
            <w:gridSpan w:val="16"/>
          </w:tcPr>
          <w:p>
            <w:pPr>
              <w:spacing w:after="0"/>
              <w:rPr>
                <w:sz w:val="17"/>
                <w:szCs w:val="17"/>
                <w:color w:val="auto"/>
              </w:rPr>
            </w:pPr>
          </w:p>
        </w:tc>
        <w:tc>
          <w:tcPr>
            <w:tcW w:w="420" w:type="dxa"/>
            <w:vAlign w:val="bottom"/>
            <w:gridSpan w:val="3"/>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S-5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080" w:type="dxa"/>
            <w:vAlign w:val="bottom"/>
            <w:gridSpan w:val="15"/>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Forward-Looking Statements</w:t>
              </w:r>
            </w:hyperlink>
          </w:p>
        </w:tc>
        <w:tc>
          <w:tcPr>
            <w:tcW w:w="720" w:type="dxa"/>
            <w:vAlign w:val="bottom"/>
            <w:gridSpan w:val="7"/>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S-7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gridSpan w:val="8"/>
          </w:tcPr>
          <w:p>
            <w:pPr>
              <w:spacing w:after="0" w:line="19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Use of Proceeds</w:t>
              </w:r>
            </w:hyperlink>
          </w:p>
        </w:tc>
        <w:tc>
          <w:tcPr>
            <w:tcW w:w="920" w:type="dxa"/>
            <w:vAlign w:val="bottom"/>
            <w:gridSpan w:val="7"/>
          </w:tcPr>
          <w:p>
            <w:pPr>
              <w:spacing w:after="0"/>
              <w:rPr>
                <w:sz w:val="17"/>
                <w:szCs w:val="17"/>
                <w:color w:val="auto"/>
              </w:rPr>
            </w:pPr>
          </w:p>
        </w:tc>
        <w:tc>
          <w:tcPr>
            <w:tcW w:w="720" w:type="dxa"/>
            <w:vAlign w:val="bottom"/>
            <w:gridSpan w:val="7"/>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S-9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Dilution</w:t>
              </w:r>
            </w:hyperlink>
          </w:p>
        </w:tc>
        <w:tc>
          <w:tcPr>
            <w:tcW w:w="560" w:type="dxa"/>
            <w:vAlign w:val="bottom"/>
            <w:gridSpan w:val="6"/>
          </w:tcPr>
          <w:p>
            <w:pPr>
              <w:spacing w:after="0"/>
              <w:rPr>
                <w:sz w:val="17"/>
                <w:szCs w:val="17"/>
                <w:color w:val="auto"/>
              </w:rPr>
            </w:pPr>
          </w:p>
        </w:tc>
        <w:tc>
          <w:tcPr>
            <w:tcW w:w="1640" w:type="dxa"/>
            <w:vAlign w:val="bottom"/>
            <w:gridSpan w:val="14"/>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4"/>
              </w:rPr>
            </w:pPr>
            <w:hyperlink w:anchor="page14">
              <w:r>
                <w:rPr>
                  <w:rFonts w:ascii="Arial" w:cs="Arial" w:eastAsia="Arial" w:hAnsi="Arial"/>
                  <w:sz w:val="18"/>
                  <w:szCs w:val="18"/>
                  <w:color w:val="0000EE"/>
                  <w:w w:val="84"/>
                </w:rPr>
                <w:t>S-10</w:t>
              </w:r>
            </w:hyperlink>
          </w:p>
        </w:tc>
      </w:tr>
      <w:tr>
        <w:trPr>
          <w:trHeight w:val="196"/>
        </w:trPr>
        <w:tc>
          <w:tcPr>
            <w:tcW w:w="22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Price Range of Common Stock</w:t>
              </w:r>
            </w:hyperlink>
          </w:p>
        </w:tc>
        <w:tc>
          <w:tcPr>
            <w:tcW w:w="600" w:type="dxa"/>
            <w:vAlign w:val="bottom"/>
            <w:gridSpan w:val="4"/>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78"/>
              </w:rPr>
            </w:pPr>
            <w:hyperlink w:anchor="page15">
              <w:r>
                <w:rPr>
                  <w:rFonts w:ascii="Arial" w:cs="Arial" w:eastAsia="Arial" w:hAnsi="Arial"/>
                  <w:sz w:val="18"/>
                  <w:szCs w:val="18"/>
                  <w:color w:val="0000EE"/>
                  <w:w w:val="78"/>
                </w:rPr>
                <w:t>S-11</w:t>
              </w:r>
            </w:hyperlink>
          </w:p>
        </w:tc>
      </w:tr>
      <w:tr>
        <w:trPr>
          <w:trHeight w:val="196"/>
        </w:trPr>
        <w:tc>
          <w:tcPr>
            <w:tcW w:w="118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Dividend Policy</w:t>
              </w:r>
            </w:hyperlink>
          </w:p>
        </w:tc>
        <w:tc>
          <w:tcPr>
            <w:tcW w:w="1620" w:type="dxa"/>
            <w:vAlign w:val="bottom"/>
            <w:gridSpan w:val="13"/>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78"/>
              </w:rPr>
            </w:pPr>
            <w:hyperlink w:anchor="page15">
              <w:r>
                <w:rPr>
                  <w:rFonts w:ascii="Arial" w:cs="Arial" w:eastAsia="Arial" w:hAnsi="Arial"/>
                  <w:sz w:val="18"/>
                  <w:szCs w:val="18"/>
                  <w:color w:val="0000EE"/>
                  <w:w w:val="78"/>
                </w:rPr>
                <w:t>S-11</w:t>
              </w:r>
            </w:hyperlink>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Underwriting</w:t>
              </w:r>
            </w:hyperlink>
          </w:p>
        </w:tc>
        <w:tc>
          <w:tcPr>
            <w:tcW w:w="1840" w:type="dxa"/>
            <w:vAlign w:val="bottom"/>
            <w:gridSpan w:val="18"/>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4"/>
              </w:rPr>
            </w:pPr>
            <w:hyperlink w:anchor="page16">
              <w:r>
                <w:rPr>
                  <w:rFonts w:ascii="Arial" w:cs="Arial" w:eastAsia="Arial" w:hAnsi="Arial"/>
                  <w:sz w:val="18"/>
                  <w:szCs w:val="18"/>
                  <w:color w:val="0000EE"/>
                  <w:w w:val="84"/>
                </w:rPr>
                <w:t>S-12</w:t>
              </w:r>
            </w:hyperlink>
          </w:p>
        </w:tc>
      </w:tr>
      <w:tr>
        <w:trPr>
          <w:trHeight w:val="196"/>
        </w:trPr>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Legal Matters</w:t>
              </w:r>
            </w:hyperlink>
          </w:p>
        </w:tc>
        <w:tc>
          <w:tcPr>
            <w:tcW w:w="1800" w:type="dxa"/>
            <w:vAlign w:val="bottom"/>
            <w:gridSpan w:val="16"/>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4"/>
              </w:rPr>
            </w:pPr>
            <w:hyperlink w:anchor="page23">
              <w:r>
                <w:rPr>
                  <w:rFonts w:ascii="Arial" w:cs="Arial" w:eastAsia="Arial" w:hAnsi="Arial"/>
                  <w:sz w:val="18"/>
                  <w:szCs w:val="18"/>
                  <w:color w:val="0000EE"/>
                  <w:w w:val="84"/>
                </w:rPr>
                <w:t>S-19</w:t>
              </w:r>
            </w:hyperlink>
          </w:p>
        </w:tc>
      </w:tr>
      <w:tr>
        <w:trPr>
          <w:trHeight w:val="196"/>
        </w:trPr>
        <w:tc>
          <w:tcPr>
            <w:tcW w:w="280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Where You Can Find More Information</w:t>
              </w:r>
            </w:hyperlink>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4"/>
              </w:rPr>
            </w:pPr>
            <w:hyperlink w:anchor="page23">
              <w:r>
                <w:rPr>
                  <w:rFonts w:ascii="Arial" w:cs="Arial" w:eastAsia="Arial" w:hAnsi="Arial"/>
                  <w:sz w:val="18"/>
                  <w:szCs w:val="18"/>
                  <w:color w:val="0000EE"/>
                  <w:w w:val="84"/>
                </w:rPr>
                <w:t>S-19</w:t>
              </w:r>
            </w:hyperlink>
          </w:p>
        </w:tc>
      </w:tr>
      <w:tr>
        <w:trPr>
          <w:trHeight w:val="196"/>
        </w:trPr>
        <w:tc>
          <w:tcPr>
            <w:tcW w:w="2800" w:type="dxa"/>
            <w:vAlign w:val="bottom"/>
            <w:gridSpan w:val="2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5980" w:type="dxa"/>
            <w:vAlign w:val="bottom"/>
          </w:tcPr>
          <w:p>
            <w:pPr>
              <w:spacing w:after="0"/>
              <w:rPr>
                <w:sz w:val="17"/>
                <w:szCs w:val="17"/>
                <w:color w:val="auto"/>
              </w:rPr>
            </w:pPr>
          </w:p>
        </w:tc>
        <w:tc>
          <w:tcPr>
            <w:tcW w:w="360" w:type="dxa"/>
            <w:vAlign w:val="bottom"/>
            <w:gridSpan w:val="6"/>
          </w:tcPr>
          <w:p>
            <w:pPr>
              <w:jc w:val="right"/>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S-20</w:t>
              </w:r>
            </w:hyperlink>
          </w:p>
        </w:tc>
      </w:tr>
      <w:tr>
        <w:trPr>
          <w:trHeight w:val="451"/>
        </w:trPr>
        <w:tc>
          <w:tcPr>
            <w:tcW w:w="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0" w:type="dxa"/>
            <w:vAlign w:val="bottom"/>
            <w:gridSpan w:val="2"/>
          </w:tcPr>
          <w:p>
            <w:pPr>
              <w:jc w:val="center"/>
              <w:ind w:right="2372"/>
              <w:spacing w:after="0"/>
              <w:rPr>
                <w:sz w:val="20"/>
                <w:szCs w:val="20"/>
                <w:color w:val="auto"/>
              </w:rPr>
            </w:pPr>
            <w:r>
              <w:rPr>
                <w:rFonts w:ascii="Arial" w:cs="Arial" w:eastAsia="Arial" w:hAnsi="Arial"/>
                <w:sz w:val="18"/>
                <w:szCs w:val="18"/>
                <w:b w:val="1"/>
                <w:bCs w:val="1"/>
                <w:color w:val="auto"/>
                <w:w w:val="83"/>
              </w:rPr>
              <w:t>Prospectus</w:t>
            </w:r>
          </w:p>
        </w:tc>
        <w:tc>
          <w:tcPr>
            <w:tcW w:w="340" w:type="dxa"/>
            <w:vAlign w:val="bottom"/>
            <w:tcBorders>
              <w:top w:val="single" w:sz="8" w:color="0000EE"/>
            </w:tcBorders>
            <w:gridSpan w:val="5"/>
          </w:tcPr>
          <w:p>
            <w:pPr>
              <w:spacing w:after="0"/>
              <w:rPr>
                <w:sz w:val="24"/>
                <w:szCs w:val="24"/>
                <w:color w:val="auto"/>
              </w:rPr>
            </w:pPr>
          </w:p>
        </w:tc>
      </w:tr>
      <w:tr>
        <w:trPr>
          <w:trHeight w:val="394"/>
        </w:trPr>
        <w:tc>
          <w:tcPr>
            <w:tcW w:w="280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About This Prospectus</w:t>
              </w:r>
            </w:hyperlink>
          </w:p>
        </w:tc>
        <w:tc>
          <w:tcPr>
            <w:tcW w:w="6340" w:type="dxa"/>
            <w:vAlign w:val="bottom"/>
            <w:gridSpan w:val="7"/>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900" w:type="dxa"/>
            <w:vAlign w:val="bottom"/>
            <w:gridSpan w:val="3"/>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700" w:type="dxa"/>
            <w:vAlign w:val="bottom"/>
            <w:gridSpan w:val="10"/>
          </w:tcPr>
          <w:p>
            <w:pPr>
              <w:spacing w:after="0"/>
              <w:rPr>
                <w:sz w:val="17"/>
                <w:szCs w:val="17"/>
                <w:color w:val="auto"/>
              </w:rPr>
            </w:pPr>
          </w:p>
        </w:tc>
        <w:tc>
          <w:tcPr>
            <w:tcW w:w="1200" w:type="dxa"/>
            <w:vAlign w:val="bottom"/>
            <w:gridSpan w:val="9"/>
          </w:tcPr>
          <w:p>
            <w:pPr>
              <w:spacing w:after="0"/>
              <w:rPr>
                <w:sz w:val="17"/>
                <w:szCs w:val="17"/>
                <w:color w:val="auto"/>
              </w:rPr>
            </w:pPr>
          </w:p>
        </w:tc>
        <w:tc>
          <w:tcPr>
            <w:tcW w:w="6340" w:type="dxa"/>
            <w:vAlign w:val="bottom"/>
            <w:gridSpan w:val="7"/>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20" w:type="dxa"/>
            <w:vAlign w:val="bottom"/>
            <w:gridSpan w:val="7"/>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Veracyte, Inc.</w:t>
              </w:r>
            </w:hyperlink>
          </w:p>
        </w:tc>
        <w:tc>
          <w:tcPr>
            <w:tcW w:w="1780" w:type="dxa"/>
            <w:vAlign w:val="bottom"/>
            <w:gridSpan w:val="15"/>
          </w:tcPr>
          <w:p>
            <w:pPr>
              <w:spacing w:after="0"/>
              <w:rPr>
                <w:sz w:val="17"/>
                <w:szCs w:val="17"/>
                <w:color w:val="auto"/>
              </w:rPr>
            </w:pPr>
          </w:p>
        </w:tc>
        <w:tc>
          <w:tcPr>
            <w:tcW w:w="6340" w:type="dxa"/>
            <w:vAlign w:val="bottom"/>
            <w:gridSpan w:val="7"/>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080" w:type="dxa"/>
            <w:vAlign w:val="bottom"/>
            <w:gridSpan w:val="15"/>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Forward-Looking Statements</w:t>
              </w:r>
            </w:hyperlink>
          </w:p>
        </w:tc>
        <w:tc>
          <w:tcPr>
            <w:tcW w:w="720" w:type="dxa"/>
            <w:vAlign w:val="bottom"/>
            <w:gridSpan w:val="7"/>
          </w:tcPr>
          <w:p>
            <w:pPr>
              <w:spacing w:after="0"/>
              <w:rPr>
                <w:sz w:val="17"/>
                <w:szCs w:val="17"/>
                <w:color w:val="auto"/>
              </w:rPr>
            </w:pPr>
          </w:p>
        </w:tc>
        <w:tc>
          <w:tcPr>
            <w:tcW w:w="6340" w:type="dxa"/>
            <w:vAlign w:val="bottom"/>
            <w:gridSpan w:val="7"/>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gridSpan w:val="8"/>
          </w:tcPr>
          <w:p>
            <w:pPr>
              <w:spacing w:after="0" w:line="19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Use of Proceeds</w:t>
              </w:r>
            </w:hyperlink>
          </w:p>
        </w:tc>
        <w:tc>
          <w:tcPr>
            <w:tcW w:w="920" w:type="dxa"/>
            <w:vAlign w:val="bottom"/>
            <w:gridSpan w:val="7"/>
          </w:tcPr>
          <w:p>
            <w:pPr>
              <w:spacing w:after="0"/>
              <w:rPr>
                <w:sz w:val="17"/>
                <w:szCs w:val="17"/>
                <w:color w:val="auto"/>
              </w:rPr>
            </w:pPr>
          </w:p>
        </w:tc>
        <w:tc>
          <w:tcPr>
            <w:tcW w:w="720" w:type="dxa"/>
            <w:vAlign w:val="bottom"/>
            <w:gridSpan w:val="7"/>
          </w:tcPr>
          <w:p>
            <w:pPr>
              <w:spacing w:after="0"/>
              <w:rPr>
                <w:sz w:val="17"/>
                <w:szCs w:val="17"/>
                <w:color w:val="auto"/>
              </w:rPr>
            </w:pPr>
          </w:p>
        </w:tc>
        <w:tc>
          <w:tcPr>
            <w:tcW w:w="6340" w:type="dxa"/>
            <w:vAlign w:val="bottom"/>
            <w:gridSpan w:val="7"/>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800" w:type="dxa"/>
            <w:vAlign w:val="bottom"/>
            <w:gridSpan w:val="22"/>
          </w:tcPr>
          <w:p>
            <w:pPr>
              <w:spacing w:after="0" w:line="196"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Ratio of Earnings to Fixed Charges</w:t>
              </w:r>
            </w:hyperlink>
          </w:p>
        </w:tc>
        <w:tc>
          <w:tcPr>
            <w:tcW w:w="6340" w:type="dxa"/>
            <w:vAlign w:val="bottom"/>
            <w:gridSpan w:val="7"/>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48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Debt Securities</w:t>
              </w:r>
            </w:hyperlink>
          </w:p>
        </w:tc>
        <w:tc>
          <w:tcPr>
            <w:tcW w:w="320" w:type="dxa"/>
            <w:vAlign w:val="bottom"/>
            <w:gridSpan w:val="2"/>
          </w:tcPr>
          <w:p>
            <w:pPr>
              <w:spacing w:after="0"/>
              <w:rPr>
                <w:sz w:val="17"/>
                <w:szCs w:val="17"/>
                <w:color w:val="auto"/>
              </w:rPr>
            </w:pPr>
          </w:p>
        </w:tc>
        <w:tc>
          <w:tcPr>
            <w:tcW w:w="6340" w:type="dxa"/>
            <w:vAlign w:val="bottom"/>
            <w:gridSpan w:val="7"/>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Description of Preferred Stock</w:t>
              </w:r>
            </w:hyperlink>
          </w:p>
        </w:tc>
        <w:tc>
          <w:tcPr>
            <w:tcW w:w="640" w:type="dxa"/>
            <w:vAlign w:val="bottom"/>
            <w:gridSpan w:val="5"/>
          </w:tcPr>
          <w:p>
            <w:pPr>
              <w:spacing w:after="0"/>
              <w:rPr>
                <w:sz w:val="17"/>
                <w:szCs w:val="17"/>
                <w:color w:val="auto"/>
              </w:rPr>
            </w:pPr>
          </w:p>
        </w:tc>
        <w:tc>
          <w:tcPr>
            <w:tcW w:w="616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12</w:t>
              </w:r>
            </w:hyperlink>
          </w:p>
        </w:tc>
      </w:tr>
      <w:tr>
        <w:trPr>
          <w:trHeight w:val="196"/>
        </w:trPr>
        <w:tc>
          <w:tcPr>
            <w:tcW w:w="2800" w:type="dxa"/>
            <w:vAlign w:val="bottom"/>
            <w:gridSpan w:val="2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Depositary Shares</w:t>
              </w:r>
            </w:hyperlink>
          </w:p>
        </w:tc>
        <w:tc>
          <w:tcPr>
            <w:tcW w:w="6340" w:type="dxa"/>
            <w:vAlign w:val="bottom"/>
            <w:gridSpan w:val="7"/>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13</w:t>
              </w:r>
            </w:hyperlink>
          </w:p>
        </w:tc>
      </w:tr>
      <w:tr>
        <w:trPr>
          <w:trHeight w:val="196"/>
        </w:trPr>
        <w:tc>
          <w:tcPr>
            <w:tcW w:w="21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Description of Common Stock</w:t>
              </w:r>
            </w:hyperlink>
          </w:p>
        </w:tc>
        <w:tc>
          <w:tcPr>
            <w:tcW w:w="220" w:type="dxa"/>
            <w:vAlign w:val="bottom"/>
            <w:tcBorders>
              <w:top w:val="single" w:sz="8" w:color="0000EE"/>
            </w:tcBorders>
            <w:gridSpan w:val="2"/>
          </w:tcPr>
          <w:p>
            <w:pPr>
              <w:spacing w:after="0"/>
              <w:rPr>
                <w:sz w:val="17"/>
                <w:szCs w:val="17"/>
                <w:color w:val="auto"/>
              </w:rPr>
            </w:pPr>
          </w:p>
        </w:tc>
        <w:tc>
          <w:tcPr>
            <w:tcW w:w="420" w:type="dxa"/>
            <w:vAlign w:val="bottom"/>
            <w:gridSpan w:val="3"/>
          </w:tcPr>
          <w:p>
            <w:pPr>
              <w:spacing w:after="0"/>
              <w:rPr>
                <w:sz w:val="17"/>
                <w:szCs w:val="17"/>
                <w:color w:val="auto"/>
              </w:rPr>
            </w:pPr>
          </w:p>
        </w:tc>
        <w:tc>
          <w:tcPr>
            <w:tcW w:w="6160" w:type="dxa"/>
            <w:vAlign w:val="bottom"/>
            <w:gridSpan w:val="5"/>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15</w:t>
              </w:r>
            </w:hyperlink>
          </w:p>
        </w:tc>
      </w:tr>
      <w:tr>
        <w:trPr>
          <w:trHeight w:val="196"/>
        </w:trPr>
        <w:tc>
          <w:tcPr>
            <w:tcW w:w="17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Description of Warrants</w:t>
              </w:r>
            </w:hyperlink>
          </w:p>
        </w:tc>
        <w:tc>
          <w:tcPr>
            <w:tcW w:w="1100" w:type="dxa"/>
            <w:vAlign w:val="bottom"/>
            <w:gridSpan w:val="8"/>
          </w:tcPr>
          <w:p>
            <w:pPr>
              <w:spacing w:after="0"/>
              <w:rPr>
                <w:sz w:val="17"/>
                <w:szCs w:val="17"/>
                <w:color w:val="auto"/>
              </w:rPr>
            </w:pPr>
          </w:p>
        </w:tc>
        <w:tc>
          <w:tcPr>
            <w:tcW w:w="616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17</w:t>
              </w:r>
            </w:hyperlink>
          </w:p>
        </w:tc>
      </w:tr>
      <w:tr>
        <w:trPr>
          <w:trHeight w:val="196"/>
        </w:trPr>
        <w:tc>
          <w:tcPr>
            <w:tcW w:w="2800" w:type="dxa"/>
            <w:vAlign w:val="bottom"/>
            <w:gridSpan w:val="2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Rights</w:t>
              </w:r>
            </w:hyperlink>
          </w:p>
        </w:tc>
        <w:tc>
          <w:tcPr>
            <w:tcW w:w="6340" w:type="dxa"/>
            <w:vAlign w:val="bottom"/>
            <w:gridSpan w:val="7"/>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18</w:t>
              </w:r>
            </w:hyperlink>
          </w:p>
        </w:tc>
      </w:tr>
      <w:tr>
        <w:trPr>
          <w:trHeight w:val="196"/>
        </w:trPr>
        <w:tc>
          <w:tcPr>
            <w:tcW w:w="1520" w:type="dxa"/>
            <w:vAlign w:val="bottom"/>
            <w:tcBorders>
              <w:top w:val="single" w:sz="8" w:color="0000EE"/>
            </w:tcBorders>
            <w:gridSpan w:val="12"/>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Selling Stockholders</w:t>
              </w:r>
            </w:hyperlink>
          </w:p>
        </w:tc>
        <w:tc>
          <w:tcPr>
            <w:tcW w:w="1280" w:type="dxa"/>
            <w:vAlign w:val="bottom"/>
            <w:gridSpan w:val="10"/>
          </w:tcPr>
          <w:p>
            <w:pPr>
              <w:spacing w:after="0"/>
              <w:rPr>
                <w:sz w:val="17"/>
                <w:szCs w:val="17"/>
                <w:color w:val="auto"/>
              </w:rPr>
            </w:pPr>
          </w:p>
        </w:tc>
        <w:tc>
          <w:tcPr>
            <w:tcW w:w="6160" w:type="dxa"/>
            <w:vAlign w:val="bottom"/>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19</w:t>
              </w:r>
            </w:hyperlink>
          </w:p>
        </w:tc>
      </w:tr>
      <w:tr>
        <w:trPr>
          <w:trHeight w:val="196"/>
        </w:trPr>
        <w:tc>
          <w:tcPr>
            <w:tcW w:w="1460" w:type="dxa"/>
            <w:vAlign w:val="bottom"/>
            <w:tcBorders>
              <w:top w:val="single" w:sz="8" w:color="0000EE"/>
            </w:tcBorders>
            <w:gridSpan w:val="11"/>
          </w:tcPr>
          <w:p>
            <w:pPr>
              <w:spacing w:after="0" w:line="196" w:lineRule="exact"/>
              <w:rPr>
                <w:rFonts w:ascii="Arial" w:cs="Arial" w:eastAsia="Arial" w:hAnsi="Arial"/>
                <w:sz w:val="18"/>
                <w:szCs w:val="18"/>
                <w:color w:val="0000EE"/>
                <w:w w:val="95"/>
              </w:rPr>
            </w:pPr>
            <w:hyperlink w:anchor="page45">
              <w:r>
                <w:rPr>
                  <w:rFonts w:ascii="Arial" w:cs="Arial" w:eastAsia="Arial" w:hAnsi="Arial"/>
                  <w:sz w:val="18"/>
                  <w:szCs w:val="18"/>
                  <w:color w:val="0000EE"/>
                  <w:w w:val="95"/>
                </w:rPr>
                <w:t>Plan of Distribution</w:t>
              </w:r>
            </w:hyperlink>
          </w:p>
        </w:tc>
        <w:tc>
          <w:tcPr>
            <w:tcW w:w="1340" w:type="dxa"/>
            <w:vAlign w:val="bottom"/>
            <w:gridSpan w:val="11"/>
          </w:tcPr>
          <w:p>
            <w:pPr>
              <w:spacing w:after="0"/>
              <w:rPr>
                <w:sz w:val="17"/>
                <w:szCs w:val="17"/>
                <w:color w:val="auto"/>
              </w:rPr>
            </w:pPr>
          </w:p>
        </w:tc>
        <w:tc>
          <w:tcPr>
            <w:tcW w:w="6160" w:type="dxa"/>
            <w:vAlign w:val="bottom"/>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20</w:t>
              </w:r>
            </w:hyperlink>
          </w:p>
        </w:tc>
      </w:tr>
      <w:tr>
        <w:trPr>
          <w:trHeight w:val="196"/>
        </w:trPr>
        <w:tc>
          <w:tcPr>
            <w:tcW w:w="14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1400" w:type="dxa"/>
            <w:vAlign w:val="bottom"/>
            <w:gridSpan w:val="12"/>
          </w:tcPr>
          <w:p>
            <w:pPr>
              <w:spacing w:after="0"/>
              <w:rPr>
                <w:sz w:val="17"/>
                <w:szCs w:val="17"/>
                <w:color w:val="auto"/>
              </w:rPr>
            </w:pPr>
          </w:p>
        </w:tc>
        <w:tc>
          <w:tcPr>
            <w:tcW w:w="6160" w:type="dxa"/>
            <w:vAlign w:val="bottom"/>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23</w:t>
              </w:r>
            </w:hyperlink>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1820" w:type="dxa"/>
            <w:vAlign w:val="bottom"/>
            <w:gridSpan w:val="17"/>
          </w:tcPr>
          <w:p>
            <w:pPr>
              <w:spacing w:after="0"/>
              <w:rPr>
                <w:sz w:val="17"/>
                <w:szCs w:val="17"/>
                <w:color w:val="auto"/>
              </w:rPr>
            </w:pPr>
          </w:p>
        </w:tc>
        <w:tc>
          <w:tcPr>
            <w:tcW w:w="6160" w:type="dxa"/>
            <w:vAlign w:val="bottom"/>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23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21"/>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Where You Can Find More Information</w:t>
              </w:r>
            </w:hyperlink>
          </w:p>
        </w:tc>
        <w:tc>
          <w:tcPr>
            <w:tcW w:w="616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23</w:t>
              </w:r>
            </w:hyperlink>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jc w:val="both"/>
        <w:ind w:right="320"/>
        <w:spacing w:after="0" w:line="294" w:lineRule="auto"/>
        <w:rPr>
          <w:sz w:val="20"/>
          <w:szCs w:val="20"/>
          <w:color w:val="auto"/>
        </w:rPr>
      </w:pPr>
      <w:r>
        <w:rPr>
          <w:rFonts w:ascii="Arial" w:cs="Arial" w:eastAsia="Arial" w:hAnsi="Arial"/>
          <w:sz w:val="16"/>
          <w:szCs w:val="16"/>
          <w:color w:val="auto"/>
        </w:rPr>
        <w:t>This document contains two parts. The first part is this prospectus supplement, which describes the specific terms of this offering and also adds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w:t>
      </w:r>
    </w:p>
    <w:p>
      <w:pPr>
        <w:spacing w:after="0" w:line="170"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We have not, and the underwriters have not,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prospectuses we have authorized for use in connection with this offering.</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offering to sell, and seeking offers to buy, shares of our common stock only in jurisdictions where offers and sales are permitted. 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both this prospectus supplement and the accompanying prospectus, as well as the documents incorporated by reference into this prospectus supplement and the accompanying prospectus and the additional information described under "Where You Can Find More Information" in this prospectus supplement and in the accompanying prospectus, before investing in our common stock.</w:t>
      </w:r>
    </w:p>
    <w:p>
      <w:pPr>
        <w:spacing w:after="0" w:line="17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Unless otherwise indicated or the context otherwise requires, references in this prospectus supplement and the accompanying prospectus to "Veracyte," the "company," "we," "us" and "our" refer to Veracyte, Inc.</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Veracyte, Afirma, Percepta, Envisia, the Veracyte logo and the Afirma logo are our trademarks. This prospectus supplement, the accompanying prospectus and the documents incorporated by reference into this prospectus supplement and the accompanying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7931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579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20"/>
        <w:spacing w:after="0" w:line="294" w:lineRule="auto"/>
        <w:rPr>
          <w:sz w:val="20"/>
          <w:szCs w:val="20"/>
          <w:color w:val="auto"/>
        </w:rPr>
      </w:pPr>
      <w:r>
        <w:rPr>
          <w:rFonts w:ascii="Arial" w:cs="Arial" w:eastAsia="Arial" w:hAnsi="Arial"/>
          <w:sz w:val="16"/>
          <w:szCs w:val="16"/>
          <w:i w:val="1"/>
          <w:iCs w:val="1"/>
          <w:color w:val="auto"/>
        </w:rPr>
        <w:t>This summary highlights selected information about us and this offering. Because it is a summary, it does not contain all of the information that you should consider before investing. Before you decide to invest in our common stock, you should read carefully and in their entirety this entire prospectus supplement and the accompanying prospectus, including the section in this prospectus supplement entitled "Risk Factors," and the documents we have incorporated by reference in this prospectus supplement and the accompanying prospectus, along with our financial statements and accompanying notes incorporated by reference in this prospectus supplement and the accompanying prospectus.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spacing w:after="0" w:line="285" w:lineRule="auto"/>
        <w:rPr>
          <w:sz w:val="20"/>
          <w:szCs w:val="20"/>
          <w:color w:val="auto"/>
        </w:rPr>
      </w:pPr>
      <w:r>
        <w:rPr>
          <w:rFonts w:ascii="Arial" w:cs="Arial" w:eastAsia="Arial" w:hAnsi="Arial"/>
          <w:sz w:val="16"/>
          <w:szCs w:val="16"/>
          <w:color w:val="auto"/>
        </w:rPr>
        <w:t xml:space="preserve">We are a molecular diagnostics company that focuses on genomic solutions that resolve diagnostic ambiguity, thus enabling physicians to make more informed treatment decisions at an early stage in patient care. By improving diagnostic accuracy, we aim to help patients avoid unnecessary invasive procedures while reducing healthcare costs. Our first commercial solution, the Afirma Thyroid FNA Analysis, or Afirma, centers on the proprietary Afirma Gene Expression Classifier, or GEC, which is becoming a new standard of care in thyroid cancer diagnosis. The Afirma GEC helps physicians reduce the number of unnecessary surgeries by approximately 50% by employing a proprietary 142-gene signature to identify benign thyroid nodules among those deemed indeterminate by cytopathology alone. An additional 25 genes are used to differentiate uncommon neoplasm subtypes. We established the Afirma GEC's clinical validity in a study published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in 2012 and have demonstrated the test's clinical utility, cost effectiveness and analytical validity in over 20 studies published in peer-reviewed journals. The Afirma GEC is recommended in leading practice guidelines and is covered as a medically necessary test by payers for 185 million lives in the United States, including through Medicare and many commercial insurance plans. As of September 30, 2016, we had 155 million lives under contract. Since the commercial launch of Afirma in January 2011 through September 30, 2016, we have received 290,000 fine needle aspiration, or FNA, samples for evaluation using Afirma and performed over 65,000 GECs to resolve indeterminate cytopathology results. We estimate the addressable thyroid nodule diagnostic market opportunity today is approximately $500 million per year in the United States, and we believe that there is an estimated $300 million additional market opportunity for the Afirma GEC internationally.</w:t>
      </w:r>
    </w:p>
    <w:p>
      <w:pPr>
        <w:spacing w:after="0" w:line="182" w:lineRule="exact"/>
        <w:rPr>
          <w:sz w:val="20"/>
          <w:szCs w:val="20"/>
          <w:color w:val="auto"/>
        </w:rPr>
      </w:pPr>
    </w:p>
    <w:p>
      <w:pPr>
        <w:ind w:left="240"/>
        <w:spacing w:after="0" w:line="286" w:lineRule="auto"/>
        <w:rPr>
          <w:sz w:val="20"/>
          <w:szCs w:val="20"/>
          <w:color w:val="auto"/>
        </w:rPr>
      </w:pPr>
      <w:r>
        <w:rPr>
          <w:rFonts w:ascii="Arial" w:cs="Arial" w:eastAsia="Arial" w:hAnsi="Arial"/>
          <w:sz w:val="16"/>
          <w:szCs w:val="16"/>
          <w:color w:val="auto"/>
        </w:rPr>
        <w:t xml:space="preserve">In April 2015, we accelerated our entry into pulmonology with the launch of the Percepta Bronchial Genomic Classifier, which we obtained through our acquisition of Allegro Diagnostics Corp. in September 2014. The Percepta classifier is designed to improve lung cancer screening and diagnosis by helping to reduce unnecessary, invasive, risky and costly procedures in patients with suspicious lung nodules and lesions, typically found on CT scans. The 23-gene classifier identifies patients with lung nodules who are at low or very low risk of cancer following an inconclusive bronchoscopy result, making it possible to monitor these patients with CT scans in lieu of invasive diagnostic procedures. Clinical validation data from two prospective, multicenter studies, AEGIS I and II, were published in July 2015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In February 2016, the first clinical utility study for the Percepta classifier was published in </w:t>
      </w:r>
      <w:r>
        <w:rPr>
          <w:rFonts w:ascii="Arial" w:cs="Arial" w:eastAsia="Arial" w:hAnsi="Arial"/>
          <w:sz w:val="16"/>
          <w:szCs w:val="16"/>
          <w:i w:val="1"/>
          <w:iCs w:val="1"/>
          <w:color w:val="auto"/>
        </w:rPr>
        <w:t>CHEST</w:t>
      </w:r>
      <w:r>
        <w:rPr>
          <w:rFonts w:ascii="Arial" w:cs="Arial" w:eastAsia="Arial" w:hAnsi="Arial"/>
          <w:sz w:val="16"/>
          <w:szCs w:val="16"/>
          <w:color w:val="auto"/>
        </w:rPr>
        <w:t xml:space="preserve">, the official journal of the American College of Chest Physicians, suggesting that use of the Percepta test could reduce unnecessary surgeries and other invasive procedures by as much as 50% in the evaluated patient population. Also in February 2016, analytical verification data for the Percepta classifier were published online in </w:t>
      </w:r>
      <w:r>
        <w:rPr>
          <w:rFonts w:ascii="Arial" w:cs="Arial" w:eastAsia="Arial" w:hAnsi="Arial"/>
          <w:sz w:val="16"/>
          <w:szCs w:val="16"/>
          <w:i w:val="1"/>
          <w:iCs w:val="1"/>
          <w:color w:val="auto"/>
        </w:rPr>
        <w:t>BMC Cancer,</w:t>
      </w:r>
      <w:r>
        <w:rPr>
          <w:rFonts w:ascii="Arial" w:cs="Arial" w:eastAsia="Arial" w:hAnsi="Arial"/>
          <w:sz w:val="16"/>
          <w:szCs w:val="16"/>
          <w:color w:val="auto"/>
        </w:rPr>
        <w:t xml:space="preserve"> establishing the quality and reproducibility of our testing processes. As of September 2016, three Medicare Administrative Contractors have issued draft local coverage policies that, if finalized, would cover Percepta for Medicare-eligible patients in those regions. As of September 2016, more than 40 thought-leading academic and other institutions around the country are offering Percepta to their patients during this initial stage of commercialization. We estimate the U.S. market opportunity for Percepta to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73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6273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color w:val="auto"/>
        </w:rPr>
        <w:t>be $425 million to $525 million today and expect the market to increase in size as lung cancer screening expands. The European market opportunity for Percepta is estimated to be $220 million.</w:t>
      </w:r>
    </w:p>
    <w:p>
      <w:pPr>
        <w:spacing w:after="0" w:line="186" w:lineRule="exact"/>
        <w:rPr>
          <w:sz w:val="20"/>
          <w:szCs w:val="20"/>
          <w:color w:val="auto"/>
        </w:rPr>
      </w:pPr>
    </w:p>
    <w:p>
      <w:pPr>
        <w:ind w:left="240" w:right="60"/>
        <w:spacing w:after="0" w:line="289" w:lineRule="auto"/>
        <w:rPr>
          <w:sz w:val="20"/>
          <w:szCs w:val="20"/>
          <w:color w:val="auto"/>
        </w:rPr>
      </w:pPr>
      <w:r>
        <w:rPr>
          <w:rFonts w:ascii="Arial" w:cs="Arial" w:eastAsia="Arial" w:hAnsi="Arial"/>
          <w:sz w:val="16"/>
          <w:szCs w:val="16"/>
          <w:color w:val="auto"/>
        </w:rPr>
        <w:t>In October 2016, we announced the launch of our third commercial test, the Envisia Genomic Classifier, which is also in pulmonology. This test is designed to enable improved diagnosis of idiopathic pulmonary fibrosis, or IPF, among patients presenting with a suspected interstitial lung disease, or ILD, without the need for surgery. The 190-gene classifier uses machine learning coupled with powerful, deep RNA sequencing to detect the presence or absence of usual interstitial pneumonia, or UIP, a classic diagnostic pattern that is essential for the diagnosis of IPF. In an independent test set, the Envisia classifier demonstrated high specificity (88%) and sensitivity (67%) for UIP on patient samples obtained through less-invasive bronchoscopy. The test's results showed high concordance with review of surgical samples by surgical pathology. Our initial focus for the Envisia classifier is on building the clinical evidence needed to secure coverage and reimbursement from Medicare and private payers. We estimate the addressable market for our Envisia test to be over $500 million in the United States and Europe.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240"/>
        <w:spacing w:after="0" w:line="289" w:lineRule="auto"/>
        <w:rPr>
          <w:sz w:val="20"/>
          <w:szCs w:val="20"/>
          <w:color w:val="auto"/>
        </w:rPr>
      </w:pPr>
      <w:r>
        <w:rPr>
          <w:rFonts w:ascii="Arial" w:cs="Arial" w:eastAsia="Arial" w:hAnsi="Arial"/>
          <w:sz w:val="16"/>
          <w:szCs w:val="16"/>
          <w:color w:val="auto"/>
        </w:rPr>
        <w:t>Our estimated financial results as of and for the three months ended September 30, 2016, presented below are preliminary and are subject to the completion of our quarter-end closing procedures and financial review. The preliminary financial data have been prepared by and are the responsibility of our management. Our independent registered public accounting firm has not audited, reviewed, compiled or performed any procedures with respect to the preliminary financial data. Accordingly, our independent registered public accounting firm does not express an opinion or any other form of assurance with respect thereto. These estimates are not a comprehensive statement of our financial results for this period and should not be viewed as a substitute for full interim financial statements prepared in accordance with generally accepted accounting principles. Our actual results may differ from these estimates as a result of the completion of our quarter-end closing procedures, review adjustments and other developments that may arise between now and the time our financial results for the period are finalized.</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Preliminary third quarter 2016 results are summarized below:</w:t>
      </w:r>
    </w:p>
    <w:p>
      <w:pPr>
        <w:spacing w:after="0" w:line="252" w:lineRule="exact"/>
        <w:rPr>
          <w:sz w:val="20"/>
          <w:szCs w:val="20"/>
          <w:color w:val="auto"/>
        </w:rPr>
      </w:pPr>
    </w:p>
    <w:p>
      <w:pPr>
        <w:ind w:left="1320" w:right="40" w:hanging="538"/>
        <w:spacing w:after="0" w:line="259"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for the third quarter of 2016 is expected to be $18.6 million, an increase of 51%, compared to $12.3 million for the third quarter of 2015. This includes an estimated $3.5 million increase due to the accrual of tests that would have previously been recognized upon cash receipt.</w:t>
      </w:r>
    </w:p>
    <w:p>
      <w:pPr>
        <w:spacing w:after="0" w:line="207"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Afirma GEC test volume was 5,740 tests, an increase of 14%, compared to the same period in 2015.</w:t>
      </w:r>
    </w:p>
    <w:p>
      <w:pPr>
        <w:spacing w:after="0" w:line="238"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expenses for the third quarter of 2016 are estimated to be $23.5 to $23.8 million, compared to $21.2 million in the third quarter of 2015 and $25.2 million in the second quarter of 2016.</w:t>
      </w:r>
    </w:p>
    <w:p>
      <w:pPr>
        <w:spacing w:after="0" w:line="212" w:lineRule="exact"/>
        <w:rPr>
          <w:rFonts w:ascii="Arial" w:cs="Arial" w:eastAsia="Arial" w:hAnsi="Arial"/>
          <w:sz w:val="18"/>
          <w:szCs w:val="18"/>
          <w:color w:val="auto"/>
        </w:rPr>
      </w:pPr>
    </w:p>
    <w:p>
      <w:pPr>
        <w:ind w:left="1320" w:right="80" w:hanging="538"/>
        <w:spacing w:after="0" w:line="26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is expected to be $5.6 to $5.9 million, or $0.20 to $0.21 per common share, versus a net loss of $8.9 million, or $0.32 per common share, for the same period in 2015.</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Cash and cash equivalents as of September 30, 2016 is expected to be $31.7 million, as compared with $39.0 million at June 30, 2016.</w:t>
      </w:r>
    </w:p>
    <w:p>
      <w:pPr>
        <w:spacing w:after="0" w:line="261" w:lineRule="exact"/>
        <w:rPr>
          <w:rFonts w:ascii="Arial" w:cs="Arial" w:eastAsia="Arial" w:hAnsi="Arial"/>
          <w:sz w:val="16"/>
          <w:szCs w:val="16"/>
          <w:color w:val="auto"/>
        </w:rPr>
      </w:pPr>
    </w:p>
    <w:p>
      <w:pPr>
        <w:ind w:left="1320" w:right="140" w:hanging="538"/>
        <w:spacing w:after="0" w:line="26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burn for the quarter is expected to be $7.3 million and includes $4.0 million in final payments to Sanofi Genzyme under our U.S. co-promotion agreement, which was terminated in September 2016.</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185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185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0"/>
        <w:spacing w:after="0" w:line="256" w:lineRule="auto"/>
        <w:rPr>
          <w:sz w:val="20"/>
          <w:szCs w:val="20"/>
          <w:color w:val="auto"/>
        </w:rPr>
      </w:pPr>
      <w:r>
        <w:rPr>
          <w:rFonts w:ascii="Arial" w:cs="Arial" w:eastAsia="Arial" w:hAnsi="Arial"/>
          <w:sz w:val="18"/>
          <w:szCs w:val="18"/>
          <w:color w:val="auto"/>
        </w:rPr>
        <w:t>These estimates are preliminary and may change. In addition, these preliminary results for the three months ended September 30, 2016 are not necessarily indicative of the results to be achieved for the remainder of the fiscal year ending December 31, 2016 or in any future period. There can be no assurance that these estimates will be realized, and estimates are subject to risks and uncertainties, many of which are not within our control. See the sections entitled "Risk Factors" and "Forward-Looking Statements."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Company Information</w:t>
      </w:r>
    </w:p>
    <w:p>
      <w:pPr>
        <w:spacing w:after="0" w:line="231" w:lineRule="exact"/>
        <w:rPr>
          <w:sz w:val="20"/>
          <w:szCs w:val="20"/>
          <w:color w:val="auto"/>
        </w:rPr>
      </w:pPr>
    </w:p>
    <w:p>
      <w:pPr>
        <w:ind w:left="240" w:right="140"/>
        <w:spacing w:after="0" w:line="286" w:lineRule="auto"/>
        <w:rPr>
          <w:sz w:val="20"/>
          <w:szCs w:val="20"/>
          <w:color w:val="auto"/>
        </w:rPr>
      </w:pPr>
      <w:r>
        <w:rPr>
          <w:rFonts w:ascii="Arial" w:cs="Arial" w:eastAsia="Arial" w:hAnsi="Arial"/>
          <w:sz w:val="16"/>
          <w:szCs w:val="16"/>
          <w:color w:val="auto"/>
        </w:rPr>
        <w:t>We were incorporated in the state of Delaware on August 15, 2006 as Calderome, Inc. Calderome operated as an incubator until early 2008. On March 4, 2008, we changed our name to Veracyte, Inc. Our principal executive offices are located at 6000 Shoreline Court, Suite 300, South San Francisco,</w:t>
      </w:r>
    </w:p>
    <w:p>
      <w:pPr>
        <w:ind w:left="240" w:right="420"/>
        <w:spacing w:after="0" w:line="302" w:lineRule="auto"/>
        <w:rPr>
          <w:sz w:val="20"/>
          <w:szCs w:val="20"/>
          <w:color w:val="auto"/>
        </w:rPr>
      </w:pPr>
      <w:r>
        <w:rPr>
          <w:rFonts w:ascii="Arial" w:cs="Arial" w:eastAsia="Arial" w:hAnsi="Arial"/>
          <w:sz w:val="16"/>
          <w:szCs w:val="16"/>
          <w:color w:val="auto"/>
        </w:rPr>
        <w:t>CA 94080 and our telephone number is (650) 243-6300. Our website address is www.veracyte.com. We do not incorporate the information on, or accessible through, our website into this prospectus supplement or the accompanying prospectus, and you should not consider any information on, or accessible through, our website as part of this prospectus supplement or the accompanying prospectus.</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We are an "emerging growth company," as defined in the Jumpstart Our Business Startups Act of 2012. We will remain an emerging growth company until</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earlier of (1) the last day of the fiscal year following the fifth anniversary of the completion of our initial public offering of common stock</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(December 31, 2018), (2) the last day of the fiscal year in which we have total annual gross revenue of at least $1.0 billion, (3) the last day of the fiscal</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year in which we are deemed to be a large accelerated filer, which means the market value of our common stock that is held by non-affiliates exceeds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$700 million as of the prior June 30th, and (4) the date on which we have issued more than $1.0 billion in non-convertible debt during the prior three-year</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period.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552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552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2960" w:type="dxa"/>
            <w:vAlign w:val="bottom"/>
          </w:tcPr>
          <w:p>
            <w:pPr>
              <w:spacing w:after="0"/>
              <w:rPr>
                <w:sz w:val="19"/>
                <w:szCs w:val="19"/>
                <w:color w:val="auto"/>
              </w:rPr>
            </w:pPr>
          </w:p>
        </w:tc>
        <w:tc>
          <w:tcPr>
            <w:tcW w:w="5780" w:type="dxa"/>
            <w:vAlign w:val="bottom"/>
            <w:gridSpan w:val="2"/>
          </w:tcPr>
          <w:p>
            <w:pPr>
              <w:ind w:left="72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Issuer</w:t>
            </w:r>
          </w:p>
        </w:tc>
        <w:tc>
          <w:tcPr>
            <w:tcW w:w="1680" w:type="dxa"/>
            <w:vAlign w:val="bottom"/>
          </w:tcPr>
          <w:p>
            <w:pPr>
              <w:ind w:left="280"/>
              <w:spacing w:after="0"/>
              <w:rPr>
                <w:sz w:val="20"/>
                <w:szCs w:val="20"/>
                <w:color w:val="auto"/>
              </w:rPr>
            </w:pPr>
            <w:r>
              <w:rPr>
                <w:rFonts w:ascii="Arial" w:cs="Arial" w:eastAsia="Arial" w:hAnsi="Arial"/>
                <w:sz w:val="18"/>
                <w:szCs w:val="18"/>
                <w:color w:val="auto"/>
              </w:rPr>
              <w:t>Veracyte, Inc.</w:t>
            </w:r>
          </w:p>
        </w:tc>
        <w:tc>
          <w:tcPr>
            <w:tcW w:w="4100" w:type="dxa"/>
            <w:vAlign w:val="bottom"/>
          </w:tcPr>
          <w:p>
            <w:pPr>
              <w:spacing w:after="0"/>
              <w:rPr>
                <w:sz w:val="24"/>
                <w:szCs w:val="24"/>
                <w:color w:val="auto"/>
              </w:rPr>
            </w:pP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Common stock we are offering</w:t>
            </w:r>
          </w:p>
        </w:tc>
        <w:tc>
          <w:tcPr>
            <w:tcW w:w="5780" w:type="dxa"/>
            <w:vAlign w:val="bottom"/>
            <w:gridSpan w:val="2"/>
          </w:tcPr>
          <w:p>
            <w:pPr>
              <w:ind w:left="1340"/>
              <w:spacing w:after="0"/>
              <w:rPr>
                <w:sz w:val="20"/>
                <w:szCs w:val="20"/>
                <w:color w:val="auto"/>
              </w:rPr>
            </w:pPr>
            <w:r>
              <w:rPr>
                <w:rFonts w:ascii="Arial" w:cs="Arial" w:eastAsia="Arial" w:hAnsi="Arial"/>
                <w:sz w:val="18"/>
                <w:szCs w:val="18"/>
                <w:color w:val="auto"/>
              </w:rPr>
              <w:t>shares</w:t>
            </w:r>
          </w:p>
        </w:tc>
      </w:tr>
      <w:tr>
        <w:trPr>
          <w:trHeight w:val="426"/>
        </w:trPr>
        <w:tc>
          <w:tcPr>
            <w:tcW w:w="2960" w:type="dxa"/>
            <w:vAlign w:val="bottom"/>
          </w:tcPr>
          <w:p>
            <w:pPr>
              <w:spacing w:after="0"/>
              <w:rPr>
                <w:sz w:val="20"/>
                <w:szCs w:val="20"/>
                <w:color w:val="auto"/>
              </w:rPr>
            </w:pPr>
            <w:r>
              <w:rPr>
                <w:rFonts w:ascii="Arial" w:cs="Arial" w:eastAsia="Arial" w:hAnsi="Arial"/>
                <w:sz w:val="18"/>
                <w:szCs w:val="18"/>
                <w:color w:val="auto"/>
                <w:w w:val="96"/>
              </w:rPr>
              <w:t>Common stock to be outstanding after</w:t>
            </w:r>
          </w:p>
        </w:tc>
        <w:tc>
          <w:tcPr>
            <w:tcW w:w="1680" w:type="dxa"/>
            <w:vAlign w:val="bottom"/>
          </w:tcPr>
          <w:p>
            <w:pPr>
              <w:ind w:left="980"/>
              <w:spacing w:after="0"/>
              <w:rPr>
                <w:sz w:val="20"/>
                <w:szCs w:val="20"/>
                <w:color w:val="auto"/>
              </w:rPr>
            </w:pPr>
            <w:r>
              <w:rPr>
                <w:rFonts w:ascii="Arial" w:cs="Arial" w:eastAsia="Arial" w:hAnsi="Arial"/>
                <w:sz w:val="18"/>
                <w:szCs w:val="18"/>
                <w:color w:val="auto"/>
                <w:w w:val="83"/>
              </w:rPr>
              <w:t>shares (or</w:t>
            </w:r>
          </w:p>
        </w:tc>
        <w:tc>
          <w:tcPr>
            <w:tcW w:w="4100" w:type="dxa"/>
            <w:vAlign w:val="bottom"/>
          </w:tcPr>
          <w:p>
            <w:pPr>
              <w:ind w:left="700"/>
              <w:spacing w:after="0"/>
              <w:rPr>
                <w:sz w:val="20"/>
                <w:szCs w:val="20"/>
                <w:color w:val="auto"/>
              </w:rPr>
            </w:pPr>
            <w:r>
              <w:rPr>
                <w:rFonts w:ascii="Arial" w:cs="Arial" w:eastAsia="Arial" w:hAnsi="Arial"/>
                <w:sz w:val="18"/>
                <w:szCs w:val="18"/>
                <w:color w:val="auto"/>
                <w:w w:val="93"/>
              </w:rPr>
              <w:t>shares if the underwriters exercise in full their</w:t>
            </w:r>
          </w:p>
        </w:tc>
      </w:tr>
      <w:tr>
        <w:trPr>
          <w:trHeight w:val="222"/>
        </w:trPr>
        <w:tc>
          <w:tcPr>
            <w:tcW w:w="2960" w:type="dxa"/>
            <w:vAlign w:val="bottom"/>
          </w:tcPr>
          <w:p>
            <w:pPr>
              <w:ind w:left="180"/>
              <w:spacing w:after="0"/>
              <w:rPr>
                <w:sz w:val="20"/>
                <w:szCs w:val="20"/>
                <w:color w:val="auto"/>
              </w:rPr>
            </w:pPr>
            <w:r>
              <w:rPr>
                <w:rFonts w:ascii="Arial" w:cs="Arial" w:eastAsia="Arial" w:hAnsi="Arial"/>
                <w:sz w:val="18"/>
                <w:szCs w:val="18"/>
                <w:color w:val="auto"/>
              </w:rPr>
              <w:t>the offering</w:t>
            </w:r>
          </w:p>
        </w:tc>
        <w:tc>
          <w:tcPr>
            <w:tcW w:w="5780" w:type="dxa"/>
            <w:vAlign w:val="bottom"/>
            <w:gridSpan w:val="2"/>
          </w:tcPr>
          <w:p>
            <w:pPr>
              <w:ind w:left="280"/>
              <w:spacing w:after="0"/>
              <w:rPr>
                <w:sz w:val="20"/>
                <w:szCs w:val="20"/>
                <w:color w:val="auto"/>
              </w:rPr>
            </w:pPr>
            <w:r>
              <w:rPr>
                <w:rFonts w:ascii="Arial" w:cs="Arial" w:eastAsia="Arial" w:hAnsi="Arial"/>
                <w:sz w:val="18"/>
                <w:szCs w:val="18"/>
                <w:color w:val="auto"/>
              </w:rPr>
              <w:t>option to purchase additional shares of our common stock)</w:t>
            </w:r>
          </w:p>
        </w:tc>
      </w:tr>
      <w:tr>
        <w:trPr>
          <w:trHeight w:val="426"/>
        </w:trPr>
        <w:tc>
          <w:tcPr>
            <w:tcW w:w="296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5780" w:type="dxa"/>
            <w:vAlign w:val="bottom"/>
            <w:gridSpan w:val="2"/>
          </w:tcPr>
          <w:p>
            <w:pPr>
              <w:ind w:left="280"/>
              <w:spacing w:after="0"/>
              <w:rPr>
                <w:sz w:val="20"/>
                <w:szCs w:val="20"/>
                <w:color w:val="auto"/>
              </w:rPr>
            </w:pPr>
            <w:r>
              <w:rPr>
                <w:rFonts w:ascii="Arial" w:cs="Arial" w:eastAsia="Arial" w:hAnsi="Arial"/>
                <w:sz w:val="18"/>
                <w:szCs w:val="18"/>
                <w:color w:val="auto"/>
                <w:w w:val="96"/>
              </w:rPr>
              <w:t>We have granted the underwriters a 30-day option to purchase up to an</w:t>
            </w:r>
          </w:p>
        </w:tc>
      </w:tr>
      <w:tr>
        <w:trPr>
          <w:trHeight w:val="222"/>
        </w:trPr>
        <w:tc>
          <w:tcPr>
            <w:tcW w:w="2960" w:type="dxa"/>
            <w:vAlign w:val="bottom"/>
          </w:tcPr>
          <w:p>
            <w:pPr>
              <w:spacing w:after="0"/>
              <w:rPr>
                <w:sz w:val="19"/>
                <w:szCs w:val="19"/>
                <w:color w:val="auto"/>
              </w:rPr>
            </w:pPr>
          </w:p>
        </w:tc>
        <w:tc>
          <w:tcPr>
            <w:tcW w:w="1680" w:type="dxa"/>
            <w:vAlign w:val="bottom"/>
          </w:tcPr>
          <w:p>
            <w:pPr>
              <w:ind w:left="280"/>
              <w:spacing w:after="0"/>
              <w:rPr>
                <w:sz w:val="20"/>
                <w:szCs w:val="20"/>
                <w:color w:val="auto"/>
              </w:rPr>
            </w:pPr>
            <w:r>
              <w:rPr>
                <w:rFonts w:ascii="Arial" w:cs="Arial" w:eastAsia="Arial" w:hAnsi="Arial"/>
                <w:sz w:val="18"/>
                <w:szCs w:val="18"/>
                <w:color w:val="auto"/>
              </w:rPr>
              <w:t>additional</w:t>
            </w:r>
          </w:p>
        </w:tc>
        <w:tc>
          <w:tcPr>
            <w:tcW w:w="4100" w:type="dxa"/>
            <w:vAlign w:val="bottom"/>
          </w:tcPr>
          <w:p>
            <w:pPr>
              <w:spacing w:after="0"/>
              <w:rPr>
                <w:sz w:val="20"/>
                <w:szCs w:val="20"/>
                <w:color w:val="auto"/>
              </w:rPr>
            </w:pPr>
            <w:r>
              <w:rPr>
                <w:rFonts w:ascii="Arial" w:cs="Arial" w:eastAsia="Arial" w:hAnsi="Arial"/>
                <w:sz w:val="18"/>
                <w:szCs w:val="18"/>
                <w:color w:val="auto"/>
              </w:rPr>
              <w:t>shares of our common stock.</w:t>
            </w:r>
          </w:p>
        </w:tc>
      </w:tr>
      <w:tr>
        <w:trPr>
          <w:trHeight w:val="426"/>
        </w:trPr>
        <w:tc>
          <w:tcPr>
            <w:tcW w:w="2960" w:type="dxa"/>
            <w:vAlign w:val="bottom"/>
          </w:tcPr>
          <w:p>
            <w:pPr>
              <w:spacing w:after="0"/>
              <w:rPr>
                <w:sz w:val="20"/>
                <w:szCs w:val="20"/>
                <w:color w:val="auto"/>
              </w:rPr>
            </w:pPr>
            <w:r>
              <w:rPr>
                <w:rFonts w:ascii="Arial" w:cs="Arial" w:eastAsia="Arial" w:hAnsi="Arial"/>
                <w:sz w:val="18"/>
                <w:szCs w:val="18"/>
                <w:color w:val="auto"/>
              </w:rPr>
              <w:t>Use of proceeds</w:t>
            </w:r>
          </w:p>
        </w:tc>
        <w:tc>
          <w:tcPr>
            <w:tcW w:w="5780" w:type="dxa"/>
            <w:vAlign w:val="bottom"/>
            <w:gridSpan w:val="2"/>
          </w:tcPr>
          <w:p>
            <w:pPr>
              <w:ind w:left="280"/>
              <w:spacing w:after="0"/>
              <w:rPr>
                <w:sz w:val="20"/>
                <w:szCs w:val="20"/>
                <w:color w:val="auto"/>
              </w:rPr>
            </w:pPr>
            <w:r>
              <w:rPr>
                <w:rFonts w:ascii="Arial" w:cs="Arial" w:eastAsia="Arial" w:hAnsi="Arial"/>
                <w:sz w:val="18"/>
                <w:szCs w:val="18"/>
                <w:color w:val="auto"/>
                <w:w w:val="94"/>
              </w:rPr>
              <w:t>We currently intend to use the net proceeds from this offering for working</w:t>
            </w:r>
          </w:p>
        </w:tc>
      </w:tr>
      <w:tr>
        <w:trPr>
          <w:trHeight w:val="216"/>
        </w:trPr>
        <w:tc>
          <w:tcPr>
            <w:tcW w:w="2960" w:type="dxa"/>
            <w:vAlign w:val="bottom"/>
          </w:tcPr>
          <w:p>
            <w:pPr>
              <w:spacing w:after="0"/>
              <w:rPr>
                <w:sz w:val="18"/>
                <w:szCs w:val="18"/>
                <w:color w:val="auto"/>
              </w:rPr>
            </w:pPr>
          </w:p>
        </w:tc>
        <w:tc>
          <w:tcPr>
            <w:tcW w:w="5780" w:type="dxa"/>
            <w:vAlign w:val="bottom"/>
            <w:gridSpan w:val="2"/>
          </w:tcPr>
          <w:p>
            <w:pPr>
              <w:ind w:left="280"/>
              <w:spacing w:after="0"/>
              <w:rPr>
                <w:sz w:val="20"/>
                <w:szCs w:val="20"/>
                <w:color w:val="auto"/>
              </w:rPr>
            </w:pPr>
            <w:r>
              <w:rPr>
                <w:rFonts w:ascii="Arial" w:cs="Arial" w:eastAsia="Arial" w:hAnsi="Arial"/>
                <w:sz w:val="18"/>
                <w:szCs w:val="18"/>
                <w:color w:val="auto"/>
                <w:w w:val="86"/>
              </w:rPr>
              <w:t>capital and other general corporate purposes. We may also use a portion of the</w:t>
            </w:r>
          </w:p>
        </w:tc>
      </w:tr>
      <w:tr>
        <w:trPr>
          <w:trHeight w:val="216"/>
        </w:trPr>
        <w:tc>
          <w:tcPr>
            <w:tcW w:w="2960" w:type="dxa"/>
            <w:vAlign w:val="bottom"/>
          </w:tcPr>
          <w:p>
            <w:pPr>
              <w:spacing w:after="0"/>
              <w:rPr>
                <w:sz w:val="18"/>
                <w:szCs w:val="18"/>
                <w:color w:val="auto"/>
              </w:rPr>
            </w:pPr>
          </w:p>
        </w:tc>
        <w:tc>
          <w:tcPr>
            <w:tcW w:w="5780" w:type="dxa"/>
            <w:vAlign w:val="bottom"/>
            <w:gridSpan w:val="2"/>
          </w:tcPr>
          <w:p>
            <w:pPr>
              <w:ind w:left="280"/>
              <w:spacing w:after="0"/>
              <w:rPr>
                <w:sz w:val="20"/>
                <w:szCs w:val="20"/>
                <w:color w:val="auto"/>
              </w:rPr>
            </w:pPr>
            <w:r>
              <w:rPr>
                <w:rFonts w:ascii="Arial" w:cs="Arial" w:eastAsia="Arial" w:hAnsi="Arial"/>
                <w:sz w:val="18"/>
                <w:szCs w:val="18"/>
                <w:color w:val="auto"/>
              </w:rPr>
              <w:t>net proceeds from this offering to acquire or invest in complementary</w:t>
            </w:r>
          </w:p>
        </w:tc>
      </w:tr>
      <w:tr>
        <w:trPr>
          <w:trHeight w:val="216"/>
        </w:trPr>
        <w:tc>
          <w:tcPr>
            <w:tcW w:w="2960" w:type="dxa"/>
            <w:vAlign w:val="bottom"/>
          </w:tcPr>
          <w:p>
            <w:pPr>
              <w:spacing w:after="0"/>
              <w:rPr>
                <w:sz w:val="18"/>
                <w:szCs w:val="18"/>
                <w:color w:val="auto"/>
              </w:rPr>
            </w:pPr>
          </w:p>
        </w:tc>
        <w:tc>
          <w:tcPr>
            <w:tcW w:w="5780" w:type="dxa"/>
            <w:vAlign w:val="bottom"/>
            <w:gridSpan w:val="2"/>
          </w:tcPr>
          <w:p>
            <w:pPr>
              <w:ind w:left="280"/>
              <w:spacing w:after="0"/>
              <w:rPr>
                <w:sz w:val="20"/>
                <w:szCs w:val="20"/>
                <w:color w:val="auto"/>
              </w:rPr>
            </w:pPr>
            <w:r>
              <w:rPr>
                <w:rFonts w:ascii="Arial" w:cs="Arial" w:eastAsia="Arial" w:hAnsi="Arial"/>
                <w:sz w:val="18"/>
                <w:szCs w:val="18"/>
                <w:color w:val="auto"/>
                <w:w w:val="96"/>
              </w:rPr>
              <w:t>businesses, technologies or other assets, although we have no present</w:t>
            </w:r>
          </w:p>
        </w:tc>
      </w:tr>
      <w:tr>
        <w:trPr>
          <w:trHeight w:val="222"/>
        </w:trPr>
        <w:tc>
          <w:tcPr>
            <w:tcW w:w="2960" w:type="dxa"/>
            <w:vAlign w:val="bottom"/>
          </w:tcPr>
          <w:p>
            <w:pPr>
              <w:spacing w:after="0"/>
              <w:rPr>
                <w:sz w:val="19"/>
                <w:szCs w:val="19"/>
                <w:color w:val="auto"/>
              </w:rPr>
            </w:pPr>
          </w:p>
        </w:tc>
        <w:tc>
          <w:tcPr>
            <w:tcW w:w="5780" w:type="dxa"/>
            <w:vAlign w:val="bottom"/>
            <w:gridSpan w:val="2"/>
          </w:tcPr>
          <w:p>
            <w:pPr>
              <w:ind w:left="280"/>
              <w:spacing w:after="0"/>
              <w:rPr>
                <w:sz w:val="20"/>
                <w:szCs w:val="20"/>
                <w:color w:val="auto"/>
              </w:rPr>
            </w:pPr>
            <w:r>
              <w:rPr>
                <w:rFonts w:ascii="Arial" w:cs="Arial" w:eastAsia="Arial" w:hAnsi="Arial"/>
                <w:sz w:val="18"/>
                <w:szCs w:val="18"/>
                <w:color w:val="auto"/>
              </w:rPr>
              <w:t>commitments or agreements to do so. See "Use of Proceeds."</w:t>
            </w:r>
          </w:p>
        </w:tc>
      </w:tr>
      <w:tr>
        <w:trPr>
          <w:trHeight w:val="426"/>
        </w:trPr>
        <w:tc>
          <w:tcPr>
            <w:tcW w:w="2960" w:type="dxa"/>
            <w:vAlign w:val="bottom"/>
          </w:tcPr>
          <w:p>
            <w:pPr>
              <w:spacing w:after="0"/>
              <w:rPr>
                <w:sz w:val="20"/>
                <w:szCs w:val="20"/>
                <w:color w:val="auto"/>
              </w:rPr>
            </w:pPr>
            <w:r>
              <w:rPr>
                <w:rFonts w:ascii="Arial" w:cs="Arial" w:eastAsia="Arial" w:hAnsi="Arial"/>
                <w:sz w:val="18"/>
                <w:szCs w:val="18"/>
                <w:color w:val="auto"/>
              </w:rPr>
              <w:t>Risk factors</w:t>
            </w:r>
          </w:p>
        </w:tc>
        <w:tc>
          <w:tcPr>
            <w:tcW w:w="5780" w:type="dxa"/>
            <w:vAlign w:val="bottom"/>
            <w:gridSpan w:val="2"/>
          </w:tcPr>
          <w:p>
            <w:pPr>
              <w:ind w:left="280"/>
              <w:spacing w:after="0"/>
              <w:rPr>
                <w:sz w:val="20"/>
                <w:szCs w:val="20"/>
                <w:color w:val="auto"/>
              </w:rPr>
            </w:pPr>
            <w:r>
              <w:rPr>
                <w:rFonts w:ascii="Arial" w:cs="Arial" w:eastAsia="Arial" w:hAnsi="Arial"/>
                <w:sz w:val="18"/>
                <w:szCs w:val="18"/>
                <w:color w:val="auto"/>
                <w:w w:val="91"/>
              </w:rPr>
              <w:t>See "Risk Factors" for a discussion of factors you should consider carefully</w:t>
            </w:r>
          </w:p>
        </w:tc>
      </w:tr>
      <w:tr>
        <w:trPr>
          <w:trHeight w:val="222"/>
        </w:trPr>
        <w:tc>
          <w:tcPr>
            <w:tcW w:w="2960" w:type="dxa"/>
            <w:vAlign w:val="bottom"/>
          </w:tcPr>
          <w:p>
            <w:pPr>
              <w:spacing w:after="0"/>
              <w:rPr>
                <w:sz w:val="19"/>
                <w:szCs w:val="19"/>
                <w:color w:val="auto"/>
              </w:rPr>
            </w:pPr>
          </w:p>
        </w:tc>
        <w:tc>
          <w:tcPr>
            <w:tcW w:w="5780" w:type="dxa"/>
            <w:vAlign w:val="bottom"/>
            <w:gridSpan w:val="2"/>
          </w:tcPr>
          <w:p>
            <w:pPr>
              <w:ind w:left="280"/>
              <w:spacing w:after="0"/>
              <w:rPr>
                <w:sz w:val="20"/>
                <w:szCs w:val="20"/>
                <w:color w:val="auto"/>
              </w:rPr>
            </w:pPr>
            <w:r>
              <w:rPr>
                <w:rFonts w:ascii="Arial" w:cs="Arial" w:eastAsia="Arial" w:hAnsi="Arial"/>
                <w:sz w:val="18"/>
                <w:szCs w:val="18"/>
                <w:color w:val="auto"/>
              </w:rPr>
              <w:t>before deciding to invest in our common stock.</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NASDAQ Global Market symbol</w:t>
            </w:r>
          </w:p>
        </w:tc>
        <w:tc>
          <w:tcPr>
            <w:tcW w:w="1680" w:type="dxa"/>
            <w:vAlign w:val="bottom"/>
          </w:tcPr>
          <w:p>
            <w:pPr>
              <w:ind w:left="280"/>
              <w:spacing w:after="0"/>
              <w:rPr>
                <w:sz w:val="20"/>
                <w:szCs w:val="20"/>
                <w:color w:val="auto"/>
              </w:rPr>
            </w:pPr>
            <w:r>
              <w:rPr>
                <w:rFonts w:ascii="Arial" w:cs="Arial" w:eastAsia="Arial" w:hAnsi="Arial"/>
                <w:sz w:val="18"/>
                <w:szCs w:val="18"/>
                <w:color w:val="auto"/>
              </w:rPr>
              <w:t>"VCYT"</w:t>
            </w:r>
          </w:p>
        </w:tc>
        <w:tc>
          <w:tcPr>
            <w:tcW w:w="4100" w:type="dxa"/>
            <w:vAlign w:val="bottom"/>
          </w:tcPr>
          <w:p>
            <w:pPr>
              <w:spacing w:after="0"/>
              <w:rPr>
                <w:sz w:val="24"/>
                <w:szCs w:val="24"/>
                <w:color w:val="auto"/>
              </w:rPr>
            </w:pPr>
          </w:p>
        </w:tc>
      </w:tr>
    </w:tbl>
    <w:p>
      <w:pPr>
        <w:spacing w:after="0" w:line="210"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color w:val="auto"/>
        </w:rPr>
        <w:t>The number of shares of common stock to be outstanding immediately after this offering is based on 27,864,285 shares outstanding as of June 30, 2016 and excludes:</w:t>
      </w:r>
    </w:p>
    <w:p>
      <w:pPr>
        <w:spacing w:after="0" w:line="213" w:lineRule="exact"/>
        <w:rPr>
          <w:sz w:val="20"/>
          <w:szCs w:val="20"/>
          <w:color w:val="auto"/>
        </w:rPr>
      </w:pPr>
    </w:p>
    <w:p>
      <w:pPr>
        <w:ind w:left="1320" w:right="46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5,362,144 shares of our common stock issuable upon the exercise or vesting of options outstanding as of June 30, 2016 at a weighted-average exercise price of $7.59 per share;</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876,886 shares of common stock reserved for future issuance under our 2013 Stock Incentive Plan; and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684,272 shares of common stock reserved for future issuance under our Employee Stock Purchase Plan.</w:t>
      </w:r>
    </w:p>
    <w:p>
      <w:pPr>
        <w:spacing w:after="0" w:line="225"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color w:val="auto"/>
        </w:rPr>
        <w:t>Except as otherwise indicated, all information in this prospectus supplement assumes no exercise by the underwriters of their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Investing in shares of our common stock involves a high degree of risk. You should consider carefully the risks and uncertainties described below and in our Quarterly Report on Form 10-Q for the quarter ended June 30, 2016 incorporated by reference in this prospectus supplement and the accompanying prospectus, any amendment or update thereto reflected in our subsequent filings with the Securities and Exchange Commission, and all of the other information in this prospectus supplement and the accompanying prospectus, including our financial statements and related notes incorporated by reference in this prospectus supplement and the accompanying prospectus, before making an investment decision.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 and may result in increased future tax liability to us.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incurred net losses since our inception and may never achieve profitability. To the extent that we continue to generate taxable losses, unused losses will carry forward to offset future taxable income, if any, until such unused losses expire. We may be unable to use these losses to offset income before those unused losses expire. Generally, a change of more than 50% in the ownership of a corporation's stock, by value, over a three-year period constitutes an ownership change for U.S. federal income tax purposes. An ownership change may limit a company's ability to use its net operating loss carryforwards attributable to the period prior to such change. In the event we have undergone an ownership change under Section 382 of the Internal Revenue Code, if we earn net taxable income, our ability to use our pre-change net operating loss carryforwards to offset U.S. federal taxable income may become subject to limitations, which could potentially result in increased future tax liability to us.</w:t>
      </w:r>
    </w:p>
    <w:p>
      <w:pPr>
        <w:spacing w:after="0" w:line="1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financial results depend solely on sales of Afirma, and we will need to generate sufficient revenue from this and other diagnostic solutions to grow our business.</w:t>
      </w:r>
    </w:p>
    <w:p>
      <w:pPr>
        <w:spacing w:after="0" w:line="18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All of our revenues have been derived from the sale of Afirma, which we commercially launched in January 2011. For the foreseeable future, we expect to derive substantially all of our revenue from sales of Afirma. We launched our first product in pulmonology for lung cancer, Percepta, in April 2015, and our commercialization efforts may not be successful. We also launched Envisia for improved diagnosis of Idiopathic Pulmonary Fibrosis in October 2016, and our commercialization efforts for Envisia may not be successful. In addition,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solutions for these diseases. If we are unable to increase sales and expand reimbursement for Afirma, or successfully commercialize and obtain coverage and reimbursement for Percepta and Envisia and develop and commercialize other solutions, our revenue and our ability to achieve and sustain profitability would be impaired, and the market price of our common stock could decline.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This Offering</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174"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b w:val="1"/>
          <w:bCs w:val="1"/>
          <w:i w:val="1"/>
          <w:iCs w:val="1"/>
          <w:color w:val="auto"/>
        </w:rPr>
        <w:t>If you purchase shares of our common stock sold in this offering, you will experience immediate and substantial dilution in the net tangible book value of your shares. In addition, we may issue additional equity or equity-linked securities in the future, which may result in additional dilution to you.</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price per share of our common stock being offered may be higher than the net tangible book value per share of our outstanding common stock prior to this</w:t>
      </w:r>
    </w:p>
    <w:p>
      <w:pPr>
        <w:spacing w:after="0" w:line="38"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offering. Based on the public offering price of $</w:t>
      </w:r>
      <w:r>
        <w:rPr>
          <w:sz w:val="20"/>
          <w:szCs w:val="20"/>
          <w:color w:val="auto"/>
        </w:rPr>
        <w:tab/>
      </w:r>
      <w:r>
        <w:rPr>
          <w:rFonts w:ascii="Arial" w:cs="Arial" w:eastAsia="Arial" w:hAnsi="Arial"/>
          <w:sz w:val="15"/>
          <w:szCs w:val="15"/>
          <w:color w:val="auto"/>
        </w:rPr>
        <w:t>per share and our net tangible book value as of June 30, 2016 of approximately $0.65 per share, if you</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purchase shares of common stock in this offering, you will suffer immediate and substantial dilution of $ per share, representing the difference between the public offering price and the as adjusted net tangible book value per share of our common stock as of June 30, 2016 after giving effect to this offering. See the section entitled "Dilution" below for a more detailed discussion of the dilution you will incur if you purchase common stock in this offering. In addition, we have a significant number of outstanding options to purchase common stock. If the holders of these options exercise their options, you may incur further dilution. Also, to the extent we need to raise additional capital in the future and we issue additional shares of common stock or securities convertible into or exchangeable for our common stock, our then existing stockholders may experience dilution and the new securities may have rights senior to those of our common stock offered in this offering.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The accompanying prospectus also covers the sale by existing stockholders of up to 5,000,000 shares of our common stock and, as of the date of this prospectus supplement, most of our other outstanding shares of common stock are available for sale in the public market at any time by our existing stockholders, subject to Rule 144 limitations applicable to affiliates. We are unable to predict the effect that sales may have on the prevailing market price of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This prospectus supplement, the accompanying prospectus and the documents we have filed with the Securities and Exchange Commission, or SEC, that are incorporated by reference in this prospectus supplement and the accompanying prospectus contain forward-looking statements that involve risks and uncertainties. These statements relate to future periods, future events or our future operating or financial plans or performance. These statements can often be identified by the use of forward-looking terminology such as "expects," "believes," "anticipates," "estimates," "plans," "may," "could," "will," "intends" or the negative of these terms, and other similar expressions and include statements as to the estimated market opportunities for our products, our estimated financial results as of and for the three months ended September 30, 2016, and our intentions with respect to the use of the net proceeds from this offering.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statements are subject to known and unknown risks, uncertainties and assumptions that could cause actual results to differ materially from those projected or otherwise implied by the forward-looking statements, including the following: the results of completion of our quarter-end closing procedures and financial review; our ability to increase usage of and reimbursement for Afirma and to obtain reimbursement for any future products we may develop or sell; our ability to continue our momentum and growth; our dependence on a few payers for a significant portion of our revenue; the complexity, time and expense associated with billing and collecting from payers for our tests; laws and regulations applicable to our business, including potential regulation by the Food and Drug Administration or other regulatory bodies; our ability to develop and commercialize new products and the timing of commercialization; our ability to successfully achieve adoption of and reimbursement for our Percepta and Envisia Bronchial Genomic Classifiers; our ability to achieve sales penetration in complex commercial accounts; the occurrence and outcome of clinical studies; the timing and publication of study results; the applicability of clinical results to actual outcomes; our inclusion in clinical practice guidelines; the continued application of clinical guidelines to our products; our ability to compete; and our ability to raise capital when needed. Given these risks, uncertainties and assumptions, you should not place undue reliance on these forward-looking statements. We discuss in greater detail, and incorporate by reference into this prospectus supplement and the accompanying prospectus, many of these risks, uncertainties and assumptions under the heading "Risk Factors." Additional cautionary statements or discussions of risks, uncertainties and assumptions that could affect our results or the achievement of the expectations described in forward-looking statements are also contained in the documents we incorporate by reference into this prospectus supplement and the accompanying prospectus.</w:t>
      </w:r>
    </w:p>
    <w:p>
      <w:pPr>
        <w:spacing w:after="0" w:line="38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Any forward-looking statement made by us in this prospectus supplement, the accompanying prospectus, or any of the documents incorporated by reference in this prospectus supplement and the accompanying prospectus speaks only as of the date on which it was made.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7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You should read this prospectus supplement, the accompanying prospectus, and the documents that we reference in this prospectus supplement and the accompanying prospectus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prospectus supplement, the accompanying prospectus, and the documents that we reference in this prospectus and the accompanying prospectus also contain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You are cautioned not to give undue weight to those data and estimates. Projections, assumptions and estimates of future performance are necessarily subject to risks and uncertainties that could cause actual results to differ materially.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6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200" w:type="dxa"/>
            <w:vAlign w:val="bottom"/>
          </w:tcPr>
          <w:p>
            <w:pPr>
              <w:spacing w:after="0"/>
              <w:rPr>
                <w:sz w:val="17"/>
                <w:szCs w:val="17"/>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7360" w:type="dxa"/>
            <w:vAlign w:val="bottom"/>
          </w:tcPr>
          <w:p>
            <w:pPr>
              <w:ind w:left="3620"/>
              <w:spacing w:after="0"/>
              <w:rPr>
                <w:sz w:val="20"/>
                <w:szCs w:val="20"/>
                <w:color w:val="auto"/>
              </w:rPr>
            </w:pPr>
            <w:r>
              <w:rPr>
                <w:rFonts w:ascii="Arial" w:cs="Arial" w:eastAsia="Arial" w:hAnsi="Arial"/>
                <w:sz w:val="18"/>
                <w:szCs w:val="18"/>
                <w:b w:val="1"/>
                <w:bCs w:val="1"/>
                <w:color w:val="auto"/>
              </w:rPr>
              <w:t>USE OF PROCEEDS</w:t>
            </w:r>
          </w:p>
        </w:tc>
        <w:tc>
          <w:tcPr>
            <w:tcW w:w="2200" w:type="dxa"/>
            <w:vAlign w:val="bottom"/>
          </w:tcPr>
          <w:p>
            <w:pPr>
              <w:spacing w:after="0"/>
              <w:rPr>
                <w:sz w:val="24"/>
                <w:szCs w:val="24"/>
                <w:color w:val="auto"/>
              </w:rPr>
            </w:pP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w w:val="91"/>
              </w:rPr>
              <w:t>We estimate that the net proceeds from the sale of shares of our common stock in this offering will be approximately $</w:t>
            </w:r>
          </w:p>
        </w:tc>
        <w:tc>
          <w:tcPr>
            <w:tcW w:w="2200" w:type="dxa"/>
            <w:vAlign w:val="bottom"/>
          </w:tcPr>
          <w:p>
            <w:pPr>
              <w:ind w:left="280"/>
              <w:spacing w:after="0"/>
              <w:rPr>
                <w:sz w:val="20"/>
                <w:szCs w:val="20"/>
                <w:color w:val="auto"/>
              </w:rPr>
            </w:pPr>
            <w:r>
              <w:rPr>
                <w:rFonts w:ascii="Arial" w:cs="Arial" w:eastAsia="Arial" w:hAnsi="Arial"/>
                <w:sz w:val="18"/>
                <w:szCs w:val="18"/>
                <w:color w:val="auto"/>
                <w:w w:val="90"/>
              </w:rPr>
              <w:t>million, after deducting the</w:t>
            </w:r>
          </w:p>
        </w:tc>
      </w:tr>
    </w:tbl>
    <w:p>
      <w:pPr>
        <w:spacing w:after="0"/>
        <w:rPr>
          <w:sz w:val="20"/>
          <w:szCs w:val="20"/>
          <w:color w:val="auto"/>
        </w:rPr>
      </w:pPr>
      <w:r>
        <w:rPr>
          <w:rFonts w:ascii="Arial" w:cs="Arial" w:eastAsia="Arial" w:hAnsi="Arial"/>
          <w:sz w:val="15"/>
          <w:szCs w:val="15"/>
          <w:color w:val="auto"/>
        </w:rPr>
        <w:t>underwriting discounts and commissions and estimated offering expenses we expect to pay. If the underwriters exercise their option to purchase additional shares</w:t>
      </w:r>
    </w:p>
    <w:p>
      <w:pPr>
        <w:spacing w:after="0" w:line="38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full, we estimate that our net proceeds will be approximately $ million, after deducting the underwriting discounts and commissions and estimated offering expenses we expect to pay.</w:t>
      </w:r>
    </w:p>
    <w:p>
      <w:pPr>
        <w:spacing w:after="0" w:line="18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We currently intend to use the net proceeds of this offering for working capital and other general corporate purposes. We may also use a portion of the net proceeds from this offering to acquire or invest in complementary businesses, technologies or other assets, although we have no present commitments or agreements to do so. As a result, our management will have broad discretion in the way that we use the net proceeds and investors will be relying on our judgment regarding the application of the net proceeds of this offering.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price per share of our common stock you pay in this offering and the net tangible book value per share of our common stock immediately after this offering.</w:t>
      </w:r>
    </w:p>
    <w:p>
      <w:pPr>
        <w:spacing w:after="0" w:line="139" w:lineRule="exact"/>
        <w:rPr>
          <w:sz w:val="20"/>
          <w:szCs w:val="20"/>
          <w:color w:val="auto"/>
        </w:rPr>
      </w:pPr>
    </w:p>
    <w:p>
      <w:pPr>
        <w:ind w:right="160"/>
        <w:spacing w:after="0" w:line="305" w:lineRule="auto"/>
        <w:rPr>
          <w:sz w:val="20"/>
          <w:szCs w:val="20"/>
          <w:color w:val="auto"/>
        </w:rPr>
      </w:pPr>
      <w:r>
        <w:rPr>
          <w:rFonts w:ascii="Arial" w:cs="Arial" w:eastAsia="Arial" w:hAnsi="Arial"/>
          <w:sz w:val="15"/>
          <w:szCs w:val="15"/>
          <w:color w:val="auto"/>
        </w:rPr>
        <w:t>Our net tangible book value as of June 30, 2016 was approximately $18.0 million, or $0.65 per share of our common stock. Net tangible book value per share is calculated by subtracting our total liabilities from our total tangible assets, which is total assets less intangible assets, and dividing this amount by the number of</w:t>
      </w:r>
    </w:p>
    <w:p>
      <w:pPr>
        <w:spacing w:after="0" w:line="281" w:lineRule="auto"/>
        <w:rPr>
          <w:sz w:val="20"/>
          <w:szCs w:val="20"/>
          <w:color w:val="auto"/>
        </w:rPr>
      </w:pPr>
      <w:r>
        <w:rPr>
          <w:rFonts w:ascii="Arial" w:cs="Arial" w:eastAsia="Arial" w:hAnsi="Arial"/>
          <w:sz w:val="16"/>
          <w:szCs w:val="16"/>
          <w:color w:val="auto"/>
        </w:rPr>
        <w:t>shares of our common stock outstanding. After giving effect to the sale by us of shares our common stock at the public offering price of $ per share and after deducting the underwriting discounts and commissions and estimated offering expenses we expect to pay, our as adjusted net tangible book value as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gridSpan w:val="4"/>
          </w:tcPr>
          <w:p>
            <w:pPr>
              <w:spacing w:after="0"/>
              <w:rPr>
                <w:sz w:val="20"/>
                <w:szCs w:val="20"/>
                <w:color w:val="auto"/>
              </w:rPr>
            </w:pPr>
            <w:r>
              <w:rPr>
                <w:rFonts w:ascii="Arial" w:cs="Arial" w:eastAsia="Arial" w:hAnsi="Arial"/>
                <w:sz w:val="18"/>
                <w:szCs w:val="18"/>
                <w:color w:val="auto"/>
                <w:w w:val="96"/>
              </w:rPr>
              <w:t>June 30, 2016 would have been $</w:t>
            </w:r>
          </w:p>
        </w:tc>
        <w:tc>
          <w:tcPr>
            <w:tcW w:w="1440" w:type="dxa"/>
            <w:vAlign w:val="bottom"/>
          </w:tcPr>
          <w:p>
            <w:pPr>
              <w:ind w:left="280"/>
              <w:spacing w:after="0"/>
              <w:rPr>
                <w:sz w:val="20"/>
                <w:szCs w:val="20"/>
                <w:color w:val="auto"/>
              </w:rPr>
            </w:pPr>
            <w:r>
              <w:rPr>
                <w:rFonts w:ascii="Arial" w:cs="Arial" w:eastAsia="Arial" w:hAnsi="Arial"/>
                <w:sz w:val="18"/>
                <w:szCs w:val="18"/>
                <w:color w:val="auto"/>
              </w:rPr>
              <w:t>million, or $</w:t>
            </w:r>
          </w:p>
        </w:tc>
        <w:tc>
          <w:tcPr>
            <w:tcW w:w="6940" w:type="dxa"/>
            <w:vAlign w:val="bottom"/>
            <w:gridSpan w:val="9"/>
          </w:tcPr>
          <w:p>
            <w:pPr>
              <w:ind w:left="280"/>
              <w:spacing w:after="0"/>
              <w:rPr>
                <w:sz w:val="20"/>
                <w:szCs w:val="20"/>
                <w:color w:val="auto"/>
              </w:rPr>
            </w:pPr>
            <w:r>
              <w:rPr>
                <w:rFonts w:ascii="Arial" w:cs="Arial" w:eastAsia="Arial" w:hAnsi="Arial"/>
                <w:sz w:val="18"/>
                <w:szCs w:val="18"/>
                <w:color w:val="auto"/>
                <w:w w:val="87"/>
              </w:rPr>
              <w:t>per share of our common stock. This represents an immediate increase in the net tangible book</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value of $</w:t>
            </w:r>
          </w:p>
        </w:tc>
        <w:tc>
          <w:tcPr>
            <w:tcW w:w="240" w:type="dxa"/>
            <w:vAlign w:val="bottom"/>
          </w:tcPr>
          <w:p>
            <w:pPr>
              <w:spacing w:after="0"/>
              <w:rPr>
                <w:sz w:val="18"/>
                <w:szCs w:val="18"/>
                <w:color w:val="auto"/>
              </w:rPr>
            </w:pPr>
          </w:p>
        </w:tc>
        <w:tc>
          <w:tcPr>
            <w:tcW w:w="8040" w:type="dxa"/>
            <w:vAlign w:val="bottom"/>
            <w:gridSpan w:val="8"/>
          </w:tcPr>
          <w:p>
            <w:pPr>
              <w:ind w:left="80"/>
              <w:spacing w:after="0"/>
              <w:rPr>
                <w:sz w:val="20"/>
                <w:szCs w:val="20"/>
                <w:color w:val="auto"/>
              </w:rPr>
            </w:pPr>
            <w:r>
              <w:rPr>
                <w:rFonts w:ascii="Arial" w:cs="Arial" w:eastAsia="Arial" w:hAnsi="Arial"/>
                <w:sz w:val="18"/>
                <w:szCs w:val="18"/>
                <w:color w:val="auto"/>
                <w:w w:val="90"/>
              </w:rPr>
              <w:t>per share to our existing stockholders and an immediate and substantial dilution in net tangible book value of $</w:t>
            </w:r>
          </w:p>
        </w:tc>
        <w:tc>
          <w:tcPr>
            <w:tcW w:w="160" w:type="dxa"/>
            <w:vAlign w:val="bottom"/>
          </w:tcPr>
          <w:p>
            <w:pPr>
              <w:spacing w:after="0"/>
              <w:rPr>
                <w:sz w:val="18"/>
                <w:szCs w:val="18"/>
                <w:color w:val="auto"/>
              </w:rPr>
            </w:pPr>
          </w:p>
        </w:tc>
        <w:tc>
          <w:tcPr>
            <w:tcW w:w="1660" w:type="dxa"/>
            <w:vAlign w:val="bottom"/>
            <w:gridSpan w:val="3"/>
          </w:tcPr>
          <w:p>
            <w:pPr>
              <w:ind w:left="200"/>
              <w:spacing w:after="0"/>
              <w:rPr>
                <w:sz w:val="20"/>
                <w:szCs w:val="20"/>
                <w:color w:val="auto"/>
              </w:rPr>
            </w:pPr>
            <w:r>
              <w:rPr>
                <w:rFonts w:ascii="Arial" w:cs="Arial" w:eastAsia="Arial" w:hAnsi="Arial"/>
                <w:sz w:val="18"/>
                <w:szCs w:val="18"/>
                <w:color w:val="auto"/>
              </w:rPr>
              <w:t>per share to new</w:t>
            </w:r>
          </w:p>
        </w:tc>
        <w:tc>
          <w:tcPr>
            <w:tcW w:w="0" w:type="dxa"/>
            <w:vAlign w:val="bottom"/>
          </w:tcPr>
          <w:p>
            <w:pPr>
              <w:spacing w:after="0"/>
              <w:rPr>
                <w:sz w:val="1"/>
                <w:szCs w:val="1"/>
                <w:color w:val="auto"/>
              </w:rPr>
            </w:pPr>
          </w:p>
        </w:tc>
      </w:tr>
      <w:tr>
        <w:trPr>
          <w:trHeight w:val="222"/>
        </w:trPr>
        <w:tc>
          <w:tcPr>
            <w:tcW w:w="4780" w:type="dxa"/>
            <w:vAlign w:val="bottom"/>
            <w:gridSpan w:val="6"/>
          </w:tcPr>
          <w:p>
            <w:pPr>
              <w:spacing w:after="0"/>
              <w:rPr>
                <w:sz w:val="20"/>
                <w:szCs w:val="20"/>
                <w:color w:val="auto"/>
              </w:rPr>
            </w:pPr>
            <w:r>
              <w:rPr>
                <w:rFonts w:ascii="Arial" w:cs="Arial" w:eastAsia="Arial" w:hAnsi="Arial"/>
                <w:sz w:val="18"/>
                <w:szCs w:val="18"/>
                <w:color w:val="auto"/>
                <w:w w:val="96"/>
              </w:rPr>
              <w:t>investors. The following table illustrates this per share dilution:</w:t>
            </w:r>
          </w:p>
        </w:tc>
        <w:tc>
          <w:tcPr>
            <w:tcW w:w="3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2920" w:type="dxa"/>
            <w:vAlign w:val="bottom"/>
            <w:gridSpan w:val="3"/>
          </w:tcPr>
          <w:p>
            <w:pPr>
              <w:spacing w:after="0"/>
              <w:rPr>
                <w:sz w:val="18"/>
                <w:szCs w:val="18"/>
                <w:color w:val="auto"/>
              </w:rPr>
            </w:pPr>
          </w:p>
        </w:tc>
        <w:tc>
          <w:tcPr>
            <w:tcW w:w="7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7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9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40" w:type="dxa"/>
            <w:vAlign w:val="bottom"/>
            <w:gridSpan w:val="5"/>
          </w:tcPr>
          <w:p>
            <w:pPr>
              <w:ind w:left="160"/>
              <w:spacing w:after="0"/>
              <w:rPr>
                <w:sz w:val="20"/>
                <w:szCs w:val="20"/>
                <w:color w:val="auto"/>
              </w:rPr>
            </w:pPr>
            <w:r>
              <w:rPr>
                <w:rFonts w:ascii="Arial" w:cs="Arial" w:eastAsia="Arial" w:hAnsi="Arial"/>
                <w:sz w:val="18"/>
                <w:szCs w:val="18"/>
                <w:color w:val="auto"/>
              </w:rPr>
              <w:t>Net tangible book value per share as of June 30, 2016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0.65</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7"/>
              </w:rPr>
              <w:t>Increase in as adjusted net tangible book value per share attributable to new investors</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7080" w:type="dxa"/>
            <w:vAlign w:val="bottom"/>
            <w:gridSpan w:val="6"/>
          </w:tcPr>
          <w:p>
            <w:pPr>
              <w:ind w:left="220"/>
              <w:spacing w:after="0"/>
              <w:rPr>
                <w:sz w:val="20"/>
                <w:szCs w:val="20"/>
                <w:color w:val="auto"/>
              </w:rPr>
            </w:pPr>
            <w:r>
              <w:rPr>
                <w:rFonts w:ascii="Arial" w:cs="Arial" w:eastAsia="Arial" w:hAnsi="Arial"/>
                <w:sz w:val="18"/>
                <w:szCs w:val="18"/>
                <w:color w:val="auto"/>
              </w:rPr>
              <w:t>As adjusted net tangible book value per share after this offering</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8"/>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6"/>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780" w:type="dxa"/>
            <w:vAlign w:val="bottom"/>
            <w:gridSpan w:val="6"/>
          </w:tcPr>
          <w:p>
            <w:pPr>
              <w:spacing w:after="0"/>
              <w:rPr>
                <w:sz w:val="20"/>
                <w:szCs w:val="20"/>
                <w:color w:val="auto"/>
              </w:rPr>
            </w:pPr>
            <w:r>
              <w:rPr>
                <w:rFonts w:ascii="Arial" w:cs="Arial" w:eastAsia="Arial" w:hAnsi="Arial"/>
                <w:sz w:val="18"/>
                <w:szCs w:val="18"/>
                <w:color w:val="auto"/>
                <w:w w:val="94"/>
              </w:rPr>
              <w:t>If the underwriters exercise in full their option to purchase up to</w:t>
            </w:r>
          </w:p>
        </w:tc>
        <w:tc>
          <w:tcPr>
            <w:tcW w:w="6240" w:type="dxa"/>
            <w:vAlign w:val="bottom"/>
            <w:gridSpan w:val="8"/>
          </w:tcPr>
          <w:p>
            <w:pPr>
              <w:ind w:left="260"/>
              <w:spacing w:after="0"/>
              <w:rPr>
                <w:sz w:val="20"/>
                <w:szCs w:val="20"/>
                <w:color w:val="auto"/>
              </w:rPr>
            </w:pPr>
            <w:r>
              <w:rPr>
                <w:rFonts w:ascii="Arial" w:cs="Arial" w:eastAsia="Arial" w:hAnsi="Arial"/>
                <w:sz w:val="18"/>
                <w:szCs w:val="18"/>
                <w:color w:val="auto"/>
                <w:w w:val="87"/>
              </w:rPr>
              <w:t>additional shares from us, the as adjusted net tangible book value per share after this</w:t>
            </w:r>
          </w:p>
        </w:tc>
        <w:tc>
          <w:tcPr>
            <w:tcW w:w="0" w:type="dxa"/>
            <w:vAlign w:val="bottom"/>
          </w:tcPr>
          <w:p>
            <w:pPr>
              <w:spacing w:after="0"/>
              <w:rPr>
                <w:sz w:val="1"/>
                <w:szCs w:val="1"/>
                <w:color w:val="auto"/>
              </w:rPr>
            </w:pPr>
          </w:p>
        </w:tc>
      </w:tr>
      <w:tr>
        <w:trPr>
          <w:trHeight w:val="222"/>
        </w:trPr>
        <w:tc>
          <w:tcPr>
            <w:tcW w:w="1660" w:type="dxa"/>
            <w:vAlign w:val="bottom"/>
            <w:gridSpan w:val="3"/>
          </w:tcPr>
          <w:p>
            <w:pPr>
              <w:spacing w:after="0"/>
              <w:rPr>
                <w:sz w:val="20"/>
                <w:szCs w:val="20"/>
                <w:color w:val="auto"/>
              </w:rPr>
            </w:pPr>
            <w:r>
              <w:rPr>
                <w:rFonts w:ascii="Arial" w:cs="Arial" w:eastAsia="Arial" w:hAnsi="Arial"/>
                <w:sz w:val="18"/>
                <w:szCs w:val="18"/>
                <w:color w:val="auto"/>
              </w:rPr>
              <w:t>offering would be $</w:t>
            </w:r>
          </w:p>
        </w:tc>
        <w:tc>
          <w:tcPr>
            <w:tcW w:w="6340" w:type="dxa"/>
            <w:vAlign w:val="bottom"/>
            <w:gridSpan w:val="4"/>
          </w:tcPr>
          <w:p>
            <w:pPr>
              <w:ind w:left="260"/>
              <w:spacing w:after="0"/>
              <w:rPr>
                <w:sz w:val="20"/>
                <w:szCs w:val="20"/>
                <w:color w:val="auto"/>
              </w:rPr>
            </w:pPr>
            <w:r>
              <w:rPr>
                <w:rFonts w:ascii="Arial" w:cs="Arial" w:eastAsia="Arial" w:hAnsi="Arial"/>
                <w:sz w:val="18"/>
                <w:szCs w:val="18"/>
                <w:color w:val="auto"/>
                <w:w w:val="93"/>
              </w:rPr>
              <w:t>per share and the dilution to new investors participating in this offering would be $</w:t>
            </w:r>
          </w:p>
        </w:tc>
        <w:tc>
          <w:tcPr>
            <w:tcW w:w="1200" w:type="dxa"/>
            <w:vAlign w:val="bottom"/>
            <w:gridSpan w:val="3"/>
          </w:tcPr>
          <w:p>
            <w:pPr>
              <w:jc w:val="right"/>
              <w:ind w:right="172"/>
              <w:spacing w:after="0"/>
              <w:rPr>
                <w:sz w:val="20"/>
                <w:szCs w:val="20"/>
                <w:color w:val="auto"/>
              </w:rPr>
            </w:pPr>
            <w:r>
              <w:rPr>
                <w:rFonts w:ascii="Arial" w:cs="Arial" w:eastAsia="Arial" w:hAnsi="Arial"/>
                <w:sz w:val="18"/>
                <w:szCs w:val="18"/>
                <w:color w:val="auto"/>
              </w:rPr>
              <w:t>per share.</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calculations above are based on 27,864,285 shares of our common stock outstanding as of June 30, 2016. The number of shares of common stock outstanding as of June 30, 2016 excludes:</w:t>
      </w:r>
    </w:p>
    <w:p>
      <w:pPr>
        <w:spacing w:after="0" w:line="199" w:lineRule="exact"/>
        <w:rPr>
          <w:sz w:val="20"/>
          <w:szCs w:val="20"/>
          <w:color w:val="auto"/>
        </w:rPr>
      </w:pPr>
    </w:p>
    <w:p>
      <w:pPr>
        <w:ind w:left="1080" w:right="3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5,362,144 shares of our common stock issuable upon the exercise or vesting of options outstanding as of June 30, 2016 at a weighted-average exercise price of $7.59 per share;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876,886 shares of common stock reserved for future issuance under our 2013 Stock Incentive Plan;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684,272 shares of common stock reserved for future issuance under our Employee Stock Purchase Plan.</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 the extent that any outstanding options are exercised or new options or shares are issued under our stock incentive plan or employee stock purchase plan after June 30, 2016, there will be further dilution to investors participating in this offering.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PRICE RANGE OF COMMON STOCK</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common stock is listed on The NASDAQ Global Market under the symbol "VCYT." The following table sets forth, for the periods indicated, the high and low sales prices per share of our common stock as reported by The NASDAQ Global Market.</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Low</w:t>
            </w:r>
          </w:p>
        </w:tc>
      </w:tr>
      <w:tr>
        <w:trPr>
          <w:trHeight w:val="42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13.76</w:t>
            </w: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12.24</w:t>
            </w: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9.22</w:t>
            </w: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w:t>
            </w:r>
          </w:p>
        </w:tc>
      </w:tr>
      <w:tr>
        <w:trPr>
          <w:trHeight w:val="431"/>
        </w:trPr>
        <w:tc>
          <w:tcPr>
            <w:tcW w:w="636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w:t>
            </w: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7.24</w:t>
            </w: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w:t>
            </w: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4.69</w:t>
            </w:r>
          </w:p>
        </w:tc>
      </w:tr>
      <w:tr>
        <w:trPr>
          <w:trHeight w:val="432"/>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7.31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4.21</w:t>
            </w: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4.83</w:t>
            </w: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 (through October 31, 2016)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w:t>
            </w:r>
          </w:p>
        </w:tc>
      </w:tr>
    </w:tbl>
    <w:p>
      <w:pPr>
        <w:spacing w:after="0" w:line="20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October 31, 2016, the last reported sale price of our common stock on The NASDAQ Global Market was $7.26 per share. As of October 28, 2016, there were approximately 23 holders of record of our common stock. This number does not reflect the beneficial ownership of shares held in nominee name.</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any future earnings and do not expect to pay any dividends in the foreseeable future. Our credit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Leerink Partners LLC is acting as representative of each of the underwriters named below and as sole bookrunning manager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p>
      <w:pPr>
        <w:sectPr>
          <w:pgSz w:w="11900" w:h="16838" w:orient="portrait"/>
          <w:cols w:equalWidth="0" w:num="1">
            <w:col w:w="11420"/>
          </w:cols>
          <w:pgMar w:left="240" w:top="131" w:right="239" w:bottom="1440" w:gutter="0" w:footer="0" w:header="0"/>
        </w:sectPr>
      </w:pPr>
    </w:p>
    <w:p>
      <w:pPr>
        <w:spacing w:after="0" w:line="305" w:lineRule="exact"/>
        <w:rPr>
          <w:sz w:val="20"/>
          <w:szCs w:val="20"/>
          <w:color w:val="auto"/>
        </w:rPr>
      </w:pPr>
    </w:p>
    <w:p>
      <w:pPr>
        <w:ind w:left="1720"/>
        <w:spacing w:after="0"/>
        <w:rPr>
          <w:sz w:val="20"/>
          <w:szCs w:val="20"/>
          <w:color w:val="auto"/>
        </w:rPr>
      </w:pPr>
      <w:r>
        <w:rPr>
          <w:rFonts w:ascii="Arial" w:cs="Arial" w:eastAsia="Arial" w:hAnsi="Arial"/>
          <w:sz w:val="12"/>
          <w:szCs w:val="12"/>
          <w:b w:val="1"/>
          <w:bCs w:val="1"/>
          <w:u w:val="single" w:color="auto"/>
          <w:color w:val="auto"/>
        </w:rPr>
        <w:t>Underwriter</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196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196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-7620</wp:posOffset>
            </wp:positionV>
            <wp:extent cx="4972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120" w:space="720"/>
            <w:col w:w="2580"/>
          </w:cols>
          <w:pgMar w:left="240" w:top="131" w:right="239" w:bottom="1440" w:gutter="0" w:footer="0" w:header="0"/>
          <w:type w:val="continuous"/>
        </w:sectPr>
      </w:pPr>
    </w:p>
    <w:p>
      <w:pPr>
        <w:ind w:left="1720"/>
        <w:spacing w:after="0"/>
        <w:rPr>
          <w:sz w:val="20"/>
          <w:szCs w:val="20"/>
          <w:color w:val="auto"/>
        </w:rPr>
      </w:pPr>
      <w:r>
        <w:rPr>
          <w:rFonts w:ascii="Arial" w:cs="Arial" w:eastAsia="Arial" w:hAnsi="Arial"/>
          <w:sz w:val="18"/>
          <w:szCs w:val="18"/>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BTIG,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6985</wp:posOffset>
            </wp:positionV>
            <wp:extent cx="5068570"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68570" cy="29146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589915</wp:posOffset>
            </wp:positionV>
            <wp:extent cx="5068570"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6857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61"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right="360"/>
        <w:spacing w:after="0" w:line="335" w:lineRule="auto"/>
        <w:rPr>
          <w:sz w:val="20"/>
          <w:szCs w:val="20"/>
          <w:color w:val="auto"/>
        </w:rPr>
      </w:pPr>
      <w:r>
        <w:rPr>
          <w:rFonts w:ascii="Arial" w:cs="Arial" w:eastAsia="Arial" w:hAnsi="Arial"/>
          <w:sz w:val="15"/>
          <w:szCs w:val="15"/>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representative has advised us that the underwriters propose initially to offer the shares to the public at the public offering price set forth on the cover page of</w:t>
      </w:r>
    </w:p>
    <w:p>
      <w:pPr>
        <w:spacing w:after="0" w:line="3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this prospectus and to dealers at that price less a concession not in excess of $ per share. After the initial offering of the shares, the public offering price, concession or any other term of this offering may be changed by the representative.</w:t>
      </w:r>
    </w:p>
    <w:p>
      <w:pPr>
        <w:spacing w:after="0" w:line="19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w:t>
            </w:r>
          </w:p>
        </w:tc>
        <w:tc>
          <w:tcPr>
            <w:tcW w:w="1520" w:type="dxa"/>
            <w:vAlign w:val="bottom"/>
            <w:gridSpan w:val="4"/>
          </w:tcPr>
          <w:p>
            <w:pPr>
              <w:ind w:lef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57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tcBorders>
              <w:top w:val="single" w:sz="8" w:color="auto"/>
            </w:tcBorders>
          </w:tcPr>
          <w:p>
            <w:pPr>
              <w:jc w:val="right"/>
              <w:ind w:right="8"/>
              <w:spacing w:after="0" w:line="129" w:lineRule="exact"/>
              <w:rPr>
                <w:sz w:val="20"/>
                <w:szCs w:val="20"/>
                <w:color w:val="auto"/>
              </w:rPr>
            </w:pPr>
            <w:r>
              <w:rPr>
                <w:rFonts w:ascii="Arial" w:cs="Arial" w:eastAsia="Arial" w:hAnsi="Arial"/>
                <w:sz w:val="14"/>
                <w:szCs w:val="14"/>
                <w:b w:val="1"/>
                <w:bCs w:val="1"/>
                <w:color w:val="auto"/>
                <w:w w:val="99"/>
              </w:rPr>
              <w:t>Without</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With</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4"/>
                <w:szCs w:val="14"/>
                <w:color w:val="auto"/>
              </w:rPr>
            </w:pPr>
          </w:p>
        </w:tc>
        <w:tc>
          <w:tcPr>
            <w:tcW w:w="5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580" w:type="dxa"/>
            <w:vAlign w:val="bottom"/>
          </w:tcPr>
          <w:p>
            <w:pPr>
              <w:jc w:val="right"/>
              <w:ind w:right="42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20" w:type="dxa"/>
            <w:vAlign w:val="bottom"/>
          </w:tcPr>
          <w:p>
            <w:pPr>
              <w:jc w:val="right"/>
              <w:ind w:right="468"/>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760"/>
        <w:spacing w:after="0" w:line="259" w:lineRule="auto"/>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 referred to above, will be approximately $400,000. We also have agreed to reimburse the underwriters for up to $15,000 for their FINRA counsel fee. In accordance with FINRA Rule 5110, this reimbursed fee is deemed underwriting compensation for this offering.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31"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w:t>
      </w:r>
      <w:r>
        <w:rPr>
          <w:sz w:val="20"/>
          <w:szCs w:val="20"/>
          <w:color w:val="auto"/>
        </w:rPr>
        <w:tab/>
      </w:r>
      <w:r>
        <w:rPr>
          <w:rFonts w:ascii="Arial" w:cs="Arial" w:eastAsia="Arial" w:hAnsi="Arial"/>
          <w:sz w:val="15"/>
          <w:szCs w:val="15"/>
          <w:color w:val="auto"/>
        </w:rPr>
        <w:t>additional shares at the</w:t>
      </w:r>
    </w:p>
    <w:p>
      <w:pPr>
        <w:spacing w:after="0" w:line="1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public offering price, less the underwriting discounts and commissions. If the underwriters exercise this option, each underwriter will be obligated, subject to conditions contained in the underwriting agreement, to purchase a number of additional shares proportionate to that underwriter's initial amount reflected in the above table.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and our executive officers and directors, have agreed not to sell or transfer any common stock or securities convertible into or exchangeable or exercisable for common stock, for 90 days after the date of this prospectus without first obtaining the written consent of Leerink Partners LLC on behalf of the underwriters. Specifically, we and these other persons have agreed, with certain limited exceptions including sales pursuant to existing 10b5-1 trading plans, not to directly or indirectly:</w:t>
      </w:r>
    </w:p>
    <w:p>
      <w:pPr>
        <w:spacing w:after="0" w:line="211"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otherwise dispose of or transfer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common stock; or</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directly or indirectly, the economic consequence of ownership of any common stock, whether any such swap or transaction is to be settled by delivery of shares of common stock or other securities, in cash or otherwise.</w:t>
      </w:r>
    </w:p>
    <w:p>
      <w:pPr>
        <w:spacing w:after="0" w:line="194"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 power of disposition.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"VCYT."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 may engage in transactions that stabilize the price of the common stock, such as bids or purchases to peg, fix or maintain that price.</w:t>
      </w:r>
    </w:p>
    <w:p>
      <w:pPr>
        <w:spacing w:after="0" w:line="19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described above. The underwriters may close out any covered short position by either exercising their option or purchasing shares in the open market. In determining the source of shares to close out the covered short position,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w:t>
      </w:r>
    </w:p>
    <w:p>
      <w:pPr>
        <w:spacing w:after="0" w:line="154"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Stock Market, in the over-the-counter market or otherwise.</w:t>
      </w:r>
    </w:p>
    <w:p>
      <w:pPr>
        <w:spacing w:after="0" w:line="19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 will engage in these transactions or that these transactions, once commenced, will not be discontinued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this offering, certain of the underwriters or securities dealers may distribute prospectuses by electronic means, such as e-mail.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6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relation to each Member State of the European Economic Area (each, a "Relevant Member State"), no offer of shares may be made to the public in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Relevant Member State other than:</w:t>
      </w:r>
    </w:p>
    <w:p>
      <w:pPr>
        <w:spacing w:after="0" w:line="232"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provided that no such offer of shares shall require the Company or the representative to publish a prospectus pursuant to Article 3 of the Prospectus Directive or supplement a prospectus pursuant to Article 16 of the Prospectus Directive.</w:t>
      </w:r>
    </w:p>
    <w:p>
      <w:pPr>
        <w:spacing w:after="0" w:line="18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 has been obtained to each such proposed offer or resale.</w:t>
      </w:r>
    </w:p>
    <w:p>
      <w:pPr>
        <w:spacing w:after="0" w:line="172"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We, the representative and each of our and the representative's and their affiliates will rely upon the truth and accuracy of the foregoing representations, acknowledgements and agreements.</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prospectus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this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w:t>
      </w:r>
    </w:p>
    <w:p>
      <w:pPr>
        <w:spacing w:after="0" w:line="38"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98"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supplement and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prospectus supplement and the accompanying prospectuses are only being distributed to, and are only directed at, persons in the United Kingdom that are qualified investors within the meaning of Article 2(1)(e) of the Prospectus Directive that are also (1) investment professionals falling within Article 19(5) of the Financial Services and Markets Act 2000 (Financial Promotion) Order 2005, or the Order, or (2) high net worth entities, and other persons to whom it may lawfully be communicated, falling within Article 49(2)(a) to (d) of the Order (each such person being referred to as a "relevant person"). This prospectus supplement and the accompanying prospectuses and their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Neither this prospectus supplement nor any other offering material relating to the shares described in this prospectus supplement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supplement nor any other offering material relating to the shares has been or will be:</w:t>
      </w:r>
    </w:p>
    <w:p>
      <w:pPr>
        <w:spacing w:after="0" w:line="180"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252" w:lineRule="exact"/>
        <w:rPr>
          <w:rFonts w:ascii="Arial" w:cs="Arial" w:eastAsia="Arial" w:hAnsi="Arial"/>
          <w:sz w:val="18"/>
          <w:szCs w:val="18"/>
          <w:color w:val="auto"/>
        </w:rPr>
      </w:pPr>
    </w:p>
    <w:p>
      <w:pPr>
        <w:ind w:right="3640" w:firstLine="548"/>
        <w:spacing w:after="0" w:line="501"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 Such offers, sales and distributions will be made in France only:</w:t>
      </w:r>
    </w:p>
    <w:p>
      <w:pPr>
        <w:spacing w:after="0" w:line="13"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qualified investors (investisseurs qualifiés) 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252" w:lineRule="exact"/>
        <w:rPr>
          <w:rFonts w:ascii="Arial" w:cs="Arial" w:eastAsia="Arial" w:hAnsi="Arial"/>
          <w:sz w:val="18"/>
          <w:szCs w:val="18"/>
          <w:color w:val="auto"/>
        </w:rPr>
      </w:pPr>
    </w:p>
    <w:p>
      <w:pPr>
        <w:ind w:left="1080" w:right="320" w:hanging="532"/>
        <w:spacing w:after="0" w:line="370" w:lineRule="auto"/>
        <w:tabs>
          <w:tab w:leader="none" w:pos="108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shares may not be offered or sold in Hong Kong by means of any document other than (1) in circumstances which do not constitute an offer to the public within the meaning of the Companies Ordinance (Cap. 32, Laws of Hong Kong), (2) to "professional investors" within the meaning of the Securities and Futures Ordinance (Cap. 571, Laws of Hong Kong) and any rules made thereunder, or (3)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shares offered in this prospectus supplement have not been and will not be registered under the Financial Instruments and Exchange Law of Japan. The shares have not been offered or sold and will not be offered or sold, 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prospectus supplement and the accompanying prospectuses have not been registered as a prospectus with the Monetary Authority of Singapore. Accordingly, this prospectus supplement and the accompanying prospectuses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(1) to an institutional investor under Section 274 of the Securities and Futures Act, Chapter 289 of Singapore, or the SFA, (2) to a relevant person pursuant to Section 275(1), or any person pursuant to Section 275(1A), and in accordance with the conditions specified in Section 275 of the SFA, or (3) otherwise pursuant to, and in accordance with the conditions of, any other applicable provision of the SFA, in each case subject to compliance with conditions set forth in the SFA.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39" w:lineRule="exact"/>
        <w:rPr>
          <w:sz w:val="20"/>
          <w:szCs w:val="20"/>
          <w:color w:val="auto"/>
        </w:rPr>
      </w:pPr>
    </w:p>
    <w:p>
      <w:pPr>
        <w:ind w:left="1080" w:right="4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20" w:hanging="532"/>
        <w:spacing w:after="0" w:line="25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10" w:lineRule="exact"/>
        <w:rPr>
          <w:rFonts w:ascii="Arial" w:cs="Arial" w:eastAsia="Arial" w:hAnsi="Arial"/>
          <w:sz w:val="18"/>
          <w:szCs w:val="18"/>
          <w:color w:val="auto"/>
        </w:rPr>
      </w:pPr>
    </w:p>
    <w:p>
      <w:pPr>
        <w:ind w:left="1080" w:right="40" w:hanging="532"/>
        <w:spacing w:after="0" w:line="255"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or the Corporations Act) in relation to the common stock has been or will be lodged with the Australian Securities &amp; Investments Commission, or ASIC. This document has not been lodged with ASIC and is only directed to certain categories of exempt persons. Accordingly, if you receive this document in Australia: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you confirm and warrant that you are either:</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238"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238" w:lineRule="exact"/>
        <w:rPr>
          <w:rFonts w:ascii="Arial" w:cs="Arial" w:eastAsia="Arial" w:hAnsi="Arial"/>
          <w:sz w:val="18"/>
          <w:szCs w:val="18"/>
          <w:color w:val="auto"/>
        </w:rPr>
      </w:pPr>
    </w:p>
    <w:p>
      <w:pPr>
        <w:jc w:val="both"/>
        <w:ind w:left="1080" w:right="8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207"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validity of the shares of common stock being offered hereby will be passed upon for us by Pillsbury Winthrop Shaw Pittman LLP. Certain legal matters in connection with this offering will be passed upon for the underwriters by Latham &amp; Watkins LLP.</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have filed a registration statement on Form S-3 with the SEC under the Securities Act of 1933. This prospectus supplement and the accompanying prospectus are part of the registration statement but the registration statement includes and incorporates by reference additional information and exhibits. We file annual, quarterly and current reports, proxy statements and other information with the SEC. You may read and copy the registration statement and any document we file with the SEC at the Public Reference Room maintained by the SEC at 100 F Street, N.E., Washington, D.C. 20549. You may obtain information on the operation of the public reference room by calling the SEC at 1-800-SEC-0330. The SEC also maintains a web site that contains reports, proxy and information statements and other information regarding companies, such as ours, that file documents electronically with the SEC. The address of that site on the world wide web is http://www.sec.gov. The information on the SEC's web site is not part of this prospectus supplement or the accompanying prospectus, and any references to this web site or any other web site are inactive textual references only.</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have filed with the SEC, and incorporate by reference in this prospectus supplement and the accompanying prospectus:</w:t>
      </w:r>
    </w:p>
    <w:p>
      <w:pPr>
        <w:spacing w:after="0" w:line="186"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2016 and June 30, 2016; and</w:t>
      </w:r>
    </w:p>
    <w:p>
      <w:pPr>
        <w:spacing w:after="0" w:line="238"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4, 2016, March 28, 2016, March 30, 2016, June 13, 2016, June 17, 2016, October 3, 2016 (to the extent filed under Item 8.01) and November 1, 2016.</w:t>
      </w:r>
    </w:p>
    <w:p>
      <w:pPr>
        <w:spacing w:after="0" w:line="18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also incorporate by reference all additional documents that we file with the SEC under the terms of Section 13(a), 13(c), 14 or 15(d) of the Exchange Act that are made after the initial filing date of the registration statement of which this prospectus supplement and the accompanying prospectus is a part and the effectiveness of the registration statement, as well as between the date of this prospectus supplement and the termination of any offering of securities offered by this prospectus supplement and the accompanying prospectus. We are not, however, incorporating, in each case, any documents or information that we are deemed to furnish and not file in accordance with SEC rules.</w:t>
      </w:r>
    </w:p>
    <w:p>
      <w:pPr>
        <w:spacing w:after="0" w:line="17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supplement and the accompanying prospectus, at no cost, by writing or telephoning us at the following address and number: Investor Relations, Veracyte, Inc., 6000 Shoreline Court, Suite 300, South San Francisco, CA 94080 and (650) 243-6300. We will not, however, send exhibits to those documents, unless the exhibits are specifically incorporated by reference in those documents.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as soon as reasonably practicable after we electronically file or furnish such materials to the SEC. You may obtain a free copy of these reports on the Investor Relations section of our website, www.veracyte.com.</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included in our Annual Report on Form 10-K for the year ended December 31, 2015,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160020</wp:posOffset>
            </wp:positionV>
            <wp:extent cx="2160905" cy="1003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6090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VERACYTE,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Debt Securities, Common Stock,</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Preferred Stock, Depositary Shares,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Warrants and Rights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5,000,000 Shares of Common Stock Offered by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may, from time to time, offer and sell debt securities, preferred stock, either separately or represented by depositary shares, common stock, warrants or rights, either separately or together in any combination, in one or more offerings. The debt securities, preferred stock and warrants may be convertible into or exercisable or exchangeable for common or preferred stock or debt securities. The rights may be exercisable for common or preferred stock. The aggregate initial offering price of all securities sold under this prospectus will not exceed $125,000,000.</w:t>
      </w:r>
    </w:p>
    <w:p>
      <w:pPr>
        <w:spacing w:after="0" w:line="167"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In addition, certain of our stockholders may, from time to time, offer and sell up to an aggregate of 5,000,000 shares of our common stock in one or more offerings. Unless otherwise stated in the applicable prospectus supplement, we will not receive any of the proceeds from the sale of our common stock by the selling stockholders.</w:t>
      </w:r>
    </w:p>
    <w:p>
      <w:pPr>
        <w:spacing w:after="0" w:line="194"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will specify in an accompanying prospectus supplement more specific information about any such offering, the identity of any selling stockholders and the number of shares that any such selling stockholder will be selling. This prospectus may not be used to sell any of these securities unless accompanied by the applicable prospectus supplement.</w:t>
      </w:r>
    </w:p>
    <w:p>
      <w:pPr>
        <w:spacing w:after="0" w:line="19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and the selling stockholders may offer and sell the securities described in this prospectus and any prospectus supplement directly to investors or through underwriters, dealers or agents. We will set forth the names of any underwriters, dealers or agents and their compensation in the accompanying prospectus supplement.</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common stock is listed on The NASDAQ Global Market under the symbol "VCYT." On June 22, 2015, the last reported sale price of our common stock on The NASDAQ Global Market was $11.54 per share.</w:t>
      </w:r>
    </w:p>
    <w:p>
      <w:pPr>
        <w:spacing w:after="0" w:line="167" w:lineRule="exact"/>
        <w:rPr>
          <w:sz w:val="20"/>
          <w:szCs w:val="20"/>
          <w:color w:val="auto"/>
        </w:rPr>
      </w:pPr>
    </w:p>
    <w:p>
      <w:pPr>
        <w:ind w:right="660" w:firstLine="351"/>
        <w:spacing w:after="0" w:line="280" w:lineRule="auto"/>
        <w:rPr>
          <w:sz w:val="20"/>
          <w:szCs w:val="20"/>
          <w:color w:val="auto"/>
        </w:rPr>
      </w:pPr>
      <w:r>
        <w:rPr>
          <w:rFonts w:ascii="Arial" w:cs="Arial" w:eastAsia="Arial" w:hAnsi="Arial"/>
          <w:sz w:val="21"/>
          <w:szCs w:val="21"/>
          <w:b w:val="1"/>
          <w:bCs w:val="1"/>
          <w:color w:val="auto"/>
        </w:rPr>
        <w:t>Investing in our securities involves risks. See the section entitled "Risk Factors" in the accompanying prospectus supplement and in the documents we incorporate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105410</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119380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is July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900" w:type="dxa"/>
            <w:vAlign w:val="bottom"/>
            <w:gridSpan w:val="5"/>
          </w:tcPr>
          <w:p>
            <w:pPr>
              <w:jc w:val="right"/>
              <w:ind w:right="339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21"/>
        </w:trPr>
        <w:tc>
          <w:tcPr>
            <w:tcW w:w="3080" w:type="dxa"/>
            <w:vAlign w:val="bottom"/>
            <w:gridSpan w:val="17"/>
            <w:vMerge w:val="restart"/>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About This Prospectus</w:t>
              </w:r>
            </w:hyperlink>
          </w:p>
        </w:tc>
        <w:tc>
          <w:tcPr>
            <w:tcW w:w="29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3080" w:type="dxa"/>
            <w:vAlign w:val="bottom"/>
            <w:gridSpan w:val="17"/>
            <w:vMerge w:val="continue"/>
          </w:tcPr>
          <w:p>
            <w:pPr>
              <w:spacing w:after="0"/>
              <w:rPr>
                <w:sz w:val="14"/>
                <w:szCs w:val="14"/>
                <w:color w:val="auto"/>
              </w:rPr>
            </w:pPr>
          </w:p>
        </w:tc>
        <w:tc>
          <w:tcPr>
            <w:tcW w:w="5480" w:type="dxa"/>
            <w:vAlign w:val="bottom"/>
            <w:gridSpan w:val="2"/>
          </w:tcPr>
          <w:p>
            <w:pPr>
              <w:spacing w:after="0"/>
              <w:rPr>
                <w:sz w:val="14"/>
                <w:szCs w:val="14"/>
                <w:color w:val="auto"/>
              </w:rPr>
            </w:pPr>
          </w:p>
        </w:tc>
        <w:tc>
          <w:tcPr>
            <w:tcW w:w="420" w:type="dxa"/>
            <w:vAlign w:val="bottom"/>
            <w:gridSpan w:val="3"/>
          </w:tcPr>
          <w:p>
            <w:pPr>
              <w:jc w:val="right"/>
              <w:spacing w:after="0" w:line="170" w:lineRule="exact"/>
              <w:rPr>
                <w:rFonts w:ascii="Arial" w:cs="Arial" w:eastAsia="Arial" w:hAnsi="Arial"/>
                <w:sz w:val="18"/>
                <w:szCs w:val="18"/>
                <w:color w:val="0000EE"/>
              </w:rPr>
            </w:pPr>
            <w:hyperlink w:anchor="page27">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700" w:type="dxa"/>
            <w:vAlign w:val="bottom"/>
            <w:tcBorders>
              <w:top w:val="single" w:sz="8" w:color="0000EE"/>
            </w:tcBorders>
            <w:gridSpan w:val="7"/>
          </w:tcPr>
          <w:p>
            <w:pPr>
              <w:spacing w:after="0"/>
              <w:rPr>
                <w:sz w:val="17"/>
                <w:szCs w:val="17"/>
                <w:color w:val="auto"/>
              </w:rPr>
            </w:pPr>
          </w:p>
        </w:tc>
        <w:tc>
          <w:tcPr>
            <w:tcW w:w="1480" w:type="dxa"/>
            <w:vAlign w:val="bottom"/>
            <w:gridSpan w:val="8"/>
          </w:tcPr>
          <w:p>
            <w:pPr>
              <w:spacing w:after="0"/>
              <w:rPr>
                <w:sz w:val="17"/>
                <w:szCs w:val="17"/>
                <w:color w:val="auto"/>
              </w:rPr>
            </w:pPr>
          </w:p>
        </w:tc>
        <w:tc>
          <w:tcPr>
            <w:tcW w:w="5800" w:type="dxa"/>
            <w:vAlign w:val="bottom"/>
            <w:gridSpan w:val="4"/>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Veracyte, Inc.</w:t>
              </w:r>
            </w:hyperlink>
          </w:p>
        </w:tc>
        <w:tc>
          <w:tcPr>
            <w:tcW w:w="2060" w:type="dxa"/>
            <w:vAlign w:val="bottom"/>
            <w:gridSpan w:val="13"/>
          </w:tcPr>
          <w:p>
            <w:pPr>
              <w:spacing w:after="0"/>
              <w:rPr>
                <w:sz w:val="17"/>
                <w:szCs w:val="17"/>
                <w:color w:val="auto"/>
              </w:rPr>
            </w:pPr>
          </w:p>
        </w:tc>
        <w:tc>
          <w:tcPr>
            <w:tcW w:w="580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Forward-Looking Statements</w:t>
              </w:r>
            </w:hyperlink>
          </w:p>
        </w:tc>
        <w:tc>
          <w:tcPr>
            <w:tcW w:w="1000" w:type="dxa"/>
            <w:vAlign w:val="bottom"/>
            <w:gridSpan w:val="6"/>
          </w:tcPr>
          <w:p>
            <w:pPr>
              <w:spacing w:after="0"/>
              <w:rPr>
                <w:sz w:val="17"/>
                <w:szCs w:val="17"/>
                <w:color w:val="auto"/>
              </w:rPr>
            </w:pPr>
          </w:p>
        </w:tc>
        <w:tc>
          <w:tcPr>
            <w:tcW w:w="580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Use of Proceeds</w:t>
              </w:r>
            </w:hyperlink>
          </w:p>
        </w:tc>
        <w:tc>
          <w:tcPr>
            <w:tcW w:w="1920" w:type="dxa"/>
            <w:vAlign w:val="bottom"/>
            <w:gridSpan w:val="12"/>
          </w:tcPr>
          <w:p>
            <w:pPr>
              <w:spacing w:after="0"/>
              <w:rPr>
                <w:sz w:val="17"/>
                <w:szCs w:val="17"/>
                <w:color w:val="auto"/>
              </w:rPr>
            </w:pPr>
          </w:p>
        </w:tc>
        <w:tc>
          <w:tcPr>
            <w:tcW w:w="580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308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Ratio of Earnings to Fixed Charges</w:t>
              </w:r>
            </w:hyperlink>
          </w:p>
        </w:tc>
        <w:tc>
          <w:tcPr>
            <w:tcW w:w="5900" w:type="dxa"/>
            <w:vAlign w:val="bottom"/>
            <w:gridSpan w:val="5"/>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Debt Securities</w:t>
              </w:r>
            </w:hyperlink>
          </w:p>
        </w:tc>
        <w:tc>
          <w:tcPr>
            <w:tcW w:w="600" w:type="dxa"/>
            <w:vAlign w:val="bottom"/>
            <w:gridSpan w:val="2"/>
          </w:tcPr>
          <w:p>
            <w:pPr>
              <w:spacing w:after="0"/>
              <w:rPr>
                <w:sz w:val="17"/>
                <w:szCs w:val="17"/>
                <w:color w:val="auto"/>
              </w:rPr>
            </w:pPr>
          </w:p>
        </w:tc>
        <w:tc>
          <w:tcPr>
            <w:tcW w:w="5800" w:type="dxa"/>
            <w:vAlign w:val="bottom"/>
            <w:gridSpan w:val="4"/>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Description of Preferred Stock</w:t>
              </w:r>
            </w:hyperlink>
          </w:p>
        </w:tc>
        <w:tc>
          <w:tcPr>
            <w:tcW w:w="920" w:type="dxa"/>
            <w:vAlign w:val="bottom"/>
            <w:gridSpan w:val="4"/>
          </w:tcPr>
          <w:p>
            <w:pPr>
              <w:spacing w:after="0"/>
              <w:rPr>
                <w:sz w:val="17"/>
                <w:szCs w:val="17"/>
                <w:color w:val="auto"/>
              </w:rPr>
            </w:pPr>
          </w:p>
        </w:tc>
        <w:tc>
          <w:tcPr>
            <w:tcW w:w="572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12</w:t>
              </w:r>
            </w:hyperlink>
          </w:p>
        </w:tc>
        <w:tc>
          <w:tcPr>
            <w:tcW w:w="0" w:type="dxa"/>
            <w:vAlign w:val="bottom"/>
          </w:tcPr>
          <w:p>
            <w:pPr>
              <w:spacing w:after="0"/>
              <w:rPr>
                <w:sz w:val="1"/>
                <w:szCs w:val="1"/>
                <w:color w:val="auto"/>
              </w:rPr>
            </w:pPr>
          </w:p>
        </w:tc>
      </w:tr>
      <w:tr>
        <w:trPr>
          <w:trHeight w:val="196"/>
        </w:trPr>
        <w:tc>
          <w:tcPr>
            <w:tcW w:w="308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Depositary Shares</w:t>
              </w:r>
            </w:hyperlink>
          </w:p>
        </w:tc>
        <w:tc>
          <w:tcPr>
            <w:tcW w:w="5900" w:type="dxa"/>
            <w:vAlign w:val="bottom"/>
            <w:gridSpan w:val="5"/>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196"/>
        </w:trPr>
        <w:tc>
          <w:tcPr>
            <w:tcW w:w="21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Description of Common Stock</w:t>
              </w:r>
            </w:hyperlink>
          </w:p>
        </w:tc>
        <w:tc>
          <w:tcPr>
            <w:tcW w:w="180" w:type="dxa"/>
            <w:vAlign w:val="bottom"/>
            <w:tcBorders>
              <w:top w:val="single" w:sz="8" w:color="0000EE"/>
            </w:tcBorders>
          </w:tcPr>
          <w:p>
            <w:pPr>
              <w:spacing w:after="0"/>
              <w:rPr>
                <w:sz w:val="17"/>
                <w:szCs w:val="17"/>
                <w:color w:val="auto"/>
              </w:rPr>
            </w:pPr>
          </w:p>
        </w:tc>
        <w:tc>
          <w:tcPr>
            <w:tcW w:w="740" w:type="dxa"/>
            <w:vAlign w:val="bottom"/>
            <w:gridSpan w:val="3"/>
          </w:tcPr>
          <w:p>
            <w:pPr>
              <w:spacing w:after="0"/>
              <w:rPr>
                <w:sz w:val="17"/>
                <w:szCs w:val="17"/>
                <w:color w:val="auto"/>
              </w:rPr>
            </w:pPr>
          </w:p>
        </w:tc>
        <w:tc>
          <w:tcPr>
            <w:tcW w:w="5720" w:type="dxa"/>
            <w:vAlign w:val="bottom"/>
            <w:gridSpan w:val="3"/>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15</w:t>
              </w:r>
            </w:hyperlink>
          </w:p>
        </w:tc>
        <w:tc>
          <w:tcPr>
            <w:tcW w:w="0" w:type="dxa"/>
            <w:vAlign w:val="bottom"/>
          </w:tcPr>
          <w:p>
            <w:pPr>
              <w:spacing w:after="0"/>
              <w:rPr>
                <w:sz w:val="1"/>
                <w:szCs w:val="1"/>
                <w:color w:val="auto"/>
              </w:rPr>
            </w:pPr>
          </w:p>
        </w:tc>
      </w:tr>
      <w:tr>
        <w:trPr>
          <w:trHeight w:val="196"/>
        </w:trPr>
        <w:tc>
          <w:tcPr>
            <w:tcW w:w="17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Description of Warrants</w:t>
              </w:r>
            </w:hyperlink>
          </w:p>
        </w:tc>
        <w:tc>
          <w:tcPr>
            <w:tcW w:w="1380" w:type="dxa"/>
            <w:vAlign w:val="bottom"/>
            <w:gridSpan w:val="7"/>
          </w:tcPr>
          <w:p>
            <w:pPr>
              <w:spacing w:after="0"/>
              <w:rPr>
                <w:sz w:val="17"/>
                <w:szCs w:val="17"/>
                <w:color w:val="auto"/>
              </w:rPr>
            </w:pPr>
          </w:p>
        </w:tc>
        <w:tc>
          <w:tcPr>
            <w:tcW w:w="572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17</w:t>
              </w:r>
            </w:hyperlink>
          </w:p>
        </w:tc>
        <w:tc>
          <w:tcPr>
            <w:tcW w:w="0" w:type="dxa"/>
            <w:vAlign w:val="bottom"/>
          </w:tcPr>
          <w:p>
            <w:pPr>
              <w:spacing w:after="0"/>
              <w:rPr>
                <w:sz w:val="1"/>
                <w:szCs w:val="1"/>
                <w:color w:val="auto"/>
              </w:rPr>
            </w:pPr>
          </w:p>
        </w:tc>
      </w:tr>
      <w:tr>
        <w:trPr>
          <w:trHeight w:val="196"/>
        </w:trPr>
        <w:tc>
          <w:tcPr>
            <w:tcW w:w="3080" w:type="dxa"/>
            <w:vAlign w:val="bottom"/>
            <w:gridSpan w:val="1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Rights</w:t>
              </w:r>
            </w:hyperlink>
          </w:p>
        </w:tc>
        <w:tc>
          <w:tcPr>
            <w:tcW w:w="5900" w:type="dxa"/>
            <w:vAlign w:val="bottom"/>
            <w:gridSpan w:val="5"/>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8"/>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Selling Stockholders</w:t>
              </w:r>
            </w:hyperlink>
          </w:p>
        </w:tc>
        <w:tc>
          <w:tcPr>
            <w:tcW w:w="1560" w:type="dxa"/>
            <w:vAlign w:val="bottom"/>
            <w:gridSpan w:val="9"/>
          </w:tcPr>
          <w:p>
            <w:pPr>
              <w:spacing w:after="0"/>
              <w:rPr>
                <w:sz w:val="17"/>
                <w:szCs w:val="17"/>
                <w:color w:val="auto"/>
              </w:rPr>
            </w:pPr>
          </w:p>
        </w:tc>
        <w:tc>
          <w:tcPr>
            <w:tcW w:w="572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7"/>
          </w:tcPr>
          <w:p>
            <w:pPr>
              <w:spacing w:after="0" w:line="196" w:lineRule="exact"/>
              <w:rPr>
                <w:rFonts w:ascii="Arial" w:cs="Arial" w:eastAsia="Arial" w:hAnsi="Arial"/>
                <w:sz w:val="18"/>
                <w:szCs w:val="18"/>
                <w:color w:val="0000EE"/>
                <w:w w:val="95"/>
              </w:rPr>
            </w:pPr>
            <w:hyperlink w:anchor="page45">
              <w:r>
                <w:rPr>
                  <w:rFonts w:ascii="Arial" w:cs="Arial" w:eastAsia="Arial" w:hAnsi="Arial"/>
                  <w:sz w:val="18"/>
                  <w:szCs w:val="18"/>
                  <w:color w:val="0000EE"/>
                  <w:w w:val="95"/>
                </w:rPr>
                <w:t>Plan of Distribution</w:t>
              </w:r>
            </w:hyperlink>
          </w:p>
        </w:tc>
        <w:tc>
          <w:tcPr>
            <w:tcW w:w="1620" w:type="dxa"/>
            <w:vAlign w:val="bottom"/>
            <w:gridSpan w:val="10"/>
          </w:tcPr>
          <w:p>
            <w:pPr>
              <w:spacing w:after="0"/>
              <w:rPr>
                <w:sz w:val="17"/>
                <w:szCs w:val="17"/>
                <w:color w:val="auto"/>
              </w:rPr>
            </w:pPr>
          </w:p>
        </w:tc>
        <w:tc>
          <w:tcPr>
            <w:tcW w:w="572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20</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1680" w:type="dxa"/>
            <w:vAlign w:val="bottom"/>
            <w:gridSpan w:val="11"/>
          </w:tcPr>
          <w:p>
            <w:pPr>
              <w:spacing w:after="0"/>
              <w:rPr>
                <w:sz w:val="17"/>
                <w:szCs w:val="17"/>
                <w:color w:val="auto"/>
              </w:rPr>
            </w:pPr>
          </w:p>
        </w:tc>
        <w:tc>
          <w:tcPr>
            <w:tcW w:w="572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2100" w:type="dxa"/>
            <w:vAlign w:val="bottom"/>
            <w:gridSpan w:val="14"/>
          </w:tcPr>
          <w:p>
            <w:pPr>
              <w:spacing w:after="0"/>
              <w:rPr>
                <w:sz w:val="17"/>
                <w:szCs w:val="17"/>
                <w:color w:val="auto"/>
              </w:rPr>
            </w:pPr>
          </w:p>
        </w:tc>
        <w:tc>
          <w:tcPr>
            <w:tcW w:w="572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gridSpan w:val="17"/>
          </w:tcPr>
          <w:p>
            <w:pPr>
              <w:spacing w:after="0" w:line="196" w:lineRule="exact"/>
              <w:rPr>
                <w:rFonts w:ascii="Arial" w:cs="Arial" w:eastAsia="Arial" w:hAnsi="Arial"/>
                <w:sz w:val="18"/>
                <w:szCs w:val="18"/>
                <w:color w:val="0000EE"/>
                <w:w w:val="98"/>
              </w:rPr>
            </w:pPr>
            <w:hyperlink w:anchor="page48">
              <w:r>
                <w:rPr>
                  <w:rFonts w:ascii="Arial" w:cs="Arial" w:eastAsia="Arial" w:hAnsi="Arial"/>
                  <w:sz w:val="18"/>
                  <w:szCs w:val="18"/>
                  <w:color w:val="0000EE"/>
                  <w:w w:val="98"/>
                </w:rPr>
                <w:t>Where You Can Find More Information</w:t>
              </w:r>
            </w:hyperlink>
          </w:p>
        </w:tc>
        <w:tc>
          <w:tcPr>
            <w:tcW w:w="5900" w:type="dxa"/>
            <w:vAlign w:val="bottom"/>
            <w:gridSpan w:val="5"/>
          </w:tcPr>
          <w:p>
            <w:pPr>
              <w:jc w:val="right"/>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firstLine="345"/>
        <w:spacing w:after="0" w:line="294" w:lineRule="auto"/>
        <w:rPr>
          <w:sz w:val="20"/>
          <w:szCs w:val="20"/>
          <w:color w:val="auto"/>
        </w:rPr>
      </w:pPr>
      <w:r>
        <w:rPr>
          <w:rFonts w:ascii="Arial" w:cs="Arial" w:eastAsia="Arial" w:hAnsi="Arial"/>
          <w:sz w:val="16"/>
          <w:szCs w:val="16"/>
          <w:color w:val="auto"/>
        </w:rPr>
        <w:t>You should rely only on the information incorporated by reference or provided in this prospectus, any prospectus supplement and the registration statement. We have not authorized anyone else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in this prospectus and any prospectus supplement, or incorporated by reference, is accurate only as of the dates of those documents.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580" w:firstLine="348"/>
        <w:spacing w:after="0" w:line="298"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SEC, using a "shelf" registration, or continuous offering, process. Under this shelf registration process, we may, from time to time, offer and sell separately or together in any combination the securities described in this prospectus in one or more offerings up to a maximum aggregate offering price of $125,000,000. In addition, certain of our stockholders may, from time to time, offer and sell up to an aggregate of 5,000,000 shares of our common stock in one or more offerings.</w:t>
      </w:r>
    </w:p>
    <w:p>
      <w:pPr>
        <w:spacing w:after="0" w:line="16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provides you with a general description of the securities we and the selling stockholders may offer. Each time we or the selling stockholders sell securities, we will provide a prospectus supplement that will contain specific information about the terms of that offering and the offered securities. Any prospectus supplement may also add, update or change information contained in this prospectus. Any statement that we make in this prospectus will be modified or superseded by any inconsistent statement made by us in a prospectus supplement. The registration statement we filed with the SEC includes exhibits that provide more detail of the matters discussed in this prospectus. You should read this prospectus and the related exhibits filed with the SEC and any prospectus supplement, together with additional information described under the heading "Where You Can Find More Information," before making your investment decision.</w:t>
      </w:r>
    </w:p>
    <w:p>
      <w:pPr>
        <w:spacing w:after="0" w:line="17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Unless the context otherwise requires, references in this prospectus and the accompanying prospectus supplement to "Veracyte," the "company," "we," "us" and "our" refer to Veracyte, Inc. and its consolidated subsidiaries.</w:t>
      </w:r>
    </w:p>
    <w:p>
      <w:pPr>
        <w:spacing w:after="0" w:line="186"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Veracyte, Afirma, the Veracyte logo and the Afirma logo are our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including the risk factors incorporated by reference to our most recent Annual Report on Form 10-K and any subsequent Quarterly Reports on Form 10-Q or Current Reports on Form 8-K. The occurrence of any of these risks might cause you to lose all or part of your investment in the offered securities.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a molecular diagnostics company, pioneering the field of molecular cytology with genomic solutions that resolve diagnostic ambiguity and enable physicians to make more informed treatment decisions at an early stage in patient care. We believe that diagnostic ambiguity is a significant problem impacting our healthcare system, resulting in hundreds of thousands of patients undergoing unnecessary, invasive procedures and wasting billions of healthcare dollars each year. We target diseases in which large numbers of patients undergo invasive and costly diagnostic procedures that could be avoided with a more accurate diagnosis from a cytology sample taken preoperatively. By improving diagnosis preoperatively, we help patients avoid unnecessary invasive procedures and surgeries while reducing healthcare costs. We are focused on the continued growth of our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endocrinology franchise, and we recently entered into our second clinical indication, pulmonology, with the launch of our Percepta Bronchial Genomic Classifier in April 2015.</w:t>
      </w:r>
    </w:p>
    <w:p>
      <w:pPr>
        <w:spacing w:after="0" w:line="186"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7000 Shoreline Court, Suite 250,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When used in this prospectus,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72"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These forward-looking statements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Unless we state otherwise in the applicable prospectus supplement, we intend to use the net proceeds from the sale of the securities offered by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 Unless we state otherwise in the applicable prospectus supplement, we will not receive any of the proceeds from the sale of our common stock by the selling stockholders.</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ratio of earnings to fixed charges for each of the periods indicated are set forth in the following table. Our earnings were insufficient to cover fixed charges for each of those periods. For the periods indicated, we had no outstanding shares of preferred stock with required dividend payments.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Therefore, earnings were insufficient to cover combined fixed charges and preferred stock dividends by the same amounts referenced in footnote 1 below.</w:t>
      </w:r>
    </w:p>
    <w:p>
      <w:pPr>
        <w:spacing w:after="0" w:line="200" w:lineRule="exact"/>
        <w:rPr>
          <w:sz w:val="20"/>
          <w:szCs w:val="20"/>
          <w:color w:val="auto"/>
        </w:rPr>
      </w:pP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60" w:type="dxa"/>
            <w:vAlign w:val="bottom"/>
            <w:gridSpan w:val="7"/>
            <w:vMerge w:val="restart"/>
          </w:tcPr>
          <w:p>
            <w:pPr>
              <w:ind w:left="360"/>
              <w:spacing w:after="0"/>
              <w:rPr>
                <w:sz w:val="20"/>
                <w:szCs w:val="20"/>
                <w:color w:val="auto"/>
              </w:rPr>
            </w:pPr>
            <w:r>
              <w:rPr>
                <w:rFonts w:ascii="Arial" w:cs="Arial" w:eastAsia="Arial" w:hAnsi="Arial"/>
                <w:sz w:val="14"/>
                <w:szCs w:val="14"/>
                <w:b w:val="1"/>
                <w:bCs w:val="1"/>
                <w:color w:val="auto"/>
                <w:w w:val="86"/>
              </w:rPr>
              <w:t>Year Ended December 31,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67"/>
        </w:trPr>
        <w:tc>
          <w:tcPr>
            <w:tcW w:w="2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860" w:type="dxa"/>
            <w:vAlign w:val="bottom"/>
            <w:tcBorders>
              <w:bottom w:val="single" w:sz="8" w:color="auto"/>
            </w:tcBorders>
            <w:gridSpan w:val="7"/>
            <w:vMerge w:val="continue"/>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62"/>
        </w:trPr>
        <w:tc>
          <w:tcPr>
            <w:tcW w:w="2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March 31, 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180" w:hanging="540"/>
        <w:spacing w:after="0" w:line="294" w:lineRule="auto"/>
        <w:tabs>
          <w:tab w:leader="none" w:pos="2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ratio of earnings to fixed charges is computed by dividing loss before taxes plus fixed charges by fixed charges. Fixed charges consist of interest expense (including interest expense from capital leases), debt financing expense and the estimated portion of rental expense deemed by us to be representative of the interest factor of rental payments under operating leases. Earnings were insufficient to cover fixed charges by $14.4 million, $18.6 million, $25.6 million, $29.4 million and $7.6 million for the years ended December 31, 2011, 2012, 2013 and 2014 and the three months ended March 31, 2015, respectively.</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following is a summary of the general terms of the debt securities. We will file a prospectus supplement that may contain additional terms when we issue debt securities. The terms presented here, together with the terms in a related prospectus supplement, together with any pricing supplement or term sheet, will be a description of the material terms of the debt securities.</w:t>
      </w:r>
    </w:p>
    <w:p>
      <w:pPr>
        <w:spacing w:after="0" w:line="19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debt securities we offer will be issued under an indenture between us and the trustee named in the indenture.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used in this section only, "we," "us" and "our" refer to Veracyte, Inc. excluding our subsidiaries, unless expressly stated or the context otherwise requires.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Indenture</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70"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or OID,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45"/>
        <w:spacing w:after="0" w:line="268" w:lineRule="auto"/>
        <w:rPr>
          <w:sz w:val="20"/>
          <w:szCs w:val="20"/>
          <w:color w:val="auto"/>
        </w:rPr>
      </w:pPr>
      <w:r>
        <w:rPr>
          <w:rFonts w:ascii="Arial" w:cs="Arial" w:eastAsia="Arial" w:hAnsi="Arial"/>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 and authorized denominations of those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limit on the aggregate principal amount of that series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207"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166"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152"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subordinate in right and priority of payment to our other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denominations in which those debt securities will be issuable;</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212" w:lineRule="exact"/>
        <w:rPr>
          <w:rFonts w:ascii="Arial" w:cs="Arial" w:eastAsia="Arial" w:hAnsi="Arial"/>
          <w:sz w:val="18"/>
          <w:szCs w:val="18"/>
          <w:color w:val="auto"/>
        </w:rPr>
      </w:pPr>
    </w:p>
    <w:p>
      <w:pPr>
        <w:ind w:left="1080" w:right="100" w:hanging="532"/>
        <w:spacing w:after="0" w:line="306"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events of default and covenants relating to the debt securities that are in addition to, modify or delete those described in this prospectus;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nature and terms of any security for any secured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225"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31"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166"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provisions regarding our ability or the ability of any holder to convert or exchange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174"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provides that the following will be "events of default" with respect to any series of debt securities:</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w:t>
      </w:r>
    </w:p>
    <w:p>
      <w:pPr>
        <w:spacing w:after="0" w:line="252" w:lineRule="exact"/>
        <w:rPr>
          <w:rFonts w:ascii="Arial" w:cs="Arial" w:eastAsia="Arial" w:hAnsi="Arial"/>
          <w:sz w:val="18"/>
          <w:szCs w:val="18"/>
          <w:color w:val="auto"/>
        </w:rPr>
      </w:pPr>
    </w:p>
    <w:p>
      <w:pPr>
        <w:ind w:left="1080" w:right="24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make sinking fund payments when due and continuance of such default for a period of 30 days;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perform other covenants for 60 days after notice that performance was required;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relating to us; or</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186"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172"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21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such default;</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requesting holders have offered the trustee indemnity for the reasonable expenses and liabilities that may be incurred by bringing the action;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 offer of indemnity;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18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225"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an amount certified to be enough to pay when due, whether at maturity, upon redemption or otherwise, the principal of, and any premium and interest on, the debt securities and any mandatory sinking fund payments.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180" w:lineRule="exact"/>
        <w:rPr>
          <w:sz w:val="20"/>
          <w:szCs w:val="20"/>
          <w:color w:val="auto"/>
        </w:rPr>
      </w:pPr>
    </w:p>
    <w:p>
      <w:pPr>
        <w:ind w:left="1080" w:right="12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221" w:lineRule="exact"/>
        <w:rPr>
          <w:rFonts w:ascii="Arial" w:cs="Arial" w:eastAsia="Arial" w:hAnsi="Arial"/>
          <w:sz w:val="18"/>
          <w:szCs w:val="18"/>
          <w:color w:val="auto"/>
        </w:rPr>
      </w:pPr>
    </w:p>
    <w:p>
      <w:pPr>
        <w:ind w:left="1080" w:right="240" w:hanging="532"/>
        <w:spacing w:after="0" w:line="256"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197" w:lineRule="exact"/>
        <w:rPr>
          <w:sz w:val="20"/>
          <w:szCs w:val="20"/>
          <w:color w:val="auto"/>
        </w:rPr>
      </w:pPr>
    </w:p>
    <w:p>
      <w:pPr>
        <w:ind w:right="540" w:firstLine="351"/>
        <w:spacing w:after="0" w:line="370" w:lineRule="auto"/>
        <w:rPr>
          <w:sz w:val="20"/>
          <w:szCs w:val="20"/>
          <w:color w:val="auto"/>
        </w:rPr>
      </w:pPr>
      <w:r>
        <w:rPr>
          <w:rFonts w:ascii="Arial" w:cs="Arial" w:eastAsia="Arial" w:hAnsi="Arial"/>
          <w:sz w:val="15"/>
          <w:szCs w:val="15"/>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116" w:lineRule="exact"/>
        <w:rPr>
          <w:sz w:val="20"/>
          <w:szCs w:val="20"/>
          <w:color w:val="auto"/>
        </w:rPr>
      </w:pPr>
    </w:p>
    <w:p>
      <w:pPr>
        <w:jc w:val="both"/>
        <w:ind w:right="240" w:firstLine="341"/>
        <w:spacing w:after="0" w:line="259" w:lineRule="auto"/>
        <w:rPr>
          <w:sz w:val="20"/>
          <w:szCs w:val="20"/>
          <w:color w:val="auto"/>
        </w:rPr>
      </w:pPr>
      <w:r>
        <w:rPr>
          <w:rFonts w:ascii="Arial" w:cs="Arial" w:eastAsia="Arial" w:hAnsi="Arial"/>
          <w:sz w:val="18"/>
          <w:szCs w:val="18"/>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evidence the assumption by a successor entity of our obligations;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of debt securities, or to surrender any rights or power conferred upon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any additional events of default;</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guarantees with respect to or secure any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cure any ambiguity or correct any inconsistency or defect in the indenture;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2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221"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180"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amount of the principal of any debt security issued with an original issue discount that is payable upon acceleration;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the currency in which the principal, and any premium or interest, is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adversely affect the right of a holder to convert or exchange a debt security; or</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86"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143"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default in the payment of, any premium and any interest on, or principal of, any such debt security held by a nonconsenting holder; or</w:t>
      </w:r>
    </w:p>
    <w:p>
      <w:pPr>
        <w:spacing w:after="0" w:line="261"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 and Book Entry System</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by the depositary for the registered global security to its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153" w:lineRule="exact"/>
        <w:rPr>
          <w:sz w:val="20"/>
          <w:szCs w:val="20"/>
          <w:color w:val="auto"/>
        </w:rPr>
      </w:pPr>
    </w:p>
    <w:p>
      <w:pPr>
        <w:ind w:left="108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166"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dealers, underwriters, or agents participating in the distribution of the debt securities will designate the accounts to be credited; and</w:t>
      </w:r>
    </w:p>
    <w:p>
      <w:pPr>
        <w:spacing w:after="0" w:line="261" w:lineRule="exact"/>
        <w:rPr>
          <w:rFonts w:ascii="Arial" w:cs="Arial" w:eastAsia="Arial" w:hAnsi="Arial"/>
          <w:sz w:val="16"/>
          <w:szCs w:val="16"/>
          <w:color w:val="auto"/>
        </w:rPr>
      </w:pPr>
    </w:p>
    <w:p>
      <w:pPr>
        <w:jc w:val="both"/>
        <w:ind w:left="1080" w:right="14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9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188"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relevant indenture.</w:t>
      </w:r>
    </w:p>
    <w:p>
      <w:pPr>
        <w:spacing w:after="0" w:line="225"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94"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participants would authorize beneficial owners owning through the participants to give or take the action or would otherwise act upon the instructions of beneficial owners holding through them.</w:t>
      </w:r>
    </w:p>
    <w:p>
      <w:pPr>
        <w:spacing w:after="0" w:line="18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9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If the depositary for any debt securities represented by a registered global security is at any time unwilling or unable to continue as depositary or stops being a clearing agency registered under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31"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20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61"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relating to any duties concerning the debt securities, however, it must eliminate the conflict or resign as trustee.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May 1, 2015,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208"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distinctive designation of each series and the number of shares that will constitute the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voting rights, if any, of shares of the series and the terms and conditions of the voting rights;</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prices at which, and the terms and conditions on which, the shares of the series may be redeemed, if the shares are redeemable;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terms and conditions of a sinking or purchase fund for the purchase or redemption of shares of the series, if such a fund is provided;</w:t>
      </w:r>
    </w:p>
    <w:p>
      <w:pPr>
        <w:spacing w:after="0" w:line="261"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preferential amount payable upon shares of the series in the event of the liquidation, dissolution or winding up of, or upon the distribution of any of our assets; and</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186"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DEPOSITARY SHARES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description of the depositary shares does not purport to be complete and is subject to and qualified in its entirety by the relevant deposit agreement and the depositary receipts with respect to the depositary shares relating to any particular series of preferred stock. You should read these documents as they, and not this description, will define your rights as a holder of depositary shares. Forms of these documents will be filed with the SEC in connection with the offering of depositary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color w:val="auto"/>
        </w:rPr>
        <w:t>If we elect to offer fractional interests in shares of preferred stock, we will provide for the issuance by a depositary to the public of receipts for depositary shares. Each depositary share will represent fractional interests of preferred stock. We will deposit the shares of preferred stock underlying the depositary shares under a deposit agreement between us and a bank or trust company selected by us. The bank or trust company must have its principal office in the United States and a combined capital and surplus of at least $50 million. The depositary receipts will evidence the depositary shares issued under the deposit agreement.</w:t>
      </w:r>
    </w:p>
    <w:p>
      <w:pPr>
        <w:spacing w:after="0" w:line="15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deposit agreement will contain terms applicable to the holders of depositary shares in addition to the terms stated in the depositary receipts. Each owner of depositary shares will be entitled to all the rights and preferences of the preferred stock underlying the depositary shares in proportion to the applicable fractional interest in the underlying shares of preferred stock. The depositary will issue the depositary receipts to individuals purchasing the fractional interests in shares of the related preferred stock according to the terms of the offering described in a prospectus supplement.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depositary will distribute all cash dividends or other cash distributions received for the preferred stock to the entitled record holders of depositary shares in proportion to the number of depositary shares that the holder owns on the relevant record date. The depositary will distribute only an amount that can be distributed without attributing to any holder of depositary shares a fraction of one cent. The depositary will add the undistributed balance to and treat it as part of the next sum received by the depositary for distribution to holders of depositary shares.</w:t>
      </w:r>
    </w:p>
    <w:p>
      <w:pPr>
        <w:spacing w:after="0" w:line="16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If there is a non-cash distribution, the depositary will distribute property received by it to the entitled record holders of depositary shares, in proportion, insofar as possible, to the number of depositary shares owned by the holders, unless the depositary determines, after consultation with us, that it is not feasible to make such distribution. If this occurs, the depositary may, with our approval, sell such property and distribute the net proceeds from the sale to the holders. The deposit agreement also will contain provisions relating to how any subscription or similar rights that we may offer to holders of the preferred stock will be available to the holders of the depositary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Exchange, Redemption and Liquidation</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If any series of preferred stock underlying the depositary shares may be converted or exchanged, each record holder of depositary receipts will have the right or obligation to convert or exchange the depositary shares represented by the depositary receipts.</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terms on which the depositary shares relating to the preferred stock of any series may be redeemed, and any amounts distributable upon our liquidation, dissolution or winding up, will be described in the relevant prospectus supplement.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When the depositary receives notice of a meeting at which the holders of the preferred stock are entitled to vote, the depositary will mail the particulars of the meeting to the record holders of the depositary shares. Each record holder of depositary shares on the record date may instruct the depositary on how to vote the shares of preferred stock underlying the holder's depositary shares. The depositary will try, if practical, to vote the number of shares of preferred stock underlying the depositary shares according to the instructions. We will agree to take all reasonable action requested by the depositary to enable it to vote as instructed.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the depositary may agree to amend the deposit agreement and the depositary receipt evidencing the depositary shares. Any amendment that</w:t>
      </w:r>
    </w:p>
    <w:p>
      <w:pPr>
        <w:spacing w:after="0" w:line="38" w:lineRule="exact"/>
        <w:rPr>
          <w:sz w:val="20"/>
          <w:szCs w:val="20"/>
          <w:color w:val="auto"/>
        </w:rPr>
      </w:pPr>
    </w:p>
    <w:p>
      <w:pPr>
        <w:ind w:left="240" w:hanging="232"/>
        <w:spacing w:after="0"/>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imposes or increases certain fees, taxes or other charges payable by the holders of the depositary shares as described in the deposit agreement or that</w:t>
      </w:r>
    </w:p>
    <w:p>
      <w:pPr>
        <w:spacing w:after="0" w:line="32" w:lineRule="exact"/>
        <w:rPr>
          <w:rFonts w:ascii="Arial" w:cs="Arial" w:eastAsia="Arial" w:hAnsi="Arial"/>
          <w:sz w:val="16"/>
          <w:szCs w:val="16"/>
          <w:color w:val="auto"/>
        </w:rPr>
      </w:pPr>
    </w:p>
    <w:p>
      <w:pPr>
        <w:ind w:right="60" w:firstLine="8"/>
        <w:spacing w:after="0" w:line="255" w:lineRule="auto"/>
        <w:tabs>
          <w:tab w:leader="none" w:pos="2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otherwise prejudices any substantial existing right of holders of depositary shares, will not take effect until 30 days after the depositary has mailed notice of the amendment to the record holders of depositary shares. Any holder of depositary shares that continues to hold its shares at the end of the 30-day period will be deemed to have agreed to the amendment.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may direct the depositary to terminate the deposit agreement by mailing a notice of termination to holders of depositary shares at least 30 days prior to termination. In addition, a deposit agreement will automatically terminate if:</w:t>
      </w:r>
    </w:p>
    <w:p>
      <w:pPr>
        <w:spacing w:after="0" w:line="19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depositary has redeemed all related outstanding depositary shares, or</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liquidated, terminated or wound up our business and the depositary has distributed the preferred stock of the relevant series to the holders of the related depositary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Fees and Expenses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will pay all fees, charges and expenses of the depositary, including the initial deposit of the preferred stock and any redemption of the preferred stock. Holders of depositary shares will pay transfer and other taxes and governmental charges and any other charges as are stated in the deposit agreement for their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At any time, the depositary may resign by delivering notice to us, and we may remove the depositary. Resignations or removals will take effect upon the appointment of a successor depositary and its acceptance of the appointment. The successor depositary must be appointed within 60 days after delivery of the notice of resignation or removal and must be a bank or trust company having its principal office in the United States and having a combined capital and surplus of at least $50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depositary will forward to the holders of depositary shares all reports and communications from us that are delivered to the depositary and that we are required by law, the rules of an applicable securities exchange or our restated certificate of incorporation to furnish to the holders of the preferred stock. Neither we nor the depositary will be liable if the depositary is prevented or delayed by law or any circumstances beyond its control in performing its obligations under the deposit agreement. The deposit agreement limits our obligations and the depositary's obligations to performance in good faith of the duties stated in the deposit agreement. Neither we nor the depositary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will be obligated to prosecute or defend any legal proceeding connected with any depositary shares or preferred stock unless the holders of depositary shares requesting us to do so furnish us with satisfactory indemnity. In performing our obligations, we and the depositary may rely upon the written advice of our counsel or accountants, on any information that competent people provide to us and on documents that we believe are genuine.</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COMMON STOCK</w:t>
      </w:r>
    </w:p>
    <w:p>
      <w:pPr>
        <w:spacing w:after="0" w:line="231"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This section describes the general terms and provisions of the shares of our common stock, par value $0.001 per share. This description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w:t>
      </w:r>
    </w:p>
    <w:p>
      <w:pPr>
        <w:spacing w:after="0" w:line="197"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have 125,000,000 shares of authorized common stock. As of May 1, 2015, there were 27,462,532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of May 1, 2015, the holders of approximately 13,956,090 shares of our common stock are entitled to contractual rights to require us to register those shares under the Securities Act of 1933. These rights are provided under the terms of our amended and restated investor rights agreement. We will pay all expenses relating to any such registration, other than underwriting discounts and selling commissions. The registration rights terminate upon the earlier of October 29, 2016, a change of control, or with respect to the registration rights of an individual holder, when that holder can sell all of the holder's shares covered by registration rights pursuant to Rule 144 under the Securities Act in any 90-day period.</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Demand Registration Rights. </w:t>
      </w:r>
      <w:r>
        <w:rPr>
          <w:rFonts w:ascii="Arial" w:cs="Arial" w:eastAsia="Arial" w:hAnsi="Arial"/>
          <w:sz w:val="16"/>
          <w:szCs w:val="16"/>
          <w:color w:val="auto"/>
        </w:rPr>
        <w:t>Subject to limitations and conditions specified in the investor rights agreement, holders of a majority of the shares covered by</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rights may require us to prepare and file a registration statement under the Securities Act covering all shares they request that we register. We are not obligated to effect more than two of these stockholder-initiated registrations. Holders of shares having registration rights may also require us to file up to two additional registration statements on Form S-3 or similar short-form registration statement, if we are eligible to use Form S-3 or similar short-form registration statement, and the value of the securities to be registered is at least $1,500,000.</w:t>
      </w:r>
    </w:p>
    <w:p>
      <w:pPr>
        <w:spacing w:after="0" w:line="170"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Piggyback Registration Rights. </w:t>
      </w:r>
      <w:r>
        <w:rPr>
          <w:rFonts w:ascii="Arial" w:cs="Arial" w:eastAsia="Arial" w:hAnsi="Arial"/>
          <w:sz w:val="18"/>
          <w:szCs w:val="18"/>
          <w:color w:val="auto"/>
        </w:rPr>
        <w:t>If we propose to register any of our securities under the Securities Act either for our own account or for the account of</w:t>
      </w:r>
      <w:r>
        <w:rPr>
          <w:rFonts w:ascii="Arial" w:cs="Arial" w:eastAsia="Arial" w:hAnsi="Arial"/>
          <w:sz w:val="18"/>
          <w:szCs w:val="18"/>
          <w:i w:val="1"/>
          <w:iCs w:val="1"/>
          <w:color w:val="auto"/>
        </w:rPr>
        <w:t xml:space="preserve"> </w:t>
      </w:r>
      <w:r>
        <w:rPr>
          <w:rFonts w:ascii="Arial" w:cs="Arial" w:eastAsia="Arial" w:hAnsi="Arial"/>
          <w:sz w:val="18"/>
          <w:szCs w:val="18"/>
          <w:color w:val="auto"/>
        </w:rPr>
        <w:t>other stockholders, the holders of shares having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registration rights will, subject to certain exceptions, be entitled to include their shares in our registration statement. These piggyback registration rights are subject to specified conditions and limitations, including the right of the underwriters to limit the number of shares included in any such registration statement under certain circumstances, but not below 25% of the total number of shares covered by the registration statement.</w:t>
      </w:r>
    </w:p>
    <w:p>
      <w:pPr>
        <w:spacing w:after="0" w:line="161" w:lineRule="exact"/>
        <w:rPr>
          <w:sz w:val="20"/>
          <w:szCs w:val="20"/>
          <w:color w:val="auto"/>
        </w:rPr>
      </w:pPr>
    </w:p>
    <w:p>
      <w:pPr>
        <w:ind w:right="700" w:firstLine="351"/>
        <w:spacing w:after="0" w:line="370" w:lineRule="auto"/>
        <w:rPr>
          <w:sz w:val="20"/>
          <w:szCs w:val="20"/>
          <w:color w:val="auto"/>
        </w:rPr>
      </w:pPr>
      <w:r>
        <w:rPr>
          <w:rFonts w:ascii="Arial" w:cs="Arial" w:eastAsia="Arial" w:hAnsi="Arial"/>
          <w:sz w:val="15"/>
          <w:szCs w:val="15"/>
          <w:color w:val="auto"/>
        </w:rPr>
        <w:t>In connection with the sale of 4,907,975 shares of common stock in a private placement, we and certain investors entered into a Registration Rights Agreement dated as of April 22, 2015, pursuant to which we have registered for resale the shares of common stock issued in the private placement.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Restated Certificate of Incorporation and Bylaws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197" w:lineRule="exact"/>
        <w:rPr>
          <w:sz w:val="20"/>
          <w:szCs w:val="20"/>
          <w:color w:val="auto"/>
        </w:rPr>
      </w:pPr>
    </w:p>
    <w:p>
      <w:pPr>
        <w:ind w:left="360"/>
        <w:spacing w:after="0"/>
        <w:tabs>
          <w:tab w:leader="none" w:pos="3380" w:val="left"/>
        </w:tabs>
        <w:rPr>
          <w:sz w:val="20"/>
          <w:szCs w:val="20"/>
          <w:color w:val="auto"/>
        </w:rPr>
      </w:pPr>
      <w:r>
        <w:rPr>
          <w:rFonts w:ascii="Arial" w:cs="Arial" w:eastAsia="Arial" w:hAnsi="Arial"/>
          <w:sz w:val="18"/>
          <w:szCs w:val="18"/>
          <w:i w:val="1"/>
          <w:iCs w:val="1"/>
          <w:color w:val="auto"/>
        </w:rPr>
        <w:t>Certificate of Incorporation and Bylaws.</w:t>
      </w:r>
      <w:r>
        <w:rPr>
          <w:sz w:val="20"/>
          <w:szCs w:val="20"/>
          <w:color w:val="auto"/>
        </w:rPr>
        <w:tab/>
      </w:r>
      <w:r>
        <w:rPr>
          <w:rFonts w:ascii="Arial" w:cs="Arial" w:eastAsia="Arial" w:hAnsi="Arial"/>
          <w:sz w:val="15"/>
          <w:szCs w:val="15"/>
          <w:color w:val="auto"/>
        </w:rPr>
        <w:t>Our restated certificate of incorporation and amended and restated bylaws include provisions that:</w:t>
      </w:r>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5,000,000 shares of undesignated preferred stock;</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261"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Delaware Law. </w:t>
      </w:r>
      <w:r>
        <w:rPr>
          <w:rFonts w:ascii="Arial" w:cs="Arial" w:eastAsia="Arial" w:hAnsi="Arial"/>
          <w:sz w:val="18"/>
          <w:szCs w:val="18"/>
          <w:color w:val="auto"/>
        </w:rPr>
        <w:t>We are subject to the provisions of Section 203 of the General Corporation Law of the State of Delaware regulating corporate takeovers. In</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208"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transaction is approved by the board of directors of the corporation before the date the interested stockholder attained that status;</w:t>
      </w:r>
    </w:p>
    <w:p>
      <w:pPr>
        <w:spacing w:after="0" w:line="275"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0"/>
        <w:spacing w:after="0" w:line="306" w:lineRule="auto"/>
        <w:rPr>
          <w:sz w:val="20"/>
          <w:szCs w:val="20"/>
          <w:color w:val="auto"/>
        </w:rPr>
      </w:pPr>
      <w:r>
        <w:rPr>
          <w:rFonts w:ascii="Arial" w:cs="Arial" w:eastAsia="Arial" w:hAnsi="Arial"/>
          <w:sz w:val="16"/>
          <w:szCs w:val="16"/>
          <w:color w:val="auto"/>
        </w:rPr>
        <w:t>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74" w:lineRule="exact"/>
        <w:rPr>
          <w:sz w:val="20"/>
          <w:szCs w:val="20"/>
          <w:color w:val="auto"/>
        </w:rPr>
      </w:pPr>
    </w:p>
    <w:p>
      <w:pPr>
        <w:ind w:left="1080" w:right="6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or after the date the business combination is approved by the board of directors of the corporation and authorized at a meeting of stockholders by at least 66-2/3% of the outstanding voting stock that is not owned by the interested stockholder.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252"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sale, transfer, pledge or other disposition of 10% or more of the assets of the corporation involving the interested stockholder;</w:t>
      </w:r>
    </w:p>
    <w:p>
      <w:pPr>
        <w:spacing w:after="0" w:line="261"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21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86"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may issue warrants for the purchase of debt securities, preferred stock, common stock, depositary shares,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170"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designation, terms and number of shares of debt securities, preferred stock or common stock purchasable upon exercise of the warrants;</w:t>
      </w:r>
    </w:p>
    <w:p>
      <w:pPr>
        <w:spacing w:after="0" w:line="261"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date, if any, on and after which the warrants and the related debt securities, preferred stock or common stock will be separately transferable;</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price at which each share of debt securities, preferred stock or common stock purchasable upon exercise of the warrants may be purchased;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other terms of the warrants, including terms, procedures and limitations relating to the exchange and exercise of the warrants.</w:t>
      </w:r>
    </w:p>
    <w:p>
      <w:pPr>
        <w:spacing w:after="0" w:line="248"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RIGHTS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may issue rights to purchase common stock or preferred stock. This prospectus and any accompanying prospectus supplement will contain the material terms and conditions for each right. The accompanying prospectus supplement may add, update or change the terms and conditions of the rights as described in this prospectus.</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will describe in the applicable prospectus supplement the terms and conditions of the issue of rights being offered, the rights agreement relating to the rights and the rights certificates representing the rights, including, as applicable:</w:t>
      </w:r>
    </w:p>
    <w:p>
      <w:pPr>
        <w:spacing w:after="0" w:line="19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title of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title, aggregate number of shares of common stock or preferred stock purchasable upon exercise of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if any, on and after which the rights will be separately transferable;</w:t>
      </w:r>
    </w:p>
    <w:p>
      <w:pPr>
        <w:spacing w:after="0" w:line="238" w:lineRule="exact"/>
        <w:rPr>
          <w:rFonts w:ascii="Arial" w:cs="Arial" w:eastAsia="Arial" w:hAnsi="Arial"/>
          <w:sz w:val="18"/>
          <w:szCs w:val="18"/>
          <w:color w:val="auto"/>
        </w:rPr>
      </w:pPr>
    </w:p>
    <w:p>
      <w:pPr>
        <w:ind w:left="5620" w:right="2280" w:hanging="5072"/>
        <w:spacing w:after="0" w:line="519" w:lineRule="auto"/>
        <w:tabs>
          <w:tab w:leader="none" w:pos="108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 and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other terms of the rights, including terms, procedures and limitations relating to the distribution, exchange and exercise of the rights.</w:t>
      </w:r>
    </w:p>
    <w:p>
      <w:pPr>
        <w:spacing w:after="0" w:line="24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31"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This prospectus also relates to the possible resale by some of our stockholders of up to an aggregate of 5,000,000 shares of our common stock that were issued and outstanding prior to the original date of filing of the registration statement of which this prospectus forms a part and may include shares acquired by our directors or entities affiliated with our directors that were issued in one or more of the following transactions: We sold shares of our series A, series B and series C preferred stock in private placements to accredited investors, including some of our directors, executive officers and entities affiliated with our directors, in December 2006, January 2007, June 2007, February 2008, August 2009, June 2010, February 2011, July 2011, November 2012 and June 2013. All outstanding shares of our preferred stock were converted to shares of our common stock in connection with the closing of our initial public offering in November 2013.</w:t>
      </w:r>
    </w:p>
    <w:p>
      <w:pPr>
        <w:spacing w:after="0" w:line="159"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selling stockholders may be our directors or entities affiliated with our directors. The prospectus supplement for any offering of common stock by selling stockholders will include the following information:</w:t>
      </w:r>
    </w:p>
    <w:p>
      <w:pPr>
        <w:spacing w:after="0" w:line="213"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names of the selling stockholders;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nature of any position, office or other material relationship each selling stockholder has had within the last three years with us or any of our predecessors or affiliates;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shares held by each of the selling stockholders before and after the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percentage of common stock held by each of the selling stockholders before and after the offering;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shares of common stock offered by each of the selling stockholders.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Selling stockholders may not sell any shares of our common stock pursuant to this prospectus until we have identified those selling stockholders and the shares being offered for resale by those selling stockholders in a subsequent prospectus supplement. However, the selling stockholders may sell or transfer all or a portion of their shares of our common stock pursuant to any available exemption from the registration requirements of the Securities Act of 1933.</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Distributions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208"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compensation to underwriters, dealers or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Only those underwriters identified in such prospectus supplement are deemed to be underwriters in connection with the securities offered in the prospectus supplement.</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rights offering, forward contracts or similar arrangements.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7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connection with the sale of the securities, underwriters, dealers or agents may be deemed to have received compensation from us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will provide in the applicable prospectus supplement information regarding any underwriting discounts or other compensation that we pay to underwriters or agents in connection with the securities offering, and any discounts, concessions or commissions that underwriters allow to dealers. Underwriters, dealers and agents participating in the securities distribution may be deemed to be underwriters, and any discounts, commissions or concessions they receive and any profit they realize on the resale of the securities may be deemed to be underwriting discounts and commissions under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Securities Act of 1933. Underwriters and their controlling persons, dealers and agents may be entitled, under agreements entered into with us,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or our subsidiaries in the ordinary course of business.</w:t>
      </w:r>
    </w:p>
    <w:p>
      <w:pPr>
        <w:spacing w:after="0" w:line="16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Stockholder Distributions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broker-dealers may agree with the selling stockholders to sell a specified number of such shares at a stipulated price per share;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combination of any such methods of sale.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or supplement to this prospectus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70"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20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61"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 Underwriters and their controlling persons, dealers and agents may be entitled, under agreements entered into with us and the selling stockholders, to indemnification against and contribution toward specific civil liabilities, including liabilities under the Securities Act.</w:t>
      </w:r>
    </w:p>
    <w:p>
      <w:pPr>
        <w:spacing w:after="0" w:line="198"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To the extent required, the shares of our common stock to be sold, the names of the selling stockholders, the respective purchase prices and public offering prices, the names of any agents,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97"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To facilitate the offering of the shares offered by the selling stockholders, certain persons participating in the offering may engage in transactions that stabilize, maintain or otherwise affect the price of the common stock. This may include over-allotments or short sales, which involve the sale by persons participating in the offering of more shares than were sold to them. In these circumstances, these persons would cover such over-allotments or short positions by making purchases in the open market or by exercising their over-allotment option, if any. In addition, these persons may stabilize or maintain the price of the common stock by bidding for or purchasing shares in the open market or by imposing penalty bids, whereby selling concessions allowed to dealers participating in the offering may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be reclaimed if shares sold by them are repurchased in connection with stabilization transactions. The effect of these transactions may be to stabilize or maintain the market price of the common stock at a level above that which might otherwise prevail in the open market. These transactions may be discontinued at any time.</w:t>
      </w:r>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validity of any securities offered by this prospectus will be passed upon for us by Pillsbury Winthrop Shaw Pittman LLP, San Francisco and Palo Alto, California.</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as of and for the year ended December 31, 2014 included in our Annual Report on Form 10-K for the year ended December 31, 2014, as set forth in their report, which is incorporated by reference in this prospectus and elsewhere in the registration statement. Our consolidated financial statements are incorporated by reference in reliance on Ernst &amp; Young LLP's report, given on their authority as experts in accounting and auditing.</w:t>
      </w:r>
    </w:p>
    <w:p>
      <w:pPr>
        <w:spacing w:after="0" w:line="197"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The financial statements as of December 31, 2013 and for each of the two years in the period ended December 31, 2013 incorporated in this Prospectus by reference to the Annual Report on Form 10-K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161"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The audited historical financial statements of Allegro Diagnostics Corp. included in Veracyte, Inc.'s Current Report on Form 8-K/A dated September 16, 2014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have filed a registration statement on Form S-3 with the SEC under the Securities Act of 1933. This prospectus is part of the registration statement but the registration statement includes and incorporates by reference additional information and exhibits. We file annual, quarterly and current reports, proxy statements and other information with the SEC. You may read and copy the registration statement and any other document we file with the SEC at the public reference room maintained by the SEC at 100 F Street, N.E., Washington, D.C. 20549. You may obtain information on the operation of the public reference room by calling the SEC at 1-800-SEC-0330. The SEC also maintains a web site that contains reports, proxy and information statements and other information regarding companies, such as ours, that file documents electronically with the SEC. The address of that site on the world wide web is http://www.sec.gov. The information on the SEC's web site is not part of this prospectus, and any references to this web site or any other web site are inactive textual references only.</w:t>
      </w:r>
    </w:p>
    <w:p>
      <w:pPr>
        <w:spacing w:after="0" w:line="172"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will be considered to be a part of this prospectus from the date those documents are filed. We have filed with the SEC, and incorporate by reference in this prospectus:</w:t>
      </w:r>
    </w:p>
    <w:p>
      <w:pPr>
        <w:spacing w:after="0" w:line="19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2014;</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2015;</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September 17, 2014 (as amended on November 6, 2014, December 10, 2014, and May 21, 2015); January 12, 2015, March 5, 2015, March 13, 2015, March 31, 2015, April 7, 2015, April 24, 2015, May 1, 2015 and May 19, 2015; and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October 28, 2013, including any amendment or report filed for the purpose of updating such description.</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also incorporate by reference all additional documents that we file with the SEC under the terms of Section 13(a), 13(c), 14 or 15(d) of the Exchange Act that are made after the initial filing date of the registration statement of which this prospectus is a part and the effectiveness of the registration statement, as well as between the date of this prospectus and the termination of any offering of securities offered by this prospectus. We are not, however, incorporating, in each case, any documents or information that we are deemed to furnish and not file in accordance with SEC rules.</w:t>
      </w:r>
    </w:p>
    <w:p>
      <w:pPr>
        <w:spacing w:after="0" w:line="167" w:lineRule="exact"/>
        <w:rPr>
          <w:sz w:val="20"/>
          <w:szCs w:val="20"/>
          <w:color w:val="auto"/>
        </w:rPr>
      </w:pPr>
    </w:p>
    <w:p>
      <w:pPr>
        <w:ind w:right="60" w:firstLine="345"/>
        <w:spacing w:after="0" w:line="305" w:lineRule="auto"/>
        <w:rPr>
          <w:sz w:val="20"/>
          <w:szCs w:val="20"/>
          <w:color w:val="auto"/>
        </w:rPr>
      </w:pPr>
      <w:r>
        <w:rPr>
          <w:rFonts w:ascii="Arial" w:cs="Arial" w:eastAsia="Arial" w:hAnsi="Arial"/>
          <w:sz w:val="15"/>
          <w:szCs w:val="15"/>
          <w:color w:val="auto"/>
        </w:rPr>
        <w:t>You may request a copy of any or all of the documents incorporated by reference but not delivered with this prospectus, at no cost, by writing or telephoning us at the following address and number: Investor Relations, Veracyte, Inc., 7000 Shoreline Court, Suite 250, South San Francisco, California 94080, telephone</w:t>
      </w:r>
    </w:p>
    <w:p>
      <w:pPr>
        <w:ind w:left="440" w:hanging="432"/>
        <w:spacing w:after="0"/>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243-6300. We will not, however, send exhibits to those documents, unless the exhibits are specifically incorporated by reference in those documents.</w:t>
      </w:r>
    </w:p>
    <w:p>
      <w:pPr>
        <w:spacing w:after="0" w:line="241"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86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160020</wp:posOffset>
            </wp:positionV>
            <wp:extent cx="1800860" cy="831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0086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200"/>
        <w:spacing w:after="0"/>
        <w:rPr>
          <w:sz w:val="20"/>
          <w:szCs w:val="20"/>
          <w:color w:val="auto"/>
        </w:rPr>
      </w:pPr>
      <w:r>
        <w:rPr>
          <w:rFonts w:ascii="Arial" w:cs="Arial" w:eastAsia="Arial" w:hAnsi="Arial"/>
          <w:sz w:val="30"/>
          <w:szCs w:val="30"/>
          <w:b w:val="1"/>
          <w:bCs w:val="1"/>
          <w:color w:val="auto"/>
        </w:rPr>
        <w:t>Leerink Partners</w:t>
      </w:r>
    </w:p>
    <w:p>
      <w:pPr>
        <w:spacing w:after="0" w:line="248" w:lineRule="exact"/>
        <w:rPr>
          <w:sz w:val="20"/>
          <w:szCs w:val="20"/>
          <w:color w:val="auto"/>
        </w:rPr>
      </w:pPr>
    </w:p>
    <w:p>
      <w:pPr>
        <w:ind w:left="5420"/>
        <w:spacing w:after="0"/>
        <w:rPr>
          <w:sz w:val="20"/>
          <w:szCs w:val="20"/>
          <w:color w:val="auto"/>
        </w:rPr>
      </w:pPr>
      <w:r>
        <w:rPr>
          <w:rFonts w:ascii="Arial" w:cs="Arial" w:eastAsia="Arial" w:hAnsi="Arial"/>
          <w:sz w:val="24"/>
          <w:szCs w:val="24"/>
          <w:b w:val="1"/>
          <w:bCs w:val="1"/>
          <w:color w:val="auto"/>
        </w:rPr>
        <w:t>BTIG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334645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upperLetter"/>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2019-12-08T13:38:35Z</dcterms:created>
  <dcterms:modified xsi:type="dcterms:W3CDTF">2019-12-08T13:38:35Z</dcterms:modified>
</cp:coreProperties>
</file>