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80" w:type="dxa"/>
            <w:vAlign w:val="bottom"/>
            <w:vMerge w:val="restart"/>
          </w:tcPr>
          <w:p>
            <w:pPr>
              <w:jc w:val="center"/>
              <w:ind w:right="27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88"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24765</wp:posOffset>
            </wp:positionV>
            <wp:extent cx="7325360" cy="686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86435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460"/>
            <w:col w:w="8780"/>
          </w:cols>
          <w:pgMar w:left="240" w:top="216" w:right="139" w:bottom="60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Halak Brian K</w:t>
        </w:r>
      </w:hyperlink>
    </w:p>
    <w:p>
      <w:pPr>
        <w:spacing w:after="0" w:line="291"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right="740"/>
        <w:spacing w:after="0" w:line="308" w:lineRule="auto"/>
        <w:rPr>
          <w:sz w:val="20"/>
          <w:szCs w:val="20"/>
          <w:color w:val="auto"/>
        </w:rPr>
      </w:pPr>
      <w:r>
        <w:rPr>
          <w:rFonts w:ascii="Times New Roman" w:cs="Times New Roman" w:eastAsia="Times New Roman" w:hAnsi="Times New Roman"/>
          <w:sz w:val="17"/>
          <w:szCs w:val="17"/>
          <w:color w:val="0000FF"/>
        </w:rPr>
        <w:t>C/O DOMAIN ASSOCIATES, LLC ONE PALMER SQUARE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11/04/2013</w:t>
      </w:r>
    </w:p>
    <w:p>
      <w:pPr>
        <w:spacing w:after="0" w:line="20" w:lineRule="exact"/>
        <w:rPr>
          <w:sz w:val="24"/>
          <w:szCs w:val="24"/>
          <w:color w:val="auto"/>
        </w:rPr>
      </w:pPr>
      <w:r>
        <w:rPr>
          <w:sz w:val="24"/>
          <w:szCs w:val="24"/>
          <w:color w:val="auto"/>
        </w:rPr>
        <w:br w:type="column"/>
      </w:r>
    </w:p>
    <w:p>
      <w:pPr>
        <w:ind w:left="-2" w:right="740" w:firstLine="2"/>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8"/>
        <w:spacing w:after="0"/>
        <w:tabs>
          <w:tab w:leader="none" w:pos="1837" w:val="left"/>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1"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0" w:lineRule="exact"/>
        <w:rPr>
          <w:sz w:val="24"/>
          <w:szCs w:val="24"/>
          <w:color w:val="auto"/>
        </w:rPr>
      </w:pP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62" w:space="720"/>
            <w:col w:w="3478"/>
          </w:cols>
          <w:pgMar w:left="240" w:top="216" w:right="139" w:bottom="603"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740" w:type="dxa"/>
            <w:vAlign w:val="bottom"/>
            <w:gridSpan w:val="7"/>
          </w:tcPr>
          <w:p>
            <w:pPr>
              <w:jc w:val="center"/>
              <w:ind w:right="55"/>
              <w:spacing w:after="0" w:line="115" w:lineRule="exact"/>
              <w:rPr>
                <w:sz w:val="20"/>
                <w:szCs w:val="20"/>
                <w:color w:val="auto"/>
              </w:rPr>
            </w:pPr>
            <w:r>
              <w:rPr>
                <w:rFonts w:ascii="Arial" w:cs="Arial" w:eastAsia="Arial" w:hAnsi="Arial"/>
                <w:sz w:val="13"/>
                <w:szCs w:val="13"/>
                <w:color w:val="auto"/>
                <w:w w:val="99"/>
              </w:rPr>
              <w:t>4. If Amendment, Date of Original Filed (Month/Day/Year)</w:t>
            </w:r>
          </w:p>
        </w:tc>
        <w:tc>
          <w:tcPr>
            <w:tcW w:w="3880" w:type="dxa"/>
            <w:vAlign w:val="bottom"/>
            <w:gridSpan w:val="9"/>
          </w:tcPr>
          <w:p>
            <w:pPr>
              <w:ind w:left="400"/>
              <w:spacing w:after="0" w:line="11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160" w:type="dxa"/>
            <w:vAlign w:val="bottom"/>
            <w:gridSpan w:val="6"/>
            <w:vMerge w:val="restart"/>
          </w:tcPr>
          <w:p>
            <w:pPr>
              <w:ind w:left="6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08542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6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1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3"/>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60" w:type="dxa"/>
            <w:vAlign w:val="bottom"/>
            <w:tcBorders>
              <w:bottom w:val="single" w:sz="8" w:color="2C2C2C"/>
            </w:tcBorders>
            <w:gridSpan w:val="5"/>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jc w:val="right"/>
              <w:ind w:right="311"/>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840"/>
              <w:spacing w:after="0" w:line="125" w:lineRule="exact"/>
              <w:rPr>
                <w:sz w:val="20"/>
                <w:szCs w:val="20"/>
                <w:color w:val="auto"/>
              </w:rPr>
            </w:pPr>
            <w:r>
              <w:rPr>
                <w:rFonts w:ascii="Arial" w:cs="Arial" w:eastAsia="Arial" w:hAnsi="Arial"/>
                <w:sz w:val="12"/>
                <w:szCs w:val="12"/>
                <w:b w:val="1"/>
                <w:bCs w:val="1"/>
                <w:color w:val="auto"/>
                <w:w w:val="92"/>
              </w:rPr>
              <w:t>Date</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jc w:val="right"/>
              <w:ind w:right="51"/>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76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5"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4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9"/>
              </w:rPr>
              <w:t>(A) or</w:t>
            </w:r>
          </w:p>
        </w:tc>
        <w:tc>
          <w:tcPr>
            <w:tcW w:w="7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vMerge w:val="restart"/>
          </w:tcPr>
          <w:p>
            <w:pPr>
              <w:jc w:val="right"/>
              <w:ind w:right="191"/>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Times New Roman" w:cs="Times New Roman" w:eastAsia="Times New Roman" w:hAnsi="Times New Roman"/>
                <w:sz w:val="17"/>
                <w:szCs w:val="17"/>
                <w:color w:val="0000FF"/>
                <w:w w:val="98"/>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rPr>
              <w:t>C</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3,063,294</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color w:val="008000"/>
              </w:rPr>
              <w:t>(1)</w:t>
            </w:r>
          </w:p>
        </w:tc>
        <w:tc>
          <w:tcPr>
            <w:tcW w:w="162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7"/>
                <w:szCs w:val="17"/>
                <w:color w:val="0000FF"/>
              </w:rPr>
              <w:t>3,063,294</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Domain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9"/>
              </w:rPr>
              <w:t>VIII, L.P.</w:t>
            </w:r>
            <w:r>
              <w:rPr>
                <w:rFonts w:ascii="Times New Roman" w:cs="Times New Roman" w:eastAsia="Times New Roman" w:hAnsi="Times New Roman"/>
                <w:sz w:val="21"/>
                <w:szCs w:val="21"/>
                <w:color w:val="008000"/>
                <w:w w:val="99"/>
                <w:vertAlign w:val="superscript"/>
              </w:rPr>
              <w:t>(2)</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Times New Roman" w:cs="Times New Roman" w:eastAsia="Times New Roman" w:hAnsi="Times New Roman"/>
                <w:sz w:val="17"/>
                <w:szCs w:val="17"/>
                <w:color w:val="0000FF"/>
                <w:w w:val="98"/>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22,730</w:t>
            </w:r>
          </w:p>
        </w:tc>
        <w:tc>
          <w:tcPr>
            <w:tcW w:w="100" w:type="dxa"/>
            <w:vAlign w:val="bottom"/>
          </w:tcPr>
          <w:p>
            <w:pPr>
              <w:spacing w:after="0"/>
              <w:rPr>
                <w:sz w:val="18"/>
                <w:szCs w:val="18"/>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color w:val="008000"/>
              </w:rPr>
              <w:t>(1)</w:t>
            </w:r>
          </w:p>
        </w:tc>
        <w:tc>
          <w:tcPr>
            <w:tcW w:w="162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7"/>
                <w:szCs w:val="17"/>
                <w:color w:val="0000FF"/>
              </w:rPr>
              <w:t>22,730</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VIII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Associates,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80" w:type="dxa"/>
            <w:vAlign w:val="bottom"/>
            <w:gridSpan w:val="12"/>
          </w:tcPr>
          <w:p>
            <w:pPr>
              <w:jc w:val="center"/>
              <w:ind w:right="16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jc w:val="center"/>
              <w:ind w:right="21"/>
              <w:spacing w:after="0" w:line="130"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w w:val="95"/>
              </w:rPr>
              <w:t>Amount or</w:t>
            </w: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jc w:val="right"/>
              <w:ind w:right="51"/>
              <w:spacing w:after="0" w:line="13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vMerge w:val="continue"/>
          </w:tcPr>
          <w:p>
            <w:pPr>
              <w:spacing w:after="0"/>
              <w:rPr>
                <w:sz w:val="14"/>
                <w:szCs w:val="14"/>
                <w:color w:val="auto"/>
              </w:rPr>
            </w:pPr>
          </w:p>
        </w:tc>
        <w:tc>
          <w:tcPr>
            <w:tcW w:w="720" w:type="dxa"/>
            <w:vAlign w:val="bottom"/>
          </w:tcPr>
          <w:p>
            <w:pPr>
              <w:jc w:val="right"/>
              <w:ind w:right="251"/>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(1)</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2,382,322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11/04/2013</w:t>
            </w:r>
          </w:p>
        </w:tc>
        <w:tc>
          <w:tcPr>
            <w:tcW w:w="1100" w:type="dxa"/>
            <w:vAlign w:val="bottom"/>
          </w:tcPr>
          <w:p>
            <w:pPr>
              <w:spacing w:after="0"/>
              <w:rPr>
                <w:sz w:val="12"/>
                <w:szCs w:val="12"/>
                <w:color w:val="auto"/>
              </w:rPr>
            </w:pPr>
          </w:p>
        </w:tc>
        <w:tc>
          <w:tcPr>
            <w:tcW w:w="780" w:type="dxa"/>
            <w:vAlign w:val="bottom"/>
            <w:gridSpan w:val="2"/>
          </w:tcPr>
          <w:p>
            <w:pPr>
              <w:jc w:val="center"/>
              <w:ind w:right="275"/>
              <w:spacing w:after="0" w:line="143" w:lineRule="exact"/>
              <w:rPr>
                <w:sz w:val="20"/>
                <w:szCs w:val="20"/>
                <w:color w:val="auto"/>
              </w:rPr>
            </w:pPr>
            <w:r>
              <w:rPr>
                <w:rFonts w:ascii="Times New Roman" w:cs="Times New Roman" w:eastAsia="Times New Roman" w:hAnsi="Times New Roman"/>
                <w:sz w:val="13"/>
                <w:szCs w:val="13"/>
                <w:color w:val="0000FF"/>
                <w:w w:val="91"/>
              </w:rPr>
              <w:t>C</w:t>
            </w:r>
          </w:p>
        </w:tc>
        <w:tc>
          <w:tcPr>
            <w:tcW w:w="104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9"/>
              </w:rPr>
              <w:t>2,382,322</w:t>
            </w: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gridSpan w:val="2"/>
          </w:tcPr>
          <w:p>
            <w:pPr>
              <w:jc w:val="center"/>
              <w:spacing w:after="0" w:line="14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82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520" w:type="dxa"/>
            <w:vAlign w:val="bottom"/>
          </w:tcPr>
          <w:p>
            <w:pPr>
              <w:ind w:left="40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8"/>
                <w:szCs w:val="8"/>
                <w:color w:val="0000FF"/>
              </w:rPr>
              <w:t>VIII, L.P.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17,677</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75"/>
              <w:spacing w:after="0" w:line="143" w:lineRule="exact"/>
              <w:rPr>
                <w:sz w:val="20"/>
                <w:szCs w:val="20"/>
                <w:color w:val="auto"/>
              </w:rPr>
            </w:pPr>
            <w:r>
              <w:rPr>
                <w:rFonts w:ascii="Times New Roman" w:cs="Times New Roman" w:eastAsia="Times New Roman" w:hAnsi="Times New Roman"/>
                <w:sz w:val="13"/>
                <w:szCs w:val="13"/>
                <w:color w:val="0000FF"/>
                <w:w w:val="91"/>
              </w:rPr>
              <w:t>C</w:t>
            </w:r>
          </w:p>
        </w:tc>
        <w:tc>
          <w:tcPr>
            <w:tcW w:w="104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17,677</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4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52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Associates,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line="234" w:lineRule="exact"/>
              <w:rPr>
                <w:sz w:val="20"/>
                <w:szCs w:val="20"/>
                <w:color w:val="auto"/>
              </w:rPr>
            </w:pPr>
            <w:r>
              <w:rPr>
                <w:rFonts w:ascii="Times New Roman" w:cs="Times New Roman" w:eastAsia="Times New Roman" w:hAnsi="Times New Roman"/>
                <w:sz w:val="13"/>
                <w:szCs w:val="13"/>
                <w:color w:val="0000FF"/>
              </w:rPr>
              <w:t>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(1)</w:t>
            </w:r>
          </w:p>
        </w:tc>
        <w:tc>
          <w:tcPr>
            <w:tcW w:w="62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680,972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75"/>
              <w:spacing w:after="0" w:line="143" w:lineRule="exact"/>
              <w:rPr>
                <w:sz w:val="20"/>
                <w:szCs w:val="20"/>
                <w:color w:val="auto"/>
              </w:rPr>
            </w:pPr>
            <w:r>
              <w:rPr>
                <w:rFonts w:ascii="Times New Roman" w:cs="Times New Roman" w:eastAsia="Times New Roman" w:hAnsi="Times New Roman"/>
                <w:sz w:val="13"/>
                <w:szCs w:val="13"/>
                <w:color w:val="0000FF"/>
                <w:w w:val="91"/>
              </w:rPr>
              <w:t>C</w:t>
            </w:r>
          </w:p>
        </w:tc>
        <w:tc>
          <w:tcPr>
            <w:tcW w:w="1040" w:type="dxa"/>
            <w:vAlign w:val="bottom"/>
            <w:vMerge w:val="restart"/>
          </w:tcPr>
          <w:p>
            <w:pPr>
              <w:jc w:val="center"/>
              <w:ind w:left="240"/>
              <w:spacing w:after="0" w:line="143" w:lineRule="exact"/>
              <w:rPr>
                <w:sz w:val="20"/>
                <w:szCs w:val="20"/>
                <w:color w:val="auto"/>
              </w:rPr>
            </w:pPr>
            <w:r>
              <w:rPr>
                <w:rFonts w:ascii="Times New Roman" w:cs="Times New Roman" w:eastAsia="Times New Roman" w:hAnsi="Times New Roman"/>
                <w:sz w:val="13"/>
                <w:szCs w:val="13"/>
                <w:color w:val="0000FF"/>
                <w:w w:val="99"/>
              </w:rPr>
              <w:t>680,972</w:t>
            </w: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4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52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VIII, L.P.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5,053</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75"/>
              <w:spacing w:after="0" w:line="143" w:lineRule="exact"/>
              <w:rPr>
                <w:sz w:val="20"/>
                <w:szCs w:val="20"/>
                <w:color w:val="auto"/>
              </w:rPr>
            </w:pPr>
            <w:r>
              <w:rPr>
                <w:rFonts w:ascii="Times New Roman" w:cs="Times New Roman" w:eastAsia="Times New Roman" w:hAnsi="Times New Roman"/>
                <w:sz w:val="13"/>
                <w:szCs w:val="13"/>
                <w:color w:val="0000FF"/>
                <w:w w:val="91"/>
              </w:rPr>
              <w:t>C</w:t>
            </w:r>
          </w:p>
        </w:tc>
        <w:tc>
          <w:tcPr>
            <w:tcW w:w="1040" w:type="dxa"/>
            <w:vAlign w:val="bottom"/>
            <w:vMerge w:val="restart"/>
          </w:tcPr>
          <w:p>
            <w:pPr>
              <w:jc w:val="center"/>
              <w:ind w:left="240"/>
              <w:spacing w:after="0" w:line="143" w:lineRule="exact"/>
              <w:rPr>
                <w:sz w:val="20"/>
                <w:szCs w:val="20"/>
                <w:color w:val="auto"/>
              </w:rPr>
            </w:pPr>
            <w:r>
              <w:rPr>
                <w:rFonts w:ascii="Times New Roman" w:cs="Times New Roman" w:eastAsia="Times New Roman" w:hAnsi="Times New Roman"/>
                <w:sz w:val="13"/>
                <w:szCs w:val="13"/>
                <w:color w:val="0000FF"/>
              </w:rPr>
              <w:t>5,053</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4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52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Associates,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outstanding shares of preferred stock were automatically converted into Common Stock upon the closing of the Issuer's initial public offering (the "IPO"), for no additional consideration. The preferred stock had no expiration date.</w:t>
      </w:r>
    </w:p>
    <w:p>
      <w:pPr>
        <w:spacing w:after="0" w:line="1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One Palmer Square Associates VIII, LLC, which is the sole general partner of Domain Partners VIII, L.P. and DP VIII Associates, L.P. Pursuant to Instruction (4)(b) (iv) of Form 4,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Kathleen K. Schoemaker,</w:t>
            </w:r>
          </w:p>
        </w:tc>
        <w:tc>
          <w:tcPr>
            <w:tcW w:w="3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11/04/2013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6" w:right="139" w:bottom="6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4718"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2019-12-16T08:00:44Z</dcterms:created>
  <dcterms:modified xsi:type="dcterms:W3CDTF">2019-12-16T08:00:44Z</dcterms:modified>
</cp:coreProperties>
</file>