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6"/>
          <w:szCs w:val="16"/>
          <w:b w:val="1"/>
          <w:bCs w:val="1"/>
          <w:color w:val="auto"/>
        </w:rPr>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Washington, D.C. 20549</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2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7" w:lineRule="exact"/>
        <w:rPr>
          <w:sz w:val="24"/>
          <w:szCs w:val="24"/>
          <w:color w:val="auto"/>
        </w:rPr>
      </w:pPr>
    </w:p>
    <w:p>
      <w:pPr>
        <w:ind w:left="4620"/>
        <w:spacing w:after="0"/>
        <w:rPr>
          <w:sz w:val="20"/>
          <w:szCs w:val="20"/>
          <w:color w:val="auto"/>
        </w:rPr>
      </w:pPr>
      <w:r>
        <w:rPr>
          <w:rFonts w:ascii="Arial" w:cs="Arial" w:eastAsia="Arial" w:hAnsi="Arial"/>
          <w:sz w:val="16"/>
          <w:szCs w:val="16"/>
          <w:b w:val="1"/>
          <w:bCs w:val="1"/>
          <w:color w:val="auto"/>
        </w:rPr>
        <w:t>(Amendment No. ________)*</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(Name of Issuer)</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(Title of Class of Securities)</w:t>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(CUSIP Number)</w:t>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12/31/2015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8" w:lineRule="exact"/>
        <w:rPr>
          <w:sz w:val="24"/>
          <w:szCs w:val="24"/>
          <w:color w:val="auto"/>
        </w:rPr>
      </w:pPr>
    </w:p>
    <w:p>
      <w:pPr>
        <w:ind w:left="3740"/>
        <w:spacing w:after="0"/>
        <w:rPr>
          <w:sz w:val="20"/>
          <w:szCs w:val="20"/>
          <w:color w:val="auto"/>
        </w:rPr>
      </w:pPr>
      <w:r>
        <w:rPr>
          <w:rFonts w:ascii="Arial" w:cs="Arial" w:eastAsia="Arial" w:hAnsi="Arial"/>
          <w:sz w:val="16"/>
          <w:szCs w:val="16"/>
          <w:color w:val="auto"/>
        </w:rPr>
        <w:t>(Date of Event which Requires Filing of this Statement)</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5" w:lineRule="exact"/>
        <w:rPr>
          <w:sz w:val="24"/>
          <w:szCs w:val="24"/>
          <w:color w:val="auto"/>
        </w:rPr>
      </w:pPr>
    </w:p>
    <w:p>
      <w:pPr>
        <w:jc w:val="both"/>
        <w:ind w:right="10040" w:firstLine="8"/>
        <w:spacing w:after="0" w:line="222" w:lineRule="exact"/>
        <w:tabs>
          <w:tab w:leader="none" w:pos="1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6"/>
          <w:szCs w:val="16"/>
          <w:color w:val="auto"/>
        </w:rPr>
        <w:t xml:space="preserve">Rule 13d-1(b) </w:t>
      </w:r>
      <w:r>
        <w:rPr>
          <w:rFonts w:ascii="MS PGothic" w:cs="MS PGothic" w:eastAsia="MS PGothic" w:hAnsi="MS PGothic"/>
          <w:sz w:val="18"/>
          <w:szCs w:val="18"/>
          <w:color w:val="auto"/>
        </w:rPr>
        <w:t>☐</w:t>
      </w:r>
      <w:r>
        <w:rPr>
          <w:rFonts w:ascii="Arial" w:cs="Arial" w:eastAsia="Arial" w:hAnsi="Arial"/>
          <w:sz w:val="16"/>
          <w:szCs w:val="16"/>
          <w:color w:val="auto"/>
        </w:rPr>
        <w:t xml:space="preserve"> Rule 13d-1(c) </w:t>
      </w:r>
      <w:r>
        <w:rPr>
          <w:rFonts w:ascii="MS PGothic" w:cs="MS PGothic" w:eastAsia="MS PGothic" w:hAnsi="MS PGothic"/>
          <w:sz w:val="18"/>
          <w:szCs w:val="18"/>
          <w:color w:val="auto"/>
        </w:rPr>
        <w:t>☐</w:t>
      </w:r>
      <w:r>
        <w:rPr>
          <w:rFonts w:ascii="Arial" w:cs="Arial" w:eastAsia="Arial" w:hAnsi="Arial"/>
          <w:sz w:val="16"/>
          <w:szCs w:val="16"/>
          <w:color w:val="auto"/>
        </w:rPr>
        <w:t xml:space="preserve"> Rule 13d-1(d)</w:t>
      </w:r>
    </w:p>
    <w:p>
      <w:pPr>
        <w:spacing w:after="0" w:line="220" w:lineRule="exact"/>
        <w:rPr>
          <w:sz w:val="24"/>
          <w:szCs w:val="24"/>
          <w:color w:val="auto"/>
        </w:rPr>
      </w:pPr>
    </w:p>
    <w:p>
      <w:pPr>
        <w:ind w:right="40" w:firstLine="8"/>
        <w:spacing w:after="0" w:line="197" w:lineRule="auto"/>
        <w:tabs>
          <w:tab w:leader="none" w:pos="98"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34"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227" w:right="359" w:bottom="1440" w:gutter="0" w:footer="0" w:header="0"/>
        </w:sectPr>
      </w:pPr>
    </w:p>
    <w:bookmarkStart w:id="1" w:name="page2"/>
    <w:bookmarkEnd w:id="1"/>
    <w:p>
      <w:pPr>
        <w:spacing w:after="0"/>
        <w:tabs>
          <w:tab w:leader="none" w:pos="5660" w:val="left"/>
          <w:tab w:leader="none" w:pos="10020" w:val="left"/>
        </w:tabs>
        <w:rPr>
          <w:sz w:val="20"/>
          <w:szCs w:val="20"/>
          <w:color w:val="auto"/>
        </w:rPr>
      </w:pPr>
      <w:r>
        <w:rPr>
          <w:rFonts w:ascii="Arial" w:cs="Arial" w:eastAsia="Arial" w:hAnsi="Arial"/>
          <w:sz w:val="16"/>
          <w:szCs w:val="16"/>
          <w:color w:val="auto"/>
        </w:rPr>
        <w:t xml:space="preserve">CUSIP No. </w:t>
      </w:r>
      <w:r>
        <w:rPr>
          <w:rFonts w:ascii="Arial" w:cs="Arial" w:eastAsia="Arial" w:hAnsi="Arial"/>
          <w:sz w:val="19"/>
          <w:szCs w:val="19"/>
          <w:color w:val="auto"/>
        </w:rPr>
        <w:t>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2 of 5 Pages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60" w:hanging="35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w:t>
      </w:r>
    </w:p>
    <w:p>
      <w:pPr>
        <w:spacing w:after="0" w:line="200" w:lineRule="exact"/>
        <w:rPr>
          <w:rFonts w:ascii="Arial" w:cs="Arial" w:eastAsia="Arial" w:hAnsi="Arial"/>
          <w:sz w:val="16"/>
          <w:szCs w:val="16"/>
          <w:color w:val="auto"/>
        </w:rPr>
      </w:pPr>
    </w:p>
    <w:p>
      <w:pPr>
        <w:spacing w:after="0" w:line="28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Eventide Asset Management, LLC</w:t>
      </w:r>
    </w:p>
    <w:p>
      <w:pPr>
        <w:spacing w:after="0" w:line="35" w:lineRule="exact"/>
        <w:rPr>
          <w:rFonts w:ascii="Arial" w:cs="Arial" w:eastAsia="Arial" w:hAnsi="Arial"/>
          <w:sz w:val="16"/>
          <w:szCs w:val="16"/>
          <w:color w:val="auto"/>
        </w:rPr>
      </w:pPr>
    </w:p>
    <w:p>
      <w:pPr>
        <w:ind w:left="460" w:right="6280" w:hanging="357"/>
        <w:spacing w:after="0" w:line="260"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ind w:left="840" w:hanging="373"/>
        <w:spacing w:after="0" w:line="189" w:lineRule="exact"/>
        <w:tabs>
          <w:tab w:leader="none" w:pos="84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31" w:lineRule="exact"/>
        <w:rPr>
          <w:rFonts w:ascii="Arial" w:cs="Arial" w:eastAsia="Arial" w:hAnsi="Arial"/>
          <w:sz w:val="16"/>
          <w:szCs w:val="16"/>
          <w:color w:val="auto"/>
        </w:rPr>
      </w:pPr>
    </w:p>
    <w:p>
      <w:pPr>
        <w:ind w:left="840" w:hanging="373"/>
        <w:spacing w:after="0" w:line="189" w:lineRule="exact"/>
        <w:tabs>
          <w:tab w:leader="none" w:pos="840" w:val="left"/>
        </w:tabs>
        <w:numPr>
          <w:ilvl w:val="1"/>
          <w:numId w:val="3"/>
        </w:numPr>
        <w:rPr>
          <w:rFonts w:ascii="Arial" w:cs="Arial" w:eastAsia="Arial" w:hAnsi="Arial"/>
          <w:sz w:val="16"/>
          <w:szCs w:val="16"/>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6"/>
          <w:szCs w:val="16"/>
          <w:color w:val="auto"/>
        </w:rPr>
      </w:pPr>
    </w:p>
    <w:p>
      <w:pPr>
        <w:ind w:left="460" w:hanging="35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187" w:lineRule="exact"/>
        <w:rPr>
          <w:rFonts w:ascii="Arial" w:cs="Arial" w:eastAsia="Arial" w:hAnsi="Arial"/>
          <w:sz w:val="16"/>
          <w:szCs w:val="16"/>
          <w:color w:val="auto"/>
        </w:rPr>
      </w:pPr>
    </w:p>
    <w:p>
      <w:pPr>
        <w:ind w:left="460" w:hanging="357"/>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-1459865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-885190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20"/>
          <w:szCs w:val="20"/>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19"/>
        </w:trPr>
        <w:tc>
          <w:tcPr>
            <w:tcW w:w="1640" w:type="dxa"/>
            <w:vAlign w:val="bottom"/>
          </w:tcPr>
          <w:p>
            <w:pPr>
              <w:spacing w:after="0"/>
              <w:rPr>
                <w:sz w:val="19"/>
                <w:szCs w:val="19"/>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9460" w:type="dxa"/>
            <w:vAlign w:val="bottom"/>
          </w:tcPr>
          <w:p>
            <w:pPr>
              <w:ind w:left="120"/>
              <w:spacing w:after="0"/>
              <w:rPr>
                <w:sz w:val="20"/>
                <w:szCs w:val="20"/>
                <w:color w:val="auto"/>
              </w:rPr>
            </w:pPr>
            <w:r>
              <w:rPr>
                <w:rFonts w:ascii="Arial" w:cs="Arial" w:eastAsia="Arial" w:hAnsi="Arial"/>
                <w:sz w:val="16"/>
                <w:szCs w:val="16"/>
                <w:color w:val="auto"/>
              </w:rPr>
              <w:t>SOLE VOTING POWER</w:t>
            </w:r>
          </w:p>
        </w:tc>
        <w:tc>
          <w:tcPr>
            <w:tcW w:w="0" w:type="dxa"/>
            <w:vAlign w:val="bottom"/>
          </w:tcPr>
          <w:p>
            <w:pPr>
              <w:spacing w:after="0"/>
              <w:rPr>
                <w:sz w:val="1"/>
                <w:szCs w:val="1"/>
                <w:color w:val="auto"/>
              </w:rPr>
            </w:pPr>
          </w:p>
        </w:tc>
      </w:tr>
      <w:tr>
        <w:trPr>
          <w:trHeight w:val="394"/>
        </w:trPr>
        <w:tc>
          <w:tcPr>
            <w:tcW w:w="1640" w:type="dxa"/>
            <w:vAlign w:val="bottom"/>
            <w:vMerge w:val="restart"/>
          </w:tcPr>
          <w:p>
            <w:pPr>
              <w:jc w:val="center"/>
              <w:ind w:right="179"/>
              <w:spacing w:after="0"/>
              <w:rPr>
                <w:sz w:val="20"/>
                <w:szCs w:val="20"/>
                <w:color w:val="auto"/>
              </w:rPr>
            </w:pPr>
            <w:r>
              <w:rPr>
                <w:rFonts w:ascii="Arial" w:cs="Arial" w:eastAsia="Arial" w:hAnsi="Arial"/>
                <w:sz w:val="16"/>
                <w:szCs w:val="16"/>
                <w:color w:val="auto"/>
              </w:rPr>
              <w:t>NUMBER OF</w:t>
            </w:r>
          </w:p>
        </w:tc>
        <w:tc>
          <w:tcPr>
            <w:tcW w:w="26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2,252,000</w:t>
            </w:r>
          </w:p>
        </w:tc>
        <w:tc>
          <w:tcPr>
            <w:tcW w:w="0" w:type="dxa"/>
            <w:vAlign w:val="bottom"/>
          </w:tcPr>
          <w:p>
            <w:pPr>
              <w:spacing w:after="0"/>
              <w:rPr>
                <w:sz w:val="1"/>
                <w:szCs w:val="1"/>
                <w:color w:val="auto"/>
              </w:rPr>
            </w:pPr>
          </w:p>
        </w:tc>
      </w:tr>
      <w:tr>
        <w:trPr>
          <w:trHeight w:val="164"/>
        </w:trPr>
        <w:tc>
          <w:tcPr>
            <w:tcW w:w="1640" w:type="dxa"/>
            <w:vAlign w:val="bottom"/>
            <w:vMerge w:val="continue"/>
          </w:tcPr>
          <w:p>
            <w:pPr>
              <w:spacing w:after="0"/>
              <w:rPr>
                <w:sz w:val="14"/>
                <w:szCs w:val="14"/>
                <w:color w:val="auto"/>
              </w:rPr>
            </w:pPr>
          </w:p>
        </w:tc>
        <w:tc>
          <w:tcPr>
            <w:tcW w:w="260" w:type="dxa"/>
            <w:vAlign w:val="bottom"/>
          </w:tcPr>
          <w:p>
            <w:pPr>
              <w:jc w:val="right"/>
              <w:ind w:right="19"/>
              <w:spacing w:after="0" w:line="165" w:lineRule="exact"/>
              <w:rPr>
                <w:sz w:val="20"/>
                <w:szCs w:val="20"/>
                <w:color w:val="auto"/>
              </w:rPr>
            </w:pPr>
            <w:r>
              <w:rPr>
                <w:rFonts w:ascii="Arial" w:cs="Arial" w:eastAsia="Arial" w:hAnsi="Arial"/>
                <w:sz w:val="16"/>
                <w:szCs w:val="16"/>
                <w:color w:val="auto"/>
              </w:rPr>
              <w:t>6.</w:t>
            </w:r>
          </w:p>
        </w:tc>
        <w:tc>
          <w:tcPr>
            <w:tcW w:w="9460" w:type="dxa"/>
            <w:vAlign w:val="bottom"/>
          </w:tcPr>
          <w:p>
            <w:pPr>
              <w:ind w:left="120"/>
              <w:spacing w:after="0" w:line="165" w:lineRule="exact"/>
              <w:rPr>
                <w:sz w:val="20"/>
                <w:szCs w:val="20"/>
                <w:color w:val="auto"/>
              </w:rPr>
            </w:pPr>
            <w:r>
              <w:rPr>
                <w:rFonts w:ascii="Arial" w:cs="Arial" w:eastAsia="Arial" w:hAnsi="Arial"/>
                <w:sz w:val="16"/>
                <w:szCs w:val="16"/>
                <w:color w:val="auto"/>
              </w:rPr>
              <w:t>SHARED VOTING POWER</w:t>
            </w:r>
          </w:p>
        </w:tc>
        <w:tc>
          <w:tcPr>
            <w:tcW w:w="0" w:type="dxa"/>
            <w:vAlign w:val="bottom"/>
          </w:tcPr>
          <w:p>
            <w:pPr>
              <w:spacing w:after="0"/>
              <w:rPr>
                <w:sz w:val="1"/>
                <w:szCs w:val="1"/>
                <w:color w:val="auto"/>
              </w:rPr>
            </w:pPr>
          </w:p>
        </w:tc>
      </w:tr>
      <w:tr>
        <w:trPr>
          <w:trHeight w:val="189"/>
        </w:trPr>
        <w:tc>
          <w:tcPr>
            <w:tcW w:w="1640" w:type="dxa"/>
            <w:vAlign w:val="bottom"/>
          </w:tcPr>
          <w:p>
            <w:pPr>
              <w:jc w:val="center"/>
              <w:ind w:right="179"/>
              <w:spacing w:after="0"/>
              <w:rPr>
                <w:sz w:val="20"/>
                <w:szCs w:val="20"/>
                <w:color w:val="auto"/>
              </w:rPr>
            </w:pPr>
            <w:r>
              <w:rPr>
                <w:rFonts w:ascii="Arial" w:cs="Arial" w:eastAsia="Arial" w:hAnsi="Arial"/>
                <w:sz w:val="16"/>
                <w:szCs w:val="16"/>
                <w:color w:val="auto"/>
              </w:rPr>
              <w:t>SHARES</w:t>
            </w:r>
          </w:p>
        </w:tc>
        <w:tc>
          <w:tcPr>
            <w:tcW w:w="26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640" w:type="dxa"/>
            <w:vAlign w:val="bottom"/>
          </w:tcPr>
          <w:p>
            <w:pPr>
              <w:jc w:val="center"/>
              <w:ind w:right="179"/>
              <w:spacing w:after="0"/>
              <w:rPr>
                <w:sz w:val="20"/>
                <w:szCs w:val="20"/>
                <w:color w:val="auto"/>
              </w:rPr>
            </w:pPr>
            <w:r>
              <w:rPr>
                <w:rFonts w:ascii="Arial" w:cs="Arial" w:eastAsia="Arial" w:hAnsi="Arial"/>
                <w:sz w:val="16"/>
                <w:szCs w:val="16"/>
                <w:color w:val="auto"/>
              </w:rPr>
              <w:t>BENEFICIALLY</w:t>
            </w:r>
          </w:p>
        </w:tc>
        <w:tc>
          <w:tcPr>
            <w:tcW w:w="260" w:type="dxa"/>
            <w:vAlign w:val="bottom"/>
            <w:tcBorders>
              <w:bottom w:val="single" w:sz="8" w:color="auto"/>
            </w:tcBorders>
          </w:tcPr>
          <w:p>
            <w:pPr>
              <w:spacing w:after="0"/>
              <w:rPr>
                <w:sz w:val="18"/>
                <w:szCs w:val="18"/>
                <w:color w:val="auto"/>
              </w:rPr>
            </w:pPr>
          </w:p>
        </w:tc>
        <w:tc>
          <w:tcPr>
            <w:tcW w:w="94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51"/>
        </w:trPr>
        <w:tc>
          <w:tcPr>
            <w:tcW w:w="1640" w:type="dxa"/>
            <w:vAlign w:val="bottom"/>
          </w:tcPr>
          <w:p>
            <w:pPr>
              <w:jc w:val="center"/>
              <w:ind w:right="179"/>
              <w:spacing w:after="0" w:line="151" w:lineRule="exact"/>
              <w:rPr>
                <w:sz w:val="20"/>
                <w:szCs w:val="20"/>
                <w:color w:val="auto"/>
              </w:rPr>
            </w:pPr>
            <w:r>
              <w:rPr>
                <w:rFonts w:ascii="Arial" w:cs="Arial" w:eastAsia="Arial" w:hAnsi="Arial"/>
                <w:sz w:val="16"/>
                <w:szCs w:val="16"/>
                <w:color w:val="auto"/>
              </w:rPr>
              <w:t>OWNED BY EACH</w:t>
            </w:r>
          </w:p>
        </w:tc>
        <w:tc>
          <w:tcPr>
            <w:tcW w:w="260" w:type="dxa"/>
            <w:vAlign w:val="bottom"/>
          </w:tcPr>
          <w:p>
            <w:pPr>
              <w:jc w:val="right"/>
              <w:ind w:right="19"/>
              <w:spacing w:after="0" w:line="151" w:lineRule="exact"/>
              <w:rPr>
                <w:sz w:val="20"/>
                <w:szCs w:val="20"/>
                <w:color w:val="auto"/>
              </w:rPr>
            </w:pPr>
            <w:r>
              <w:rPr>
                <w:rFonts w:ascii="Arial" w:cs="Arial" w:eastAsia="Arial" w:hAnsi="Arial"/>
                <w:sz w:val="16"/>
                <w:szCs w:val="16"/>
                <w:color w:val="auto"/>
              </w:rPr>
              <w:t>7.</w:t>
            </w:r>
          </w:p>
        </w:tc>
        <w:tc>
          <w:tcPr>
            <w:tcW w:w="9460" w:type="dxa"/>
            <w:vAlign w:val="bottom"/>
          </w:tcPr>
          <w:p>
            <w:pPr>
              <w:ind w:left="120"/>
              <w:spacing w:after="0" w:line="151" w:lineRule="exact"/>
              <w:rPr>
                <w:sz w:val="20"/>
                <w:szCs w:val="20"/>
                <w:color w:val="auto"/>
              </w:rPr>
            </w:pPr>
            <w:r>
              <w:rPr>
                <w:rFonts w:ascii="Arial" w:cs="Arial" w:eastAsia="Arial" w:hAnsi="Arial"/>
                <w:sz w:val="16"/>
                <w:szCs w:val="16"/>
                <w:color w:val="auto"/>
              </w:rPr>
              <w:t>SOLE DISPOSITIVE POWER</w:t>
            </w:r>
          </w:p>
        </w:tc>
        <w:tc>
          <w:tcPr>
            <w:tcW w:w="0" w:type="dxa"/>
            <w:vAlign w:val="bottom"/>
          </w:tcPr>
          <w:p>
            <w:pPr>
              <w:spacing w:after="0"/>
              <w:rPr>
                <w:sz w:val="1"/>
                <w:szCs w:val="1"/>
                <w:color w:val="auto"/>
              </w:rPr>
            </w:pPr>
          </w:p>
        </w:tc>
      </w:tr>
      <w:tr>
        <w:trPr>
          <w:trHeight w:val="189"/>
        </w:trPr>
        <w:tc>
          <w:tcPr>
            <w:tcW w:w="1640" w:type="dxa"/>
            <w:vAlign w:val="bottom"/>
          </w:tcPr>
          <w:p>
            <w:pPr>
              <w:jc w:val="center"/>
              <w:ind w:right="159"/>
              <w:spacing w:after="0"/>
              <w:rPr>
                <w:sz w:val="20"/>
                <w:szCs w:val="20"/>
                <w:color w:val="auto"/>
              </w:rPr>
            </w:pPr>
            <w:r>
              <w:rPr>
                <w:rFonts w:ascii="Arial" w:cs="Arial" w:eastAsia="Arial" w:hAnsi="Arial"/>
                <w:sz w:val="16"/>
                <w:szCs w:val="16"/>
                <w:color w:val="auto"/>
              </w:rPr>
              <w:t>REPORTING</w:t>
            </w:r>
          </w:p>
        </w:tc>
        <w:tc>
          <w:tcPr>
            <w:tcW w:w="260" w:type="dxa"/>
            <w:vAlign w:val="bottom"/>
          </w:tcPr>
          <w:p>
            <w:pPr>
              <w:spacing w:after="0"/>
              <w:rPr>
                <w:sz w:val="16"/>
                <w:szCs w:val="16"/>
                <w:color w:val="auto"/>
              </w:rPr>
            </w:pPr>
          </w:p>
        </w:tc>
        <w:tc>
          <w:tcPr>
            <w:tcW w:w="9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1640" w:type="dxa"/>
            <w:vAlign w:val="bottom"/>
          </w:tcPr>
          <w:p>
            <w:pPr>
              <w:jc w:val="center"/>
              <w:ind w:right="179"/>
              <w:spacing w:after="0"/>
              <w:rPr>
                <w:sz w:val="20"/>
                <w:szCs w:val="20"/>
                <w:color w:val="auto"/>
              </w:rPr>
            </w:pPr>
            <w:r>
              <w:rPr>
                <w:rFonts w:ascii="Arial" w:cs="Arial" w:eastAsia="Arial" w:hAnsi="Arial"/>
                <w:sz w:val="16"/>
                <w:szCs w:val="16"/>
                <w:color w:val="auto"/>
              </w:rPr>
              <w:t>PERSON WITH</w:t>
            </w:r>
          </w:p>
        </w:tc>
        <w:tc>
          <w:tcPr>
            <w:tcW w:w="260" w:type="dxa"/>
            <w:vAlign w:val="bottom"/>
          </w:tcPr>
          <w:p>
            <w:pPr>
              <w:spacing w:after="0"/>
              <w:rPr>
                <w:sz w:val="22"/>
                <w:szCs w:val="22"/>
                <w:color w:val="auto"/>
              </w:rPr>
            </w:pPr>
          </w:p>
        </w:tc>
        <w:tc>
          <w:tcPr>
            <w:tcW w:w="9460" w:type="dxa"/>
            <w:vAlign w:val="bottom"/>
          </w:tcPr>
          <w:p>
            <w:pPr>
              <w:ind w:left="120"/>
              <w:spacing w:after="0"/>
              <w:rPr>
                <w:sz w:val="20"/>
                <w:szCs w:val="20"/>
                <w:color w:val="auto"/>
              </w:rPr>
            </w:pPr>
            <w:r>
              <w:rPr>
                <w:rFonts w:ascii="Arial" w:cs="Arial" w:eastAsia="Arial" w:hAnsi="Arial"/>
                <w:sz w:val="18"/>
                <w:szCs w:val="18"/>
                <w:color w:val="auto"/>
              </w:rPr>
              <w:t>2,252,000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-8890</wp:posOffset>
            </wp:positionV>
            <wp:extent cx="6165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65850" cy="8890"/>
                    </a:xfrm>
                    <a:prstGeom prst="rect">
                      <a:avLst/>
                    </a:prstGeom>
                    <a:noFill/>
                  </pic:spPr>
                </pic:pic>
              </a:graphicData>
            </a:graphic>
          </wp:anchor>
        </w:drawing>
      </w:r>
    </w:p>
    <w:p>
      <w:pPr>
        <w:ind w:left="2080" w:right="6960" w:hanging="357"/>
        <w:spacing w:after="0" w:line="512" w:lineRule="auto"/>
        <w:tabs>
          <w:tab w:leader="none" w:pos="2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SHARED DISPOSITIVE POWER 0</w:t>
      </w:r>
    </w:p>
    <w:p>
      <w:pPr>
        <w:spacing w:after="0" w:line="261" w:lineRule="exact"/>
        <w:rPr>
          <w:rFonts w:ascii="Arial" w:cs="Arial" w:eastAsia="Arial" w:hAnsi="Arial"/>
          <w:sz w:val="16"/>
          <w:szCs w:val="16"/>
          <w:color w:val="auto"/>
        </w:rPr>
      </w:pPr>
    </w:p>
    <w:p>
      <w:pPr>
        <w:ind w:left="480" w:hanging="364"/>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AGGREGATE AMOUNT BENEFICIALLY OWNED BY EACH REPORTING PERSON</w:t>
      </w:r>
    </w:p>
    <w:p>
      <w:pPr>
        <w:spacing w:after="0" w:line="243"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8"/>
          <w:szCs w:val="18"/>
          <w:color w:val="auto"/>
        </w:rPr>
        <w:t>2,252,000</w:t>
      </w:r>
    </w:p>
    <w:p>
      <w:pPr>
        <w:spacing w:after="0" w:line="33" w:lineRule="exact"/>
        <w:rPr>
          <w:rFonts w:ascii="Arial" w:cs="Arial" w:eastAsia="Arial" w:hAnsi="Arial"/>
          <w:sz w:val="16"/>
          <w:szCs w:val="16"/>
          <w:color w:val="auto"/>
        </w:rPr>
      </w:pPr>
    </w:p>
    <w:p>
      <w:pPr>
        <w:ind w:left="480" w:right="4740" w:hanging="454"/>
        <w:spacing w:after="0" w:line="209" w:lineRule="exact"/>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1" w:lineRule="exact"/>
        <w:rPr>
          <w:rFonts w:ascii="Arial" w:cs="Arial" w:eastAsia="Arial" w:hAnsi="Arial"/>
          <w:sz w:val="16"/>
          <w:szCs w:val="16"/>
          <w:color w:val="auto"/>
        </w:rPr>
      </w:pPr>
    </w:p>
    <w:p>
      <w:pPr>
        <w:ind w:left="480" w:hanging="442"/>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PERCENT OF CLASS REPRESENTED BY AMOUNT IN ROW (9)</w:t>
      </w:r>
    </w:p>
    <w:p>
      <w:pPr>
        <w:spacing w:after="0" w:line="223"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8"/>
          <w:szCs w:val="18"/>
          <w:color w:val="auto"/>
        </w:rPr>
        <w:t>8.1%</w:t>
      </w:r>
    </w:p>
    <w:p>
      <w:pPr>
        <w:spacing w:after="0" w:line="33" w:lineRule="exact"/>
        <w:rPr>
          <w:rFonts w:ascii="Arial" w:cs="Arial" w:eastAsia="Arial" w:hAnsi="Arial"/>
          <w:sz w:val="16"/>
          <w:szCs w:val="16"/>
          <w:color w:val="auto"/>
        </w:rPr>
      </w:pPr>
    </w:p>
    <w:p>
      <w:pPr>
        <w:ind w:left="480" w:hanging="454"/>
        <w:spacing w:after="0"/>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TYPE OF REPORTING PERSON (see instructions)</w:t>
      </w:r>
    </w:p>
    <w:p>
      <w:pPr>
        <w:spacing w:after="0" w:line="223"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-1076960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-810895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1" w:right="239" w:bottom="1440" w:gutter="0" w:footer="0" w:header="0"/>
        </w:sectPr>
      </w:pPr>
    </w:p>
    <w:bookmarkStart w:id="2" w:name="page3"/>
    <w:bookmarkEnd w:id="2"/>
    <w:p>
      <w:pPr>
        <w:spacing w:after="0"/>
        <w:tabs>
          <w:tab w:leader="none" w:pos="5660" w:val="left"/>
          <w:tab w:leader="none" w:pos="10060" w:val="left"/>
        </w:tabs>
        <w:rPr>
          <w:sz w:val="20"/>
          <w:szCs w:val="20"/>
          <w:color w:val="auto"/>
        </w:rPr>
      </w:pPr>
      <w:r>
        <w:rPr>
          <w:rFonts w:ascii="Arial" w:cs="Arial" w:eastAsia="Arial" w:hAnsi="Arial"/>
          <w:sz w:val="16"/>
          <w:szCs w:val="16"/>
          <w:color w:val="auto"/>
        </w:rPr>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3 of 5 Pages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w:t>
      </w:r>
    </w:p>
    <w:p>
      <w:pPr>
        <w:spacing w:after="0" w:line="169" w:lineRule="exact"/>
        <w:rPr>
          <w:sz w:val="20"/>
          <w:szCs w:val="20"/>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w:t>
      </w:r>
    </w:p>
    <w:p>
      <w:pPr>
        <w:spacing w:after="0" w:line="22"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8"/>
          <w:szCs w:val="18"/>
          <w:color w:val="auto"/>
        </w:rPr>
        <w:t>Veracyte, Inc</w:t>
      </w:r>
    </w:p>
    <w:p>
      <w:pPr>
        <w:spacing w:after="0" w:line="221" w:lineRule="exact"/>
        <w:rPr>
          <w:rFonts w:ascii="Arial" w:cs="Arial" w:eastAsia="Arial" w:hAnsi="Arial"/>
          <w:sz w:val="16"/>
          <w:szCs w:val="16"/>
          <w:color w:val="auto"/>
        </w:rPr>
      </w:pPr>
    </w:p>
    <w:p>
      <w:pPr>
        <w:ind w:left="700" w:hanging="341"/>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w:t>
      </w:r>
    </w:p>
    <w:p>
      <w:pPr>
        <w:spacing w:after="0" w:line="22" w:lineRule="exact"/>
        <w:rPr>
          <w:rFonts w:ascii="Arial" w:cs="Arial" w:eastAsia="Arial" w:hAnsi="Arial"/>
          <w:sz w:val="16"/>
          <w:szCs w:val="16"/>
          <w:color w:val="auto"/>
        </w:rPr>
      </w:pPr>
    </w:p>
    <w:p>
      <w:pPr>
        <w:ind w:left="700" w:right="7640"/>
        <w:spacing w:after="0" w:line="279" w:lineRule="auto"/>
        <w:rPr>
          <w:rFonts w:ascii="Arial" w:cs="Arial" w:eastAsia="Arial" w:hAnsi="Arial"/>
          <w:sz w:val="16"/>
          <w:szCs w:val="16"/>
          <w:color w:val="auto"/>
        </w:rPr>
      </w:pPr>
      <w:r>
        <w:rPr>
          <w:rFonts w:ascii="Arial" w:cs="Arial" w:eastAsia="Arial" w:hAnsi="Arial"/>
          <w:sz w:val="17"/>
          <w:szCs w:val="17"/>
          <w:color w:val="auto"/>
        </w:rPr>
        <w:t>7000 Shoreline Court, Suite 250 South San Francisco, California 94080</w:t>
      </w: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w:t>
      </w:r>
    </w:p>
    <w:p>
      <w:pPr>
        <w:spacing w:after="0" w:line="164" w:lineRule="exact"/>
        <w:rPr>
          <w:sz w:val="20"/>
          <w:szCs w:val="20"/>
          <w:color w:val="auto"/>
        </w:rPr>
      </w:pPr>
    </w:p>
    <w:p>
      <w:pPr>
        <w:ind w:left="700" w:hanging="341"/>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Name of Person Filing: </w:t>
      </w:r>
      <w:r>
        <w:rPr>
          <w:rFonts w:ascii="Arial" w:cs="Arial" w:eastAsia="Arial" w:hAnsi="Arial"/>
          <w:sz w:val="18"/>
          <w:szCs w:val="18"/>
          <w:color w:val="auto"/>
        </w:rPr>
        <w:t>Eventide Asset Management, LLC</w:t>
      </w:r>
    </w:p>
    <w:p>
      <w:pPr>
        <w:spacing w:after="0" w:line="200" w:lineRule="exact"/>
        <w:rPr>
          <w:rFonts w:ascii="Arial" w:cs="Arial" w:eastAsia="Arial" w:hAnsi="Arial"/>
          <w:sz w:val="16"/>
          <w:szCs w:val="16"/>
          <w:color w:val="auto"/>
        </w:rPr>
      </w:pPr>
    </w:p>
    <w:p>
      <w:pPr>
        <w:spacing w:after="0" w:line="285" w:lineRule="exact"/>
        <w:rPr>
          <w:rFonts w:ascii="Arial" w:cs="Arial" w:eastAsia="Arial" w:hAnsi="Arial"/>
          <w:sz w:val="16"/>
          <w:szCs w:val="16"/>
          <w:color w:val="auto"/>
        </w:rPr>
      </w:pPr>
    </w:p>
    <w:p>
      <w:pPr>
        <w:ind w:left="700" w:hanging="341"/>
        <w:spacing w:after="0"/>
        <w:tabs>
          <w:tab w:leader="none" w:pos="700" w:val="left"/>
        </w:tabs>
        <w:numPr>
          <w:ilvl w:val="0"/>
          <w:numId w:val="7"/>
        </w:numPr>
        <w:rPr>
          <w:rFonts w:ascii="Arial" w:cs="Arial" w:eastAsia="Arial" w:hAnsi="Arial"/>
          <w:sz w:val="32"/>
          <w:szCs w:val="32"/>
          <w:color w:val="auto"/>
          <w:vertAlign w:val="superscript"/>
        </w:rPr>
      </w:pPr>
      <w:r>
        <w:rPr>
          <w:rFonts w:ascii="Arial" w:cs="Arial" w:eastAsia="Arial" w:hAnsi="Arial"/>
          <w:sz w:val="16"/>
          <w:szCs w:val="16"/>
          <w:color w:val="auto"/>
        </w:rPr>
        <w:t xml:space="preserve">Address of the Principal Office or, if none, residence: </w:t>
      </w:r>
      <w:r>
        <w:rPr>
          <w:rFonts w:ascii="Arial" w:cs="Arial" w:eastAsia="Arial" w:hAnsi="Arial"/>
          <w:sz w:val="18"/>
          <w:szCs w:val="18"/>
          <w:color w:val="auto"/>
        </w:rPr>
        <w:t>One International Place, 35</w:t>
      </w:r>
      <w:r>
        <w:rPr>
          <w:rFonts w:ascii="Arial" w:cs="Arial" w:eastAsia="Arial" w:hAnsi="Arial"/>
          <w:sz w:val="30"/>
          <w:szCs w:val="30"/>
          <w:color w:val="auto"/>
          <w:vertAlign w:val="superscript"/>
        </w:rPr>
        <w:t>th</w:t>
      </w:r>
      <w:r>
        <w:rPr>
          <w:rFonts w:ascii="Arial" w:cs="Arial" w:eastAsia="Arial" w:hAnsi="Arial"/>
          <w:sz w:val="16"/>
          <w:szCs w:val="16"/>
          <w:color w:val="auto"/>
        </w:rPr>
        <w:t xml:space="preserve"> </w:t>
      </w:r>
      <w:r>
        <w:rPr>
          <w:rFonts w:ascii="Arial" w:cs="Arial" w:eastAsia="Arial" w:hAnsi="Arial"/>
          <w:sz w:val="18"/>
          <w:szCs w:val="18"/>
          <w:color w:val="auto"/>
        </w:rPr>
        <w:t>floor Boston, MA 02110</w:t>
      </w:r>
    </w:p>
    <w:p>
      <w:pPr>
        <w:spacing w:after="0" w:line="357" w:lineRule="exact"/>
        <w:rPr>
          <w:rFonts w:ascii="Arial" w:cs="Arial" w:eastAsia="Arial" w:hAnsi="Arial"/>
          <w:sz w:val="32"/>
          <w:szCs w:val="32"/>
          <w:color w:val="auto"/>
          <w:vertAlign w:val="superscript"/>
        </w:rPr>
      </w:pPr>
    </w:p>
    <w:p>
      <w:pPr>
        <w:ind w:left="700" w:hanging="341"/>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Citizenship: </w:t>
      </w:r>
      <w:r>
        <w:rPr>
          <w:rFonts w:ascii="Arial" w:cs="Arial" w:eastAsia="Arial" w:hAnsi="Arial"/>
          <w:sz w:val="18"/>
          <w:szCs w:val="18"/>
          <w:color w:val="auto"/>
        </w:rPr>
        <w:t>Delaware</w:t>
      </w:r>
    </w:p>
    <w:p>
      <w:pPr>
        <w:spacing w:after="0" w:line="200" w:lineRule="exact"/>
        <w:rPr>
          <w:rFonts w:ascii="Arial" w:cs="Arial" w:eastAsia="Arial" w:hAnsi="Arial"/>
          <w:sz w:val="16"/>
          <w:szCs w:val="16"/>
          <w:color w:val="auto"/>
        </w:rPr>
      </w:pPr>
    </w:p>
    <w:p>
      <w:pPr>
        <w:spacing w:after="0" w:line="281" w:lineRule="exact"/>
        <w:rPr>
          <w:rFonts w:ascii="Arial" w:cs="Arial" w:eastAsia="Arial" w:hAnsi="Arial"/>
          <w:sz w:val="16"/>
          <w:szCs w:val="16"/>
          <w:color w:val="auto"/>
        </w:rPr>
      </w:pPr>
    </w:p>
    <w:p>
      <w:pPr>
        <w:ind w:left="700" w:hanging="341"/>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Title of Class of Securities: </w:t>
      </w:r>
      <w:r>
        <w:rPr>
          <w:rFonts w:ascii="Arial" w:cs="Arial" w:eastAsia="Arial" w:hAnsi="Arial"/>
          <w:sz w:val="18"/>
          <w:szCs w:val="18"/>
          <w:color w:val="auto"/>
        </w:rPr>
        <w:t>Common Stock, par value $0.001 per share</w:t>
      </w:r>
    </w:p>
    <w:p>
      <w:pPr>
        <w:spacing w:after="0" w:line="200" w:lineRule="exact"/>
        <w:rPr>
          <w:rFonts w:ascii="Arial" w:cs="Arial" w:eastAsia="Arial" w:hAnsi="Arial"/>
          <w:sz w:val="16"/>
          <w:szCs w:val="16"/>
          <w:color w:val="auto"/>
        </w:rPr>
      </w:pPr>
    </w:p>
    <w:p>
      <w:pPr>
        <w:spacing w:after="0" w:line="281" w:lineRule="exact"/>
        <w:rPr>
          <w:rFonts w:ascii="Arial" w:cs="Arial" w:eastAsia="Arial" w:hAnsi="Arial"/>
          <w:sz w:val="16"/>
          <w:szCs w:val="16"/>
          <w:color w:val="auto"/>
        </w:rPr>
      </w:pPr>
    </w:p>
    <w:p>
      <w:pPr>
        <w:ind w:left="700" w:hanging="341"/>
        <w:spacing w:after="0"/>
        <w:tabs>
          <w:tab w:leader="none" w:pos="7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CUSIP Number: </w:t>
      </w:r>
      <w:r>
        <w:rPr>
          <w:rFonts w:ascii="Arial" w:cs="Arial" w:eastAsia="Arial" w:hAnsi="Arial"/>
          <w:sz w:val="18"/>
          <w:szCs w:val="18"/>
          <w:color w:val="auto"/>
        </w:rPr>
        <w:t>92337F107</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If this statement is filed pursuant to §§240.13d-1(b) or 240.13d-2(b) or (c), check whether the person filing is a:</w:t>
      </w:r>
    </w:p>
    <w:p>
      <w:pPr>
        <w:spacing w:after="0" w:line="140" w:lineRule="exact"/>
        <w:rPr>
          <w:sz w:val="20"/>
          <w:szCs w:val="20"/>
          <w:color w:val="auto"/>
        </w:rPr>
      </w:pPr>
    </w:p>
    <w:p>
      <w:pPr>
        <w:ind w:left="720" w:hanging="361"/>
        <w:spacing w:after="0" w:line="207"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Broker or dealer registered under section 15 of the Act (15 U.S.C. 78o).</w:t>
      </w:r>
    </w:p>
    <w:p>
      <w:pPr>
        <w:spacing w:after="0" w:line="279" w:lineRule="exact"/>
        <w:rPr>
          <w:rFonts w:ascii="Arial" w:cs="Arial" w:eastAsia="Arial" w:hAnsi="Arial"/>
          <w:sz w:val="16"/>
          <w:szCs w:val="16"/>
          <w:color w:val="auto"/>
        </w:rPr>
      </w:pPr>
    </w:p>
    <w:p>
      <w:pPr>
        <w:ind w:left="720" w:hanging="361"/>
        <w:spacing w:after="0" w:line="207"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Bank as defined in section 3(a)(6) of the Act (15 U.S.C. 78c).</w:t>
      </w:r>
    </w:p>
    <w:p>
      <w:pPr>
        <w:spacing w:after="0" w:line="279" w:lineRule="exact"/>
        <w:rPr>
          <w:rFonts w:ascii="Arial" w:cs="Arial" w:eastAsia="Arial" w:hAnsi="Arial"/>
          <w:sz w:val="16"/>
          <w:szCs w:val="16"/>
          <w:color w:val="auto"/>
        </w:rPr>
      </w:pPr>
    </w:p>
    <w:p>
      <w:pPr>
        <w:ind w:left="720" w:hanging="361"/>
        <w:spacing w:after="0" w:line="207"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Insurance company as defined in section 3(a)(19) of the Act (15 U.S.C. 78c).</w:t>
      </w:r>
    </w:p>
    <w:p>
      <w:pPr>
        <w:spacing w:after="0" w:line="279" w:lineRule="exact"/>
        <w:rPr>
          <w:rFonts w:ascii="Arial" w:cs="Arial" w:eastAsia="Arial" w:hAnsi="Arial"/>
          <w:sz w:val="16"/>
          <w:szCs w:val="16"/>
          <w:color w:val="auto"/>
        </w:rPr>
      </w:pPr>
    </w:p>
    <w:p>
      <w:pPr>
        <w:ind w:left="720" w:hanging="361"/>
        <w:spacing w:after="0" w:line="207"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Investment company registered under section 8 of the Investment Company Act of 1940 (15 U.S.C. 80a-8).</w:t>
      </w:r>
    </w:p>
    <w:p>
      <w:pPr>
        <w:spacing w:after="0" w:line="307" w:lineRule="exact"/>
        <w:rPr>
          <w:rFonts w:ascii="Arial" w:cs="Arial" w:eastAsia="Arial" w:hAnsi="Arial"/>
          <w:sz w:val="16"/>
          <w:szCs w:val="16"/>
          <w:color w:val="auto"/>
        </w:rPr>
      </w:pPr>
    </w:p>
    <w:p>
      <w:pPr>
        <w:ind w:left="720" w:hanging="361"/>
        <w:spacing w:after="0"/>
        <w:tabs>
          <w:tab w:leader="none" w:pos="720" w:val="left"/>
        </w:tabs>
        <w:numPr>
          <w:ilvl w:val="0"/>
          <w:numId w:val="8"/>
        </w:numPr>
        <w:rPr>
          <w:rFonts w:ascii="Arial" w:cs="Arial" w:eastAsia="Arial" w:hAnsi="Arial"/>
          <w:sz w:val="16"/>
          <w:szCs w:val="16"/>
          <w:color w:val="auto"/>
        </w:rPr>
      </w:pPr>
      <w:r>
        <w:rPr>
          <w:rFonts w:ascii="Times New Roman" w:cs="Times New Roman" w:eastAsia="Times New Roman" w:hAnsi="Times New Roman"/>
          <w:sz w:val="18"/>
          <w:szCs w:val="18"/>
          <w:color w:val="auto"/>
        </w:rPr>
        <w:t xml:space="preserve">x   </w:t>
      </w:r>
      <w:r>
        <w:rPr>
          <w:rFonts w:ascii="Arial" w:cs="Arial" w:eastAsia="Arial" w:hAnsi="Arial"/>
          <w:sz w:val="16"/>
          <w:szCs w:val="16"/>
          <w:color w:val="auto"/>
        </w:rPr>
        <w:t>An investment adviser in accordance with §240.13d-1(b)(1)(ii)(E);</w:t>
      </w:r>
    </w:p>
    <w:p>
      <w:pPr>
        <w:spacing w:after="0" w:line="250" w:lineRule="exact"/>
        <w:rPr>
          <w:rFonts w:ascii="Arial" w:cs="Arial" w:eastAsia="Arial" w:hAnsi="Arial"/>
          <w:sz w:val="16"/>
          <w:szCs w:val="16"/>
          <w:color w:val="auto"/>
        </w:rPr>
      </w:pPr>
    </w:p>
    <w:p>
      <w:pPr>
        <w:ind w:left="720" w:hanging="361"/>
        <w:spacing w:after="0" w:line="207"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An employee benefit plan or endowment fund in accordance with §240.13d-1(b)(1)(ii)(F);</w:t>
      </w:r>
    </w:p>
    <w:p>
      <w:pPr>
        <w:spacing w:after="0" w:line="279" w:lineRule="exact"/>
        <w:rPr>
          <w:rFonts w:ascii="Arial" w:cs="Arial" w:eastAsia="Arial" w:hAnsi="Arial"/>
          <w:sz w:val="16"/>
          <w:szCs w:val="16"/>
          <w:color w:val="auto"/>
        </w:rPr>
      </w:pPr>
    </w:p>
    <w:p>
      <w:pPr>
        <w:ind w:left="720" w:hanging="361"/>
        <w:spacing w:after="0" w:line="207"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 parent holding company or control person in accordance with §240.13d-1(b)(1)(ii)(G);</w:t>
      </w:r>
    </w:p>
    <w:p>
      <w:pPr>
        <w:spacing w:after="0" w:line="279" w:lineRule="exact"/>
        <w:rPr>
          <w:rFonts w:ascii="Arial" w:cs="Arial" w:eastAsia="Arial" w:hAnsi="Arial"/>
          <w:sz w:val="16"/>
          <w:szCs w:val="16"/>
          <w:color w:val="auto"/>
        </w:rPr>
      </w:pPr>
    </w:p>
    <w:p>
      <w:pPr>
        <w:ind w:left="720" w:hanging="361"/>
        <w:spacing w:after="0" w:line="207"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 savings associations as defined in Section 3(b) of the Federal Deposit Insurance Act (12 U.S.C. 1813);</w:t>
      </w:r>
    </w:p>
    <w:p>
      <w:pPr>
        <w:spacing w:after="0" w:line="279" w:lineRule="exact"/>
        <w:rPr>
          <w:rFonts w:ascii="Arial" w:cs="Arial" w:eastAsia="Arial" w:hAnsi="Arial"/>
          <w:sz w:val="16"/>
          <w:szCs w:val="16"/>
          <w:color w:val="auto"/>
        </w:rPr>
      </w:pPr>
    </w:p>
    <w:p>
      <w:pPr>
        <w:ind w:left="1040" w:right="140" w:hanging="681"/>
        <w:spacing w:after="0" w:line="219" w:lineRule="exact"/>
        <w:tabs>
          <w:tab w:leader="none" w:pos="702"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A church plan that is excluded from the definition of an investment company under section 3(c)(14) of the Investment Company Act of 1940 (15 U.S.C. 80a-3);</w:t>
      </w:r>
    </w:p>
    <w:p>
      <w:pPr>
        <w:spacing w:after="0" w:line="184" w:lineRule="exact"/>
        <w:rPr>
          <w:rFonts w:ascii="Arial" w:cs="Arial" w:eastAsia="Arial" w:hAnsi="Arial"/>
          <w:sz w:val="16"/>
          <w:szCs w:val="16"/>
          <w:color w:val="auto"/>
        </w:rPr>
      </w:pPr>
    </w:p>
    <w:p>
      <w:pPr>
        <w:ind w:left="720" w:hanging="361"/>
        <w:spacing w:after="0" w:line="207" w:lineRule="exact"/>
        <w:tabs>
          <w:tab w:leader="none" w:pos="720" w:val="left"/>
        </w:tabs>
        <w:numPr>
          <w:ilvl w:val="0"/>
          <w:numId w:val="8"/>
        </w:numPr>
        <w:rPr>
          <w:rFonts w:ascii="Arial" w:cs="Arial" w:eastAsia="Arial" w:hAnsi="Arial"/>
          <w:sz w:val="16"/>
          <w:szCs w:val="16"/>
          <w:color w:val="auto"/>
        </w:rPr>
      </w:pPr>
      <w:r>
        <w:rPr>
          <w:rFonts w:ascii="MS PGothic" w:cs="MS PGothic" w:eastAsia="MS PGothic" w:hAnsi="MS PGothic"/>
          <w:sz w:val="18"/>
          <w:szCs w:val="18"/>
          <w:color w:val="auto"/>
        </w:rPr>
        <w:t>☐</w:t>
      </w:r>
      <w:r>
        <w:rPr>
          <w:rFonts w:ascii="Arial" w:cs="Arial" w:eastAsia="Arial" w:hAnsi="Arial"/>
          <w:sz w:val="16"/>
          <w:szCs w:val="16"/>
          <w:color w:val="auto"/>
        </w:rPr>
        <w:t xml:space="preserve">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361315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0" w:right="239" w:bottom="1440" w:gutter="0" w:footer="0" w:header="0"/>
        </w:sectPr>
      </w:pPr>
    </w:p>
    <w:bookmarkStart w:id="3" w:name="page4"/>
    <w:bookmarkEnd w:id="3"/>
    <w:p>
      <w:pPr>
        <w:spacing w:after="0"/>
        <w:tabs>
          <w:tab w:leader="none" w:pos="5660" w:val="left"/>
          <w:tab w:leader="none" w:pos="9980" w:val="left"/>
        </w:tabs>
        <w:rPr>
          <w:sz w:val="20"/>
          <w:szCs w:val="20"/>
          <w:color w:val="auto"/>
        </w:rPr>
      </w:pPr>
      <w:r>
        <w:rPr>
          <w:rFonts w:ascii="Arial" w:cs="Arial" w:eastAsia="Arial" w:hAnsi="Arial"/>
          <w:sz w:val="16"/>
          <w:szCs w:val="16"/>
          <w:color w:val="auto"/>
        </w:rPr>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4 of 5 Pages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Ownership.</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5" w:lineRule="exact"/>
        <w:rPr>
          <w:sz w:val="20"/>
          <w:szCs w:val="20"/>
          <w:color w:val="auto"/>
        </w:rPr>
      </w:pPr>
    </w:p>
    <w:p>
      <w:pPr>
        <w:ind w:left="820" w:hanging="461"/>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Amount beneficially owned: </w:t>
      </w:r>
      <w:r>
        <w:rPr>
          <w:rFonts w:ascii="Arial" w:cs="Arial" w:eastAsia="Arial" w:hAnsi="Arial"/>
          <w:sz w:val="18"/>
          <w:szCs w:val="18"/>
          <w:color w:val="auto"/>
        </w:rPr>
        <w:t>2,252,000</w:t>
      </w:r>
    </w:p>
    <w:p>
      <w:pPr>
        <w:spacing w:after="0" w:line="279" w:lineRule="exact"/>
        <w:rPr>
          <w:rFonts w:ascii="Arial" w:cs="Arial" w:eastAsia="Arial" w:hAnsi="Arial"/>
          <w:sz w:val="16"/>
          <w:szCs w:val="16"/>
          <w:color w:val="auto"/>
        </w:rPr>
      </w:pPr>
    </w:p>
    <w:p>
      <w:pPr>
        <w:ind w:left="820" w:hanging="461"/>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Percent of class: </w:t>
      </w:r>
      <w:r>
        <w:rPr>
          <w:rFonts w:ascii="Arial" w:cs="Arial" w:eastAsia="Arial" w:hAnsi="Arial"/>
          <w:sz w:val="18"/>
          <w:szCs w:val="18"/>
          <w:color w:val="auto"/>
        </w:rPr>
        <w:t>8.1%</w:t>
      </w:r>
    </w:p>
    <w:p>
      <w:pPr>
        <w:spacing w:after="0" w:line="283" w:lineRule="exact"/>
        <w:rPr>
          <w:rFonts w:ascii="Arial" w:cs="Arial" w:eastAsia="Arial" w:hAnsi="Arial"/>
          <w:sz w:val="16"/>
          <w:szCs w:val="16"/>
          <w:color w:val="auto"/>
        </w:rPr>
      </w:pPr>
    </w:p>
    <w:p>
      <w:pPr>
        <w:ind w:left="820" w:hanging="461"/>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Number of shares as to which the person has:</w:t>
      </w:r>
    </w:p>
    <w:p>
      <w:pPr>
        <w:spacing w:after="0" w:line="297"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Sole power to vote or to direct the vote: </w:t>
      </w:r>
      <w:r>
        <w:rPr>
          <w:rFonts w:ascii="Arial" w:cs="Arial" w:eastAsia="Arial" w:hAnsi="Arial"/>
          <w:sz w:val="18"/>
          <w:szCs w:val="18"/>
          <w:color w:val="auto"/>
        </w:rPr>
        <w:t>2,252,000</w:t>
      </w:r>
    </w:p>
    <w:p>
      <w:pPr>
        <w:spacing w:after="0" w:line="279"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Shared power to vote or to direct the vote </w:t>
      </w:r>
      <w:r>
        <w:rPr>
          <w:rFonts w:ascii="Arial" w:cs="Arial" w:eastAsia="Arial" w:hAnsi="Arial"/>
          <w:sz w:val="18"/>
          <w:szCs w:val="18"/>
          <w:color w:val="auto"/>
        </w:rPr>
        <w:t>0</w:t>
      </w:r>
    </w:p>
    <w:p>
      <w:pPr>
        <w:spacing w:after="0" w:line="279"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Sole power to dispose or to direct the disposition of </w:t>
      </w:r>
      <w:r>
        <w:rPr>
          <w:rFonts w:ascii="Arial" w:cs="Arial" w:eastAsia="Arial" w:hAnsi="Arial"/>
          <w:sz w:val="18"/>
          <w:szCs w:val="18"/>
          <w:color w:val="auto"/>
        </w:rPr>
        <w:t>2,252,000</w:t>
      </w:r>
    </w:p>
    <w:p>
      <w:pPr>
        <w:spacing w:after="0" w:line="279" w:lineRule="exact"/>
        <w:rPr>
          <w:rFonts w:ascii="Arial" w:cs="Arial" w:eastAsia="Arial" w:hAnsi="Arial"/>
          <w:sz w:val="16"/>
          <w:szCs w:val="16"/>
          <w:color w:val="auto"/>
        </w:rPr>
      </w:pPr>
    </w:p>
    <w:p>
      <w:pPr>
        <w:ind w:left="1160" w:hanging="342"/>
        <w:spacing w:after="0"/>
        <w:tabs>
          <w:tab w:leader="none" w:pos="1160" w:val="left"/>
        </w:tabs>
        <w:numPr>
          <w:ilvl w:val="1"/>
          <w:numId w:val="9"/>
        </w:numPr>
        <w:rPr>
          <w:rFonts w:ascii="Arial" w:cs="Arial" w:eastAsia="Arial" w:hAnsi="Arial"/>
          <w:sz w:val="16"/>
          <w:szCs w:val="16"/>
          <w:color w:val="auto"/>
        </w:rPr>
      </w:pPr>
      <w:r>
        <w:rPr>
          <w:rFonts w:ascii="Arial" w:cs="Arial" w:eastAsia="Arial" w:hAnsi="Arial"/>
          <w:sz w:val="16"/>
          <w:szCs w:val="16"/>
          <w:color w:val="auto"/>
        </w:rPr>
        <w:t xml:space="preserve">Shared power to dispose or to direct the disposition of </w:t>
      </w:r>
      <w:r>
        <w:rPr>
          <w:rFonts w:ascii="Arial" w:cs="Arial" w:eastAsia="Arial" w:hAnsi="Arial"/>
          <w:sz w:val="18"/>
          <w:szCs w:val="18"/>
          <w:color w:val="auto"/>
        </w:rPr>
        <w:t>0</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For computations regarding securities which represent a right to acquire an underlying security</w:t>
      </w:r>
      <w:r>
        <w:rPr>
          <w:rFonts w:ascii="Arial" w:cs="Arial" w:eastAsia="Arial" w:hAnsi="Arial"/>
          <w:sz w:val="16"/>
          <w:szCs w:val="16"/>
          <w:i w:val="1"/>
          <w:iCs w:val="1"/>
          <w:color w:val="auto"/>
        </w:rPr>
        <w:t xml:space="preserve"> see </w:t>
      </w:r>
      <w:r>
        <w:rPr>
          <w:rFonts w:ascii="Arial" w:cs="Arial" w:eastAsia="Arial" w:hAnsi="Arial"/>
          <w:sz w:val="16"/>
          <w:szCs w:val="16"/>
          <w:color w:val="auto"/>
        </w:rPr>
        <w:t>§240.13d-3(d)(1).</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Ownership of Five Percent or Less of a Class.</w:t>
      </w:r>
    </w:p>
    <w:p>
      <w:pPr>
        <w:spacing w:after="0" w:line="223" w:lineRule="exact"/>
        <w:rPr>
          <w:sz w:val="20"/>
          <w:szCs w:val="20"/>
          <w:color w:val="auto"/>
        </w:rPr>
      </w:pPr>
    </w:p>
    <w:p>
      <w:pPr>
        <w:ind w:right="160"/>
        <w:spacing w:after="0" w:line="222" w:lineRule="exact"/>
        <w:rPr>
          <w:sz w:val="20"/>
          <w:szCs w:val="20"/>
          <w:color w:val="auto"/>
        </w:rPr>
      </w:pPr>
      <w:r>
        <w:rPr>
          <w:rFonts w:ascii="Arial" w:cs="Arial" w:eastAsia="Arial" w:hAnsi="Arial"/>
          <w:sz w:val="16"/>
          <w:szCs w:val="16"/>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6"/>
          <w:szCs w:val="16"/>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Instruction</w:t>
      </w:r>
      <w:r>
        <w:rPr>
          <w:rFonts w:ascii="Arial" w:cs="Arial" w:eastAsia="Arial" w:hAnsi="Arial"/>
          <w:sz w:val="16"/>
          <w:szCs w:val="16"/>
          <w:color w:val="auto"/>
        </w:rPr>
        <w:t>. Dissolution of a group requires a response to this item.</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Ownership of More than Five Percent on Behalf of Another Person.</w:t>
      </w:r>
    </w:p>
    <w:p>
      <w:pPr>
        <w:spacing w:after="0" w:line="164" w:lineRule="exact"/>
        <w:rPr>
          <w:sz w:val="20"/>
          <w:szCs w:val="20"/>
          <w:color w:val="auto"/>
        </w:rPr>
      </w:pPr>
    </w:p>
    <w:p>
      <w:pPr>
        <w:jc w:val="both"/>
        <w:ind w:left="660" w:right="400"/>
        <w:spacing w:after="0" w:line="255" w:lineRule="auto"/>
        <w:rPr>
          <w:sz w:val="20"/>
          <w:szCs w:val="20"/>
          <w:color w:val="auto"/>
        </w:rPr>
      </w:pPr>
      <w:r>
        <w:rPr>
          <w:rFonts w:ascii="Arial" w:cs="Arial" w:eastAsia="Arial" w:hAnsi="Arial"/>
          <w:sz w:val="18"/>
          <w:szCs w:val="18"/>
          <w:color w:val="auto"/>
        </w:rPr>
        <w:t>Eventide Asset Management, LLC, a Delaware limited liability company located at One International Place, 35th floor, Boston, MA 02110 is the beneficial owner of 2,252,000 common shares, as of the date of this filing, by virtue of being the investment adviser to registered investment companies (mutual funds). No individual fund owns more than 5% of the common shares.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Identification and Classification of Members of the Group.</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Notice of Dissolution of Group.</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Certification.</w:t>
      </w:r>
    </w:p>
    <w:p>
      <w:pPr>
        <w:spacing w:after="0" w:line="169" w:lineRule="exact"/>
        <w:rPr>
          <w:sz w:val="20"/>
          <w:szCs w:val="20"/>
          <w:color w:val="auto"/>
        </w:rPr>
      </w:pPr>
    </w:p>
    <w:p>
      <w:pPr>
        <w:ind w:left="340" w:hanging="264"/>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certification shall be included if the statement is filed pursuant to §240.13d-1(b):</w:t>
      </w:r>
    </w:p>
    <w:p>
      <w:pPr>
        <w:spacing w:after="0" w:line="302" w:lineRule="exact"/>
        <w:rPr>
          <w:rFonts w:ascii="Arial" w:cs="Arial" w:eastAsia="Arial" w:hAnsi="Arial"/>
          <w:sz w:val="16"/>
          <w:szCs w:val="16"/>
          <w:color w:val="auto"/>
        </w:rPr>
      </w:pPr>
    </w:p>
    <w:p>
      <w:pPr>
        <w:ind w:left="340" w:right="180"/>
        <w:spacing w:after="0" w:line="269" w:lineRule="auto"/>
        <w:rPr>
          <w:rFonts w:ascii="Arial" w:cs="Arial" w:eastAsia="Arial" w:hAnsi="Arial"/>
          <w:sz w:val="16"/>
          <w:szCs w:val="16"/>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904875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0" w:right="239" w:bottom="1440" w:gutter="0" w:footer="0" w:header="0"/>
        </w:sectPr>
      </w:pPr>
    </w:p>
    <w:bookmarkStart w:id="4" w:name="page5"/>
    <w:bookmarkEnd w:id="4"/>
    <w:p>
      <w:pPr>
        <w:spacing w:after="0"/>
        <w:tabs>
          <w:tab w:leader="none" w:pos="5660" w:val="left"/>
          <w:tab w:leader="none" w:pos="9980" w:val="left"/>
        </w:tabs>
        <w:rPr>
          <w:sz w:val="20"/>
          <w:szCs w:val="20"/>
          <w:color w:val="auto"/>
        </w:rPr>
      </w:pPr>
      <w:r>
        <w:rPr>
          <w:rFonts w:ascii="Arial" w:cs="Arial" w:eastAsia="Arial" w:hAnsi="Arial"/>
          <w:sz w:val="16"/>
          <w:szCs w:val="16"/>
          <w:color w:val="auto"/>
        </w:rPr>
        <w:t>CUSIP No. 92337F107</w:t>
      </w:r>
      <w:r>
        <w:rPr>
          <w:sz w:val="20"/>
          <w:szCs w:val="20"/>
          <w:color w:val="auto"/>
        </w:rPr>
        <w:tab/>
      </w:r>
      <w:r>
        <w:rPr>
          <w:rFonts w:ascii="Arial" w:cs="Arial" w:eastAsia="Arial" w:hAnsi="Arial"/>
          <w:sz w:val="16"/>
          <w:szCs w:val="16"/>
          <w:color w:val="auto"/>
        </w:rPr>
        <w:t>13G</w:t>
      </w:r>
      <w:r>
        <w:rPr>
          <w:sz w:val="20"/>
          <w:szCs w:val="20"/>
          <w:color w:val="auto"/>
        </w:rPr>
        <w:tab/>
      </w:r>
      <w:r>
        <w:rPr>
          <w:rFonts w:ascii="Arial" w:cs="Arial" w:eastAsia="Arial" w:hAnsi="Arial"/>
          <w:sz w:val="16"/>
          <w:szCs w:val="16"/>
          <w:color w:val="auto"/>
        </w:rPr>
        <w:t>Page 5 of 5 Pages</w:t>
      </w:r>
    </w:p>
    <w:p>
      <w:pPr>
        <w:sectPr>
          <w:pgSz w:w="11900" w:h="16838" w:orient="portrait"/>
          <w:cols w:equalWidth="0" w:num="1">
            <w:col w:w="11420"/>
          </w:cols>
          <w:pgMar w:left="240" w:top="770"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67"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02/12/2016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29146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left="5720"/>
        <w:spacing w:after="0"/>
        <w:rPr>
          <w:sz w:val="20"/>
          <w:szCs w:val="20"/>
          <w:color w:val="auto"/>
        </w:rPr>
      </w:pPr>
      <w:r>
        <w:rPr>
          <w:rFonts w:ascii="Arial" w:cs="Arial" w:eastAsia="Arial" w:hAnsi="Arial"/>
          <w:sz w:val="16"/>
          <w:szCs w:val="16"/>
          <w:color w:val="auto"/>
        </w:rPr>
        <w:t>Signature</w:t>
      </w:r>
    </w:p>
    <w:p>
      <w:pPr>
        <w:spacing w:after="0" w:line="35" w:lineRule="exact"/>
        <w:rPr>
          <w:sz w:val="20"/>
          <w:szCs w:val="20"/>
          <w:color w:val="auto"/>
        </w:rPr>
      </w:pPr>
    </w:p>
    <w:p>
      <w:pPr>
        <w:jc w:val="center"/>
        <w:ind w:left="5720"/>
        <w:spacing w:after="0"/>
        <w:rPr>
          <w:sz w:val="20"/>
          <w:szCs w:val="20"/>
          <w:color w:val="auto"/>
        </w:rPr>
      </w:pPr>
      <w:r>
        <w:rPr>
          <w:rFonts w:ascii="Arial" w:cs="Arial" w:eastAsia="Arial" w:hAnsi="Arial"/>
          <w:sz w:val="16"/>
          <w:szCs w:val="16"/>
          <w:color w:val="auto"/>
        </w:rPr>
        <w:t>BJ Cheriakalath/Chief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13335</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7" w:lineRule="exact"/>
        <w:rPr>
          <w:sz w:val="20"/>
          <w:szCs w:val="20"/>
          <w:color w:val="auto"/>
        </w:rPr>
      </w:pPr>
    </w:p>
    <w:p>
      <w:pPr>
        <w:ind w:left="8180"/>
        <w:spacing w:after="0"/>
        <w:rPr>
          <w:sz w:val="20"/>
          <w:szCs w:val="20"/>
          <w:color w:val="auto"/>
        </w:rPr>
      </w:pPr>
      <w:r>
        <w:rPr>
          <w:rFonts w:ascii="Arial" w:cs="Arial" w:eastAsia="Arial" w:hAnsi="Arial"/>
          <w:sz w:val="16"/>
          <w:szCs w:val="16"/>
          <w:color w:val="auto"/>
        </w:rPr>
        <w:t>Name/Title</w:t>
      </w:r>
    </w:p>
    <w:sectPr>
      <w:pgSz w:w="11900" w:h="16838" w:orient="portrait"/>
      <w:cols w:equalWidth="0" w:num="1">
        <w:col w:w="11420"/>
      </w:cols>
      <w:pgMar w:left="240" w:top="7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lvl w:ilvl="1">
      <w:lvlJc w:val="left"/>
      <w:lvlText w:val="(%2)"/>
      <w:numFmt w:val="lowerRoman"/>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2019-12-08T14:07:54Z</dcterms:created>
  <dcterms:modified xsi:type="dcterms:W3CDTF">2019-12-08T14:07:54Z</dcterms:modified>
</cp:coreProperties>
</file>